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79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COHEN DANIEL 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23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Perella Weinberg Partners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PWP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01/07/2022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798"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79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ind w:left="68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jc w:val="center"/>
              <w:ind w:left="52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jc w:val="right"/>
              <w:ind w:right="176"/>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vMerge w:val="restart"/>
          </w:tcPr>
          <w:p>
            <w:pPr>
              <w:jc w:val="center"/>
              <w:ind w:left="541"/>
              <w:spacing w:after="0"/>
              <w:rPr>
                <w:sz w:val="20"/>
                <w:szCs w:val="20"/>
                <w:color w:val="auto"/>
              </w:rPr>
            </w:pPr>
            <w:r>
              <w:rPr>
                <w:rFonts w:ascii="Arial" w:cs="Arial" w:eastAsia="Arial" w:hAnsi="Arial"/>
                <w:sz w:val="17"/>
                <w:szCs w:val="17"/>
                <w:color w:val="0000FF"/>
                <w:w w:val="93"/>
              </w:rPr>
              <w:t>01/07/2022</w:t>
            </w:r>
          </w:p>
        </w:tc>
        <w:tc>
          <w:tcPr>
            <w:tcW w:w="1120" w:type="dxa"/>
            <w:vAlign w:val="bottom"/>
          </w:tcPr>
          <w:p>
            <w:pPr>
              <w:spacing w:after="0"/>
              <w:rPr>
                <w:sz w:val="18"/>
                <w:szCs w:val="18"/>
                <w:color w:val="auto"/>
              </w:rPr>
            </w:pPr>
          </w:p>
        </w:tc>
        <w:tc>
          <w:tcPr>
            <w:tcW w:w="800" w:type="dxa"/>
            <w:vAlign w:val="bottom"/>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88"/>
              </w:rPr>
              <w:t>57,923</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640" w:type="dxa"/>
            <w:vAlign w:val="bottom"/>
            <w:vMerge w:val="restart"/>
          </w:tcPr>
          <w:p>
            <w:pPr>
              <w:jc w:val="right"/>
              <w:ind w:right="3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8"/>
              </w:rPr>
              <w:t>11,951</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rPr>
              <w:t>Advisors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IV,</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75"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1"/>
                <w:szCs w:val="11"/>
                <w:color w:val="008000"/>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tcPr>
          <w:p>
            <w:pPr>
              <w:jc w:val="center"/>
              <w:ind w:left="541"/>
              <w:spacing w:after="0"/>
              <w:rPr>
                <w:sz w:val="20"/>
                <w:szCs w:val="20"/>
                <w:color w:val="auto"/>
              </w:rPr>
            </w:pPr>
            <w:r>
              <w:rPr>
                <w:rFonts w:ascii="Arial" w:cs="Arial" w:eastAsia="Arial" w:hAnsi="Arial"/>
                <w:sz w:val="17"/>
                <w:szCs w:val="17"/>
                <w:color w:val="0000FF"/>
                <w:w w:val="93"/>
              </w:rPr>
              <w:t>01/07/2022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57,923</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ind w:right="3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66,993</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vMerge w:val="restart"/>
          </w:tcPr>
          <w:p>
            <w:pPr>
              <w:jc w:val="center"/>
              <w:ind w:left="541"/>
              <w:spacing w:after="0"/>
              <w:rPr>
                <w:sz w:val="20"/>
                <w:szCs w:val="20"/>
                <w:color w:val="auto"/>
              </w:rPr>
            </w:pPr>
            <w:r>
              <w:rPr>
                <w:rFonts w:ascii="Arial" w:cs="Arial" w:eastAsia="Arial" w:hAnsi="Arial"/>
                <w:sz w:val="17"/>
                <w:szCs w:val="17"/>
                <w:color w:val="0000FF"/>
                <w:w w:val="93"/>
              </w:rPr>
              <w:t>01/07/2022</w:t>
            </w:r>
          </w:p>
        </w:tc>
        <w:tc>
          <w:tcPr>
            <w:tcW w:w="1120" w:type="dxa"/>
            <w:vAlign w:val="bottom"/>
          </w:tcPr>
          <w:p>
            <w:pPr>
              <w:spacing w:after="0"/>
              <w:rPr>
                <w:sz w:val="18"/>
                <w:szCs w:val="18"/>
                <w:color w:val="auto"/>
              </w:rPr>
            </w:pPr>
          </w:p>
        </w:tc>
        <w:tc>
          <w:tcPr>
            <w:tcW w:w="800" w:type="dxa"/>
            <w:vAlign w:val="bottom"/>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88"/>
              </w:rPr>
              <w:t>57,923</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640" w:type="dxa"/>
            <w:vAlign w:val="bottom"/>
            <w:vMerge w:val="restart"/>
          </w:tcPr>
          <w:p>
            <w:pPr>
              <w:jc w:val="right"/>
              <w:ind w:right="3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8"/>
              </w:rPr>
              <w:t>11,951</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rPr>
              <w:t>Advisors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IV,</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 DGC</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vMerge w:val="restart"/>
          </w:tcPr>
          <w:p>
            <w:pPr>
              <w:jc w:val="center"/>
              <w:ind w:left="541"/>
              <w:spacing w:after="0"/>
              <w:rPr>
                <w:sz w:val="20"/>
                <w:szCs w:val="20"/>
                <w:color w:val="auto"/>
              </w:rPr>
            </w:pPr>
            <w:r>
              <w:rPr>
                <w:rFonts w:ascii="Arial" w:cs="Arial" w:eastAsia="Arial" w:hAnsi="Arial"/>
                <w:sz w:val="17"/>
                <w:szCs w:val="17"/>
                <w:color w:val="0000FF"/>
                <w:w w:val="93"/>
              </w:rPr>
              <w:t>01/07/2022</w:t>
            </w:r>
          </w:p>
        </w:tc>
        <w:tc>
          <w:tcPr>
            <w:tcW w:w="1120" w:type="dxa"/>
            <w:vAlign w:val="bottom"/>
          </w:tcPr>
          <w:p>
            <w:pPr>
              <w:spacing w:after="0"/>
              <w:rPr>
                <w:sz w:val="18"/>
                <w:szCs w:val="18"/>
                <w:color w:val="auto"/>
              </w:rPr>
            </w:pPr>
          </w:p>
        </w:tc>
        <w:tc>
          <w:tcPr>
            <w:tcW w:w="800" w:type="dxa"/>
            <w:vAlign w:val="bottom"/>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88"/>
              </w:rPr>
              <w:t>57,923</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right"/>
              <w:ind w:right="3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57,923</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Family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rPr>
              <w:t>FinTech</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jc w:val="center"/>
              <w:ind w:left="541"/>
              <w:spacing w:after="0"/>
              <w:rPr>
                <w:sz w:val="20"/>
                <w:szCs w:val="20"/>
                <w:color w:val="auto"/>
              </w:rPr>
            </w:pPr>
            <w:r>
              <w:rPr>
                <w:rFonts w:ascii="Arial" w:cs="Arial" w:eastAsia="Arial" w:hAnsi="Arial"/>
                <w:sz w:val="17"/>
                <w:szCs w:val="17"/>
                <w:color w:val="0000FF"/>
                <w:w w:val="93"/>
              </w:rPr>
              <w:t>01/07/2022</w:t>
            </w:r>
          </w:p>
        </w:tc>
        <w:tc>
          <w:tcPr>
            <w:tcW w:w="1120" w:type="dxa"/>
            <w:vAlign w:val="bottom"/>
          </w:tcPr>
          <w:p>
            <w:pPr>
              <w:spacing w:after="0"/>
              <w:rPr>
                <w:sz w:val="18"/>
                <w:szCs w:val="18"/>
                <w:color w:val="auto"/>
              </w:rPr>
            </w:pPr>
          </w:p>
        </w:tc>
        <w:tc>
          <w:tcPr>
            <w:tcW w:w="800" w:type="dxa"/>
            <w:vAlign w:val="bottom"/>
          </w:tcPr>
          <w:p>
            <w:pPr>
              <w:ind w:left="140"/>
              <w:spacing w:after="0" w:line="213" w:lineRule="exact"/>
              <w:rPr>
                <w:sz w:val="20"/>
                <w:szCs w:val="20"/>
                <w:color w:val="auto"/>
              </w:rPr>
            </w:pPr>
            <w:r>
              <w:rPr>
                <w:rFonts w:ascii="Arial" w:cs="Arial" w:eastAsia="Arial" w:hAnsi="Arial"/>
                <w:sz w:val="24"/>
                <w:szCs w:val="24"/>
                <w:color w:val="0000FF"/>
                <w:vertAlign w:val="subscript"/>
              </w:rPr>
              <w:t>J</w:t>
            </w:r>
            <w:r>
              <w:rPr>
                <w:rFonts w:ascii="Arial" w:cs="Arial" w:eastAsia="Arial" w:hAnsi="Arial"/>
                <w:sz w:val="11"/>
                <w:szCs w:val="11"/>
                <w:color w:val="008000"/>
              </w:rPr>
              <w:t>(1)</w:t>
            </w:r>
          </w:p>
        </w:tc>
        <w:tc>
          <w:tcPr>
            <w:tcW w:w="780" w:type="dxa"/>
            <w:vAlign w:val="bottom"/>
          </w:tcPr>
          <w:p>
            <w:pPr>
              <w:jc w:val="center"/>
              <w:spacing w:after="0"/>
              <w:rPr>
                <w:sz w:val="20"/>
                <w:szCs w:val="20"/>
                <w:color w:val="auto"/>
              </w:rPr>
            </w:pPr>
            <w:r>
              <w:rPr>
                <w:rFonts w:ascii="Arial" w:cs="Arial" w:eastAsia="Arial" w:hAnsi="Arial"/>
                <w:sz w:val="17"/>
                <w:szCs w:val="17"/>
                <w:color w:val="0000FF"/>
                <w:w w:val="94"/>
              </w:rPr>
              <w:t>647,530</w:t>
            </w:r>
          </w:p>
        </w:tc>
        <w:tc>
          <w:tcPr>
            <w:tcW w:w="520" w:type="dxa"/>
            <w:vAlign w:val="bottom"/>
          </w:tcPr>
          <w:p>
            <w:pPr>
              <w:jc w:val="center"/>
              <w:spacing w:after="0"/>
              <w:rPr>
                <w:sz w:val="20"/>
                <w:szCs w:val="20"/>
                <w:color w:val="auto"/>
              </w:rPr>
            </w:pPr>
            <w:r>
              <w:rPr>
                <w:rFonts w:ascii="Arial" w:cs="Arial" w:eastAsia="Arial" w:hAnsi="Arial"/>
                <w:sz w:val="17"/>
                <w:szCs w:val="17"/>
                <w:color w:val="0000FF"/>
              </w:rPr>
              <w:t>D</w:t>
            </w:r>
          </w:p>
        </w:tc>
        <w:tc>
          <w:tcPr>
            <w:tcW w:w="640" w:type="dxa"/>
            <w:vAlign w:val="bottom"/>
          </w:tcPr>
          <w:p>
            <w:pPr>
              <w:jc w:val="right"/>
              <w:ind w:right="3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133,603</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Holdings,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jc w:val="center"/>
              <w:ind w:left="541"/>
              <w:spacing w:after="0"/>
              <w:rPr>
                <w:sz w:val="20"/>
                <w:szCs w:val="20"/>
                <w:color w:val="auto"/>
              </w:rPr>
            </w:pPr>
            <w:r>
              <w:rPr>
                <w:rFonts w:ascii="Arial" w:cs="Arial" w:eastAsia="Arial" w:hAnsi="Arial"/>
                <w:sz w:val="17"/>
                <w:szCs w:val="17"/>
                <w:color w:val="0000FF"/>
                <w:w w:val="93"/>
              </w:rPr>
              <w:t>01/07/2022</w:t>
            </w:r>
          </w:p>
        </w:tc>
        <w:tc>
          <w:tcPr>
            <w:tcW w:w="1120" w:type="dxa"/>
            <w:vAlign w:val="bottom"/>
          </w:tcPr>
          <w:p>
            <w:pPr>
              <w:spacing w:after="0"/>
              <w:rPr>
                <w:sz w:val="18"/>
                <w:szCs w:val="18"/>
                <w:color w:val="auto"/>
              </w:rPr>
            </w:pPr>
          </w:p>
        </w:tc>
        <w:tc>
          <w:tcPr>
            <w:tcW w:w="800" w:type="dxa"/>
            <w:vAlign w:val="bottom"/>
          </w:tcPr>
          <w:p>
            <w:pPr>
              <w:ind w:left="140"/>
              <w:spacing w:after="0" w:line="213" w:lineRule="exact"/>
              <w:rPr>
                <w:sz w:val="20"/>
                <w:szCs w:val="20"/>
                <w:color w:val="auto"/>
              </w:rPr>
            </w:pPr>
            <w:r>
              <w:rPr>
                <w:rFonts w:ascii="Arial" w:cs="Arial" w:eastAsia="Arial" w:hAnsi="Arial"/>
                <w:sz w:val="24"/>
                <w:szCs w:val="24"/>
                <w:color w:val="0000FF"/>
                <w:vertAlign w:val="subscript"/>
              </w:rPr>
              <w:t>J</w:t>
            </w:r>
            <w:r>
              <w:rPr>
                <w:rFonts w:ascii="Arial" w:cs="Arial" w:eastAsia="Arial" w:hAnsi="Arial"/>
                <w:sz w:val="11"/>
                <w:szCs w:val="11"/>
                <w:color w:val="008000"/>
              </w:rPr>
              <w:t>(1)</w:t>
            </w:r>
          </w:p>
        </w:tc>
        <w:tc>
          <w:tcPr>
            <w:tcW w:w="780" w:type="dxa"/>
            <w:vAlign w:val="bottom"/>
          </w:tcPr>
          <w:p>
            <w:pPr>
              <w:jc w:val="center"/>
              <w:spacing w:after="0"/>
              <w:rPr>
                <w:sz w:val="20"/>
                <w:szCs w:val="20"/>
                <w:color w:val="auto"/>
              </w:rPr>
            </w:pPr>
            <w:r>
              <w:rPr>
                <w:rFonts w:ascii="Arial" w:cs="Arial" w:eastAsia="Arial" w:hAnsi="Arial"/>
                <w:sz w:val="17"/>
                <w:szCs w:val="17"/>
                <w:color w:val="0000FF"/>
                <w:w w:val="94"/>
              </w:rPr>
              <w:t>647,530</w:t>
            </w:r>
          </w:p>
        </w:tc>
        <w:tc>
          <w:tcPr>
            <w:tcW w:w="520" w:type="dxa"/>
            <w:vAlign w:val="bottom"/>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Pr>
          <w:p>
            <w:pPr>
              <w:jc w:val="right"/>
              <w:ind w:right="3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781,133</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Holdings,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jc w:val="center"/>
              <w:ind w:left="541"/>
              <w:spacing w:after="0"/>
              <w:rPr>
                <w:sz w:val="20"/>
                <w:szCs w:val="20"/>
                <w:color w:val="auto"/>
              </w:rPr>
            </w:pPr>
            <w:r>
              <w:rPr>
                <w:rFonts w:ascii="Arial" w:cs="Arial" w:eastAsia="Arial" w:hAnsi="Arial"/>
                <w:sz w:val="17"/>
                <w:szCs w:val="17"/>
                <w:color w:val="0000FF"/>
                <w:w w:val="93"/>
              </w:rPr>
              <w:t>01/07/2022</w:t>
            </w:r>
          </w:p>
        </w:tc>
        <w:tc>
          <w:tcPr>
            <w:tcW w:w="1120" w:type="dxa"/>
            <w:vAlign w:val="bottom"/>
          </w:tcPr>
          <w:p>
            <w:pPr>
              <w:spacing w:after="0"/>
              <w:rPr>
                <w:sz w:val="18"/>
                <w:szCs w:val="18"/>
                <w:color w:val="auto"/>
              </w:rPr>
            </w:pPr>
          </w:p>
        </w:tc>
        <w:tc>
          <w:tcPr>
            <w:tcW w:w="800" w:type="dxa"/>
            <w:vAlign w:val="bottom"/>
          </w:tcPr>
          <w:p>
            <w:pPr>
              <w:ind w:left="140"/>
              <w:spacing w:after="0" w:line="213" w:lineRule="exact"/>
              <w:rPr>
                <w:sz w:val="20"/>
                <w:szCs w:val="20"/>
                <w:color w:val="auto"/>
              </w:rPr>
            </w:pPr>
            <w:r>
              <w:rPr>
                <w:rFonts w:ascii="Arial" w:cs="Arial" w:eastAsia="Arial" w:hAnsi="Arial"/>
                <w:sz w:val="24"/>
                <w:szCs w:val="24"/>
                <w:color w:val="0000FF"/>
                <w:vertAlign w:val="subscript"/>
              </w:rPr>
              <w:t>J</w:t>
            </w:r>
            <w:r>
              <w:rPr>
                <w:rFonts w:ascii="Arial" w:cs="Arial" w:eastAsia="Arial" w:hAnsi="Arial"/>
                <w:sz w:val="11"/>
                <w:szCs w:val="11"/>
                <w:color w:val="008000"/>
              </w:rPr>
              <w:t>(1)</w:t>
            </w:r>
          </w:p>
        </w:tc>
        <w:tc>
          <w:tcPr>
            <w:tcW w:w="780" w:type="dxa"/>
            <w:vAlign w:val="bottom"/>
          </w:tcPr>
          <w:p>
            <w:pPr>
              <w:jc w:val="center"/>
              <w:spacing w:after="0"/>
              <w:rPr>
                <w:sz w:val="20"/>
                <w:szCs w:val="20"/>
                <w:color w:val="auto"/>
              </w:rPr>
            </w:pPr>
            <w:r>
              <w:rPr>
                <w:rFonts w:ascii="Arial" w:cs="Arial" w:eastAsia="Arial" w:hAnsi="Arial"/>
                <w:sz w:val="17"/>
                <w:szCs w:val="17"/>
                <w:color w:val="0000FF"/>
                <w:w w:val="94"/>
              </w:rPr>
              <w:t>647,530</w:t>
            </w:r>
          </w:p>
        </w:tc>
        <w:tc>
          <w:tcPr>
            <w:tcW w:w="520" w:type="dxa"/>
            <w:vAlign w:val="bottom"/>
          </w:tcPr>
          <w:p>
            <w:pPr>
              <w:jc w:val="center"/>
              <w:spacing w:after="0"/>
              <w:rPr>
                <w:sz w:val="20"/>
                <w:szCs w:val="20"/>
                <w:color w:val="auto"/>
              </w:rPr>
            </w:pPr>
            <w:r>
              <w:rPr>
                <w:rFonts w:ascii="Arial" w:cs="Arial" w:eastAsia="Arial" w:hAnsi="Arial"/>
                <w:sz w:val="17"/>
                <w:szCs w:val="17"/>
                <w:color w:val="0000FF"/>
              </w:rPr>
              <w:t>D</w:t>
            </w:r>
          </w:p>
        </w:tc>
        <w:tc>
          <w:tcPr>
            <w:tcW w:w="640" w:type="dxa"/>
            <w:vAlign w:val="bottom"/>
          </w:tcPr>
          <w:p>
            <w:pPr>
              <w:jc w:val="right"/>
              <w:ind w:right="3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133,602</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Holdings,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jc w:val="center"/>
              <w:ind w:left="541"/>
              <w:spacing w:after="0"/>
              <w:rPr>
                <w:sz w:val="20"/>
                <w:szCs w:val="20"/>
                <w:color w:val="auto"/>
              </w:rPr>
            </w:pPr>
            <w:r>
              <w:rPr>
                <w:rFonts w:ascii="Arial" w:cs="Arial" w:eastAsia="Arial" w:hAnsi="Arial"/>
                <w:sz w:val="17"/>
                <w:szCs w:val="17"/>
                <w:color w:val="0000FF"/>
                <w:w w:val="93"/>
              </w:rPr>
              <w:t>01/07/2022</w:t>
            </w:r>
          </w:p>
        </w:tc>
        <w:tc>
          <w:tcPr>
            <w:tcW w:w="1120" w:type="dxa"/>
            <w:vAlign w:val="bottom"/>
          </w:tcPr>
          <w:p>
            <w:pPr>
              <w:spacing w:after="0"/>
              <w:rPr>
                <w:sz w:val="18"/>
                <w:szCs w:val="18"/>
                <w:color w:val="auto"/>
              </w:rPr>
            </w:pPr>
          </w:p>
        </w:tc>
        <w:tc>
          <w:tcPr>
            <w:tcW w:w="800" w:type="dxa"/>
            <w:vAlign w:val="bottom"/>
          </w:tcPr>
          <w:p>
            <w:pPr>
              <w:ind w:left="140"/>
              <w:spacing w:after="0" w:line="213" w:lineRule="exact"/>
              <w:rPr>
                <w:sz w:val="20"/>
                <w:szCs w:val="20"/>
                <w:color w:val="auto"/>
              </w:rPr>
            </w:pPr>
            <w:r>
              <w:rPr>
                <w:rFonts w:ascii="Arial" w:cs="Arial" w:eastAsia="Arial" w:hAnsi="Arial"/>
                <w:sz w:val="24"/>
                <w:szCs w:val="24"/>
                <w:color w:val="0000FF"/>
                <w:vertAlign w:val="subscript"/>
              </w:rPr>
              <w:t>J</w:t>
            </w:r>
            <w:r>
              <w:rPr>
                <w:rFonts w:ascii="Arial" w:cs="Arial" w:eastAsia="Arial" w:hAnsi="Arial"/>
                <w:sz w:val="11"/>
                <w:szCs w:val="11"/>
                <w:color w:val="008000"/>
              </w:rPr>
              <w:t>(1)</w:t>
            </w:r>
          </w:p>
        </w:tc>
        <w:tc>
          <w:tcPr>
            <w:tcW w:w="780" w:type="dxa"/>
            <w:vAlign w:val="bottom"/>
          </w:tcPr>
          <w:p>
            <w:pPr>
              <w:jc w:val="center"/>
              <w:spacing w:after="0"/>
              <w:rPr>
                <w:sz w:val="20"/>
                <w:szCs w:val="20"/>
                <w:color w:val="auto"/>
              </w:rPr>
            </w:pPr>
            <w:r>
              <w:rPr>
                <w:rFonts w:ascii="Arial" w:cs="Arial" w:eastAsia="Arial" w:hAnsi="Arial"/>
                <w:sz w:val="17"/>
                <w:szCs w:val="17"/>
                <w:color w:val="0000FF"/>
                <w:w w:val="94"/>
              </w:rPr>
              <w:t>647,530</w:t>
            </w:r>
          </w:p>
        </w:tc>
        <w:tc>
          <w:tcPr>
            <w:tcW w:w="520" w:type="dxa"/>
            <w:vAlign w:val="bottom"/>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Pr>
          <w:p>
            <w:pPr>
              <w:jc w:val="right"/>
              <w:ind w:right="3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781,132</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Holdings,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(8)</w:t>
            </w: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6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080"/>
          </w:cols>
          <w:pgMar w:left="460" w:top="225" w:right="359" w:bottom="798"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120" w:type="dxa"/>
            <w:vAlign w:val="bottom"/>
            <w:gridSpan w:val="11"/>
          </w:tcPr>
          <w:p>
            <w:pPr>
              <w:jc w:val="center"/>
              <w:ind w:right="825"/>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7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Execution Date,</w:t>
            </w:r>
          </w:p>
        </w:tc>
        <w:tc>
          <w:tcPr>
            <w:tcW w:w="82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Transaction</w:t>
            </w: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tcPr>
          <w:p>
            <w:pPr>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740" w:type="dxa"/>
            <w:vAlign w:val="bottom"/>
          </w:tcPr>
          <w:p>
            <w:pPr>
              <w:ind w:left="80"/>
              <w:spacing w:after="0"/>
              <w:rPr>
                <w:sz w:val="20"/>
                <w:szCs w:val="20"/>
                <w:color w:val="auto"/>
              </w:rPr>
            </w:pPr>
            <w:r>
              <w:rPr>
                <w:rFonts w:ascii="Arial" w:cs="Arial" w:eastAsia="Arial" w:hAnsi="Arial"/>
                <w:sz w:val="2"/>
                <w:szCs w:val="2"/>
                <w:b w:val="1"/>
                <w:bCs w:val="1"/>
                <w:color w:val="auto"/>
              </w:rPr>
              <w:t>Security</w:t>
            </w:r>
          </w:p>
        </w:tc>
        <w:tc>
          <w:tcPr>
            <w:tcW w:w="800" w:type="dxa"/>
            <w:vAlign w:val="bottom"/>
          </w:tcPr>
          <w:p>
            <w:pPr>
              <w:ind w:left="60"/>
              <w:spacing w:after="0"/>
              <w:rPr>
                <w:sz w:val="20"/>
                <w:szCs w:val="20"/>
                <w:color w:val="auto"/>
              </w:rPr>
            </w:pPr>
            <w:r>
              <w:rPr>
                <w:rFonts w:ascii="Arial" w:cs="Arial" w:eastAsia="Arial" w:hAnsi="Arial"/>
                <w:sz w:val="2"/>
                <w:szCs w:val="2"/>
                <w:b w:val="1"/>
                <w:bCs w:val="1"/>
                <w:color w:val="auto"/>
              </w:rPr>
              <w:t>or Exercise</w:t>
            </w:r>
          </w:p>
        </w:tc>
        <w:tc>
          <w:tcPr>
            <w:tcW w:w="1120" w:type="dxa"/>
            <w:vAlign w:val="bottom"/>
            <w:gridSpan w:val="2"/>
          </w:tcPr>
          <w:p>
            <w:pPr>
              <w:ind w:left="60"/>
              <w:spacing w:after="0"/>
              <w:rPr>
                <w:sz w:val="20"/>
                <w:szCs w:val="20"/>
                <w:color w:val="auto"/>
              </w:rPr>
            </w:pPr>
            <w:r>
              <w:rPr>
                <w:rFonts w:ascii="Arial" w:cs="Arial" w:eastAsia="Arial" w:hAnsi="Arial"/>
                <w:sz w:val="2"/>
                <w:szCs w:val="2"/>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2"/>
                <w:szCs w:val="2"/>
                <w:b w:val="1"/>
                <w:bCs w:val="1"/>
                <w:color w:val="auto"/>
              </w:rPr>
              <w:t>if any</w:t>
            </w:r>
          </w:p>
        </w:tc>
        <w:tc>
          <w:tcPr>
            <w:tcW w:w="4840" w:type="dxa"/>
            <w:vAlign w:val="bottom"/>
            <w:gridSpan w:val="7"/>
          </w:tcPr>
          <w:p>
            <w:pPr>
              <w:jc w:val="center"/>
              <w:ind w:left="4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19"/>
        </w:trPr>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0"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0"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 Title of</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0"/>
                <w:szCs w:val="10"/>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460"/>
              <w:spacing w:after="0" w:line="123" w:lineRule="exact"/>
              <w:rPr>
                <w:sz w:val="20"/>
                <w:szCs w:val="20"/>
                <w:color w:val="auto"/>
              </w:rPr>
            </w:pPr>
            <w:r>
              <w:rPr>
                <w:rFonts w:ascii="Arial" w:cs="Arial" w:eastAsia="Arial" w:hAnsi="Arial"/>
                <w:sz w:val="12"/>
                <w:szCs w:val="12"/>
                <w:b w:val="1"/>
                <w:bCs w:val="1"/>
                <w:color w:val="auto"/>
              </w:rPr>
              <w:t>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07"/>
        </w:trPr>
        <w:tc>
          <w:tcPr>
            <w:tcW w:w="7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60" w:type="dxa"/>
            <w:vAlign w:val="bottom"/>
            <w:gridSpan w:val="2"/>
          </w:tcPr>
          <w:p>
            <w:pPr>
              <w:ind w:left="60"/>
              <w:spacing w:after="0" w:line="107" w:lineRule="exact"/>
              <w:rPr>
                <w:sz w:val="20"/>
                <w:szCs w:val="20"/>
                <w:color w:val="auto"/>
              </w:rPr>
            </w:pPr>
            <w:r>
              <w:rPr>
                <w:rFonts w:ascii="Arial" w:cs="Arial" w:eastAsia="Arial" w:hAnsi="Arial"/>
                <w:sz w:val="12"/>
                <w:szCs w:val="12"/>
                <w:b w:val="1"/>
                <w:bCs w:val="1"/>
                <w:color w:val="auto"/>
              </w:rPr>
              <w:t>7. Title and</w:t>
            </w:r>
          </w:p>
        </w:tc>
        <w:tc>
          <w:tcPr>
            <w:tcW w:w="6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2"/>
                <w:szCs w:val="2"/>
                <w:color w:val="auto"/>
              </w:rPr>
            </w:pP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460"/>
              <w:spacing w:after="0"/>
              <w:rPr>
                <w:sz w:val="20"/>
                <w:szCs w:val="20"/>
                <w:color w:val="auto"/>
              </w:rPr>
            </w:pPr>
            <w:r>
              <w:rPr>
                <w:rFonts w:ascii="Arial" w:cs="Arial" w:eastAsia="Arial" w:hAnsi="Arial"/>
                <w:sz w:val="2"/>
                <w:szCs w:val="2"/>
                <w:b w:val="1"/>
                <w:bCs w:val="1"/>
                <w:color w:val="auto"/>
              </w:rPr>
              <w:t>Number</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line="20" w:lineRule="exact"/>
              <w:rPr>
                <w:sz w:val="1"/>
                <w:szCs w:val="1"/>
                <w:color w:val="auto"/>
              </w:rPr>
            </w:pPr>
          </w:p>
        </w:tc>
      </w:tr>
      <w:tr>
        <w:trPr>
          <w:trHeight w:val="107"/>
        </w:trPr>
        <w:tc>
          <w:tcPr>
            <w:tcW w:w="7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60" w:type="dxa"/>
            <w:vAlign w:val="bottom"/>
            <w:gridSpan w:val="2"/>
          </w:tcPr>
          <w:p>
            <w:pPr>
              <w:ind w:left="60"/>
              <w:spacing w:after="0" w:line="107" w:lineRule="exact"/>
              <w:rPr>
                <w:sz w:val="20"/>
                <w:szCs w:val="20"/>
                <w:color w:val="auto"/>
              </w:rPr>
            </w:pPr>
            <w:r>
              <w:rPr>
                <w:rFonts w:ascii="Arial" w:cs="Arial" w:eastAsia="Arial" w:hAnsi="Arial"/>
                <w:sz w:val="12"/>
                <w:szCs w:val="12"/>
                <w:b w:val="1"/>
                <w:bCs w:val="1"/>
                <w:color w:val="auto"/>
              </w:rPr>
              <w:t>Amount of</w:t>
            </w:r>
          </w:p>
        </w:tc>
        <w:tc>
          <w:tcPr>
            <w:tcW w:w="6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2"/>
                <w:szCs w:val="2"/>
                <w:color w:val="auto"/>
              </w:rPr>
            </w:pP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rPr>
                <w:sz w:val="20"/>
                <w:szCs w:val="20"/>
                <w:color w:val="auto"/>
              </w:rPr>
            </w:pPr>
            <w:r>
              <w:rPr>
                <w:rFonts w:ascii="Arial" w:cs="Arial" w:eastAsia="Arial" w:hAnsi="Arial"/>
                <w:sz w:val="2"/>
                <w:szCs w:val="2"/>
                <w:b w:val="1"/>
                <w:bCs w:val="1"/>
                <w:color w:val="auto"/>
              </w:rPr>
              <w:t>Date</w:t>
            </w: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Expiration</w:t>
            </w:r>
          </w:p>
        </w:tc>
        <w:tc>
          <w:tcPr>
            <w:tcW w:w="1060" w:type="dxa"/>
            <w:vAlign w:val="bottom"/>
            <w:gridSpan w:val="2"/>
          </w:tcPr>
          <w:p>
            <w:pPr>
              <w:ind w:left="460"/>
              <w:spacing w:after="0"/>
              <w:rPr>
                <w:sz w:val="20"/>
                <w:szCs w:val="20"/>
                <w:color w:val="auto"/>
              </w:rPr>
            </w:pPr>
            <w:r>
              <w:rPr>
                <w:rFonts w:ascii="Arial" w:cs="Arial" w:eastAsia="Arial" w:hAnsi="Arial"/>
                <w:sz w:val="2"/>
                <w:szCs w:val="2"/>
                <w:b w:val="1"/>
                <w:bCs w:val="1"/>
                <w:color w:val="auto"/>
              </w:rPr>
              <w:t>of</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07"/>
        </w:trPr>
        <w:tc>
          <w:tcPr>
            <w:tcW w:w="7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540" w:type="dxa"/>
            <w:vAlign w:val="bottom"/>
            <w:gridSpan w:val="2"/>
          </w:tcPr>
          <w:p>
            <w:pPr>
              <w:ind w:left="60"/>
              <w:spacing w:after="0" w:line="107"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07"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ind w:left="500"/>
              <w:spacing w:after="0"/>
              <w:rPr>
                <w:sz w:val="20"/>
                <w:szCs w:val="20"/>
                <w:color w:val="auto"/>
              </w:rPr>
            </w:pPr>
            <w:r>
              <w:rPr>
                <w:rFonts w:ascii="Arial" w:cs="Arial" w:eastAsia="Arial" w:hAnsi="Arial"/>
                <w:sz w:val="2"/>
                <w:szCs w:val="2"/>
                <w:b w:val="1"/>
                <w:bCs w:val="1"/>
                <w:color w:val="auto"/>
              </w:rPr>
              <w:t>V</w:t>
            </w: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2"/>
                <w:szCs w:val="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2"/>
                <w:szCs w:val="2"/>
                <w:b w:val="1"/>
                <w:bCs w:val="1"/>
                <w:color w:val="auto"/>
              </w:rPr>
              <w:t>Title  Shares</w:t>
            </w: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74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tcPr>
          <w:p>
            <w:pPr>
              <w:ind w:left="60"/>
              <w:spacing w:after="0" w:line="118"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line="118"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18"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3"/>
        </w:trPr>
        <w:tc>
          <w:tcPr>
            <w:tcW w:w="740" w:type="dxa"/>
            <w:vAlign w:val="bottom"/>
          </w:tcPr>
          <w:p>
            <w:pPr>
              <w:spacing w:after="0"/>
              <w:rPr>
                <w:sz w:val="10"/>
                <w:szCs w:val="10"/>
                <w:color w:val="auto"/>
              </w:rPr>
            </w:pPr>
          </w:p>
        </w:tc>
        <w:tc>
          <w:tcPr>
            <w:tcW w:w="80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0"/>
                <w:szCs w:val="10"/>
                <w:color w:val="auto"/>
              </w:rPr>
            </w:pP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27"/>
        </w:trPr>
        <w:tc>
          <w:tcPr>
            <w:tcW w:w="2420" w:type="dxa"/>
            <w:vAlign w:val="bottom"/>
            <w:gridSpan w:val="3"/>
          </w:tcPr>
          <w:p>
            <w:pPr>
              <w:ind w:left="40"/>
              <w:spacing w:after="0" w:line="27" w:lineRule="exact"/>
              <w:rPr>
                <w:sz w:val="20"/>
                <w:szCs w:val="20"/>
                <w:color w:val="auto"/>
              </w:rPr>
            </w:pPr>
            <w:r>
              <w:rPr>
                <w:rFonts w:ascii="Arial" w:cs="Arial" w:eastAsia="Arial" w:hAnsi="Arial"/>
                <w:sz w:val="3"/>
                <w:szCs w:val="3"/>
                <w:b w:val="1"/>
                <w:bCs w:val="1"/>
                <w:color w:val="auto"/>
              </w:rPr>
              <w:t>Explanation of Responses:</w:t>
            </w: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2"/>
                <w:szCs w:val="2"/>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740" w:type="dxa"/>
            <w:vAlign w:val="bottom"/>
          </w:tcPr>
          <w:p>
            <w:pPr>
              <w:spacing w:after="0"/>
              <w:rPr>
                <w:sz w:val="9"/>
                <w:szCs w:val="9"/>
                <w:color w:val="auto"/>
              </w:rPr>
            </w:pPr>
          </w:p>
        </w:tc>
        <w:tc>
          <w:tcPr>
            <w:tcW w:w="800" w:type="dxa"/>
            <w:vAlign w:val="bottom"/>
          </w:tcPr>
          <w:p>
            <w:pPr>
              <w:ind w:left="60"/>
              <w:spacing w:after="0" w:line="107"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1080" w:type="dxa"/>
            <w:vAlign w:val="bottom"/>
            <w:gridSpan w:val="16"/>
          </w:tcPr>
          <w:p>
            <w:pPr>
              <w:ind w:left="40"/>
              <w:spacing w:after="0" w:line="93" w:lineRule="exact"/>
              <w:rPr>
                <w:sz w:val="20"/>
                <w:szCs w:val="20"/>
                <w:color w:val="auto"/>
              </w:rPr>
            </w:pPr>
            <w:r>
              <w:rPr>
                <w:rFonts w:ascii="Arial" w:cs="Arial" w:eastAsia="Arial" w:hAnsi="Arial"/>
                <w:sz w:val="10"/>
                <w:szCs w:val="10"/>
                <w:color w:val="008000"/>
              </w:rPr>
              <w:t>1. On January 7, 2022, FinTech Masala Advisors IV, LLC ("Masala") and FinTech Investor Holdings IV, LLC ("Holdings") distributed certain of their holdings of the Issuer's Class A Common Stock to</w:t>
            </w:r>
          </w:p>
        </w:tc>
        <w:tc>
          <w:tcPr>
            <w:tcW w:w="0" w:type="dxa"/>
            <w:vAlign w:val="bottom"/>
          </w:tcPr>
          <w:p>
            <w:pPr>
              <w:spacing w:after="0"/>
              <w:rPr>
                <w:sz w:val="1"/>
                <w:szCs w:val="1"/>
                <w:color w:val="auto"/>
              </w:rPr>
            </w:pPr>
          </w:p>
        </w:tc>
      </w:tr>
      <w:tr>
        <w:trPr>
          <w:trHeight w:val="51"/>
        </w:trPr>
        <w:tc>
          <w:tcPr>
            <w:tcW w:w="1540" w:type="dxa"/>
            <w:vAlign w:val="bottom"/>
            <w:gridSpan w:val="2"/>
            <w:vMerge w:val="restart"/>
          </w:tcPr>
          <w:p>
            <w:pPr>
              <w:ind w:left="40"/>
              <w:spacing w:after="0"/>
              <w:rPr>
                <w:sz w:val="20"/>
                <w:szCs w:val="20"/>
                <w:color w:val="auto"/>
              </w:rPr>
            </w:pPr>
            <w:r>
              <w:rPr>
                <w:rFonts w:ascii="Arial" w:cs="Arial" w:eastAsia="Arial" w:hAnsi="Arial"/>
                <w:sz w:val="13"/>
                <w:szCs w:val="13"/>
                <w:color w:val="008000"/>
              </w:rPr>
              <w:t>their members.</w:t>
            </w: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ind w:left="80"/>
              <w:spacing w:after="0" w:line="51" w:lineRule="exact"/>
              <w:rPr>
                <w:sz w:val="20"/>
                <w:szCs w:val="20"/>
                <w:color w:val="auto"/>
              </w:rPr>
            </w:pPr>
            <w:r>
              <w:rPr>
                <w:rFonts w:ascii="Arial" w:cs="Arial" w:eastAsia="Arial" w:hAnsi="Arial"/>
                <w:sz w:val="5"/>
                <w:szCs w:val="5"/>
                <w:b w:val="1"/>
                <w:bCs w:val="1"/>
                <w:color w:val="auto"/>
              </w:rPr>
              <w:t>Disposed</w:t>
            </w: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2"/>
          </w:tcPr>
          <w:p>
            <w:pPr>
              <w:ind w:left="60"/>
              <w:spacing w:after="0" w:line="51" w:lineRule="exact"/>
              <w:rPr>
                <w:sz w:val="20"/>
                <w:szCs w:val="20"/>
                <w:color w:val="auto"/>
              </w:rPr>
            </w:pPr>
            <w:r>
              <w:rPr>
                <w:rFonts w:ascii="Arial" w:cs="Arial" w:eastAsia="Arial" w:hAnsi="Arial"/>
                <w:sz w:val="5"/>
                <w:szCs w:val="5"/>
                <w:b w:val="1"/>
                <w:bCs w:val="1"/>
                <w:color w:val="auto"/>
              </w:rPr>
              <w:t>3 and 4)</w:t>
            </w:r>
          </w:p>
        </w:tc>
        <w:tc>
          <w:tcPr>
            <w:tcW w:w="640" w:type="dxa"/>
            <w:vAlign w:val="bottom"/>
          </w:tcPr>
          <w:p>
            <w:pPr>
              <w:spacing w:after="0"/>
              <w:rPr>
                <w:sz w:val="4"/>
                <w:szCs w:val="4"/>
                <w:color w:val="auto"/>
              </w:rPr>
            </w:pPr>
          </w:p>
        </w:tc>
        <w:tc>
          <w:tcPr>
            <w:tcW w:w="960" w:type="dxa"/>
            <w:vAlign w:val="bottom"/>
          </w:tcPr>
          <w:p>
            <w:pPr>
              <w:ind w:left="80"/>
              <w:spacing w:after="0" w:line="51" w:lineRule="exact"/>
              <w:rPr>
                <w:sz w:val="20"/>
                <w:szCs w:val="20"/>
                <w:color w:val="auto"/>
              </w:rPr>
            </w:pPr>
            <w:r>
              <w:rPr>
                <w:rFonts w:ascii="Arial" w:cs="Arial" w:eastAsia="Arial" w:hAnsi="Arial"/>
                <w:sz w:val="5"/>
                <w:szCs w:val="5"/>
                <w:b w:val="1"/>
                <w:bCs w:val="1"/>
                <w:color w:val="auto"/>
              </w:rPr>
              <w:t>Reported</w:t>
            </w: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154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ind w:left="80"/>
              <w:spacing w:after="0" w:line="44" w:lineRule="exact"/>
              <w:rPr>
                <w:sz w:val="20"/>
                <w:szCs w:val="20"/>
                <w:color w:val="auto"/>
              </w:rPr>
            </w:pPr>
            <w:r>
              <w:rPr>
                <w:rFonts w:ascii="Arial" w:cs="Arial" w:eastAsia="Arial" w:hAnsi="Arial"/>
                <w:sz w:val="5"/>
                <w:szCs w:val="5"/>
                <w:b w:val="1"/>
                <w:bCs w:val="1"/>
                <w:color w:val="auto"/>
              </w:rPr>
              <w:t>(Instr. 3, 4</w:t>
            </w: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ind w:left="80"/>
              <w:spacing w:after="0" w:line="44" w:lineRule="exact"/>
              <w:rPr>
                <w:sz w:val="20"/>
                <w:szCs w:val="20"/>
                <w:color w:val="auto"/>
              </w:rPr>
            </w:pPr>
            <w:r>
              <w:rPr>
                <w:rFonts w:ascii="Arial" w:cs="Arial" w:eastAsia="Arial" w:hAnsi="Arial"/>
                <w:sz w:val="5"/>
                <w:szCs w:val="5"/>
                <w:b w:val="1"/>
                <w:bCs w:val="1"/>
                <w:color w:val="auto"/>
              </w:rPr>
              <w:t>(Instr. 4)</w:t>
            </w: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733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4055" cy="273304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19"/>
        </w:trPr>
        <w:tc>
          <w:tcPr>
            <w:tcW w:w="10880" w:type="dxa"/>
            <w:vAlign w:val="bottom"/>
            <w:gridSpan w:val="2"/>
          </w:tcPr>
          <w:p>
            <w:pPr>
              <w:spacing w:after="0" w:line="119" w:lineRule="exact"/>
              <w:rPr>
                <w:sz w:val="20"/>
                <w:szCs w:val="20"/>
                <w:color w:val="auto"/>
              </w:rPr>
            </w:pPr>
            <w:r>
              <w:rPr>
                <w:rFonts w:ascii="Arial" w:cs="Arial" w:eastAsia="Arial" w:hAnsi="Arial"/>
                <w:sz w:val="13"/>
                <w:szCs w:val="13"/>
                <w:color w:val="008000"/>
                <w:w w:val="92"/>
              </w:rPr>
              <w:t>2. Represents shares held directly by Masala. The reporting person is a member of Masala. The amount reported consists of the reporting person's pecuniary interest therein. The reporting person disclaims</w:t>
            </w:r>
          </w:p>
        </w:tc>
        <w:tc>
          <w:tcPr>
            <w:tcW w:w="0" w:type="dxa"/>
            <w:vAlign w:val="bottom"/>
          </w:tcPr>
          <w:p>
            <w:pPr>
              <w:spacing w:after="0"/>
              <w:rPr>
                <w:sz w:val="1"/>
                <w:szCs w:val="1"/>
                <w:color w:val="auto"/>
              </w:rPr>
            </w:pPr>
          </w:p>
        </w:tc>
      </w:tr>
      <w:tr>
        <w:trPr>
          <w:trHeight w:val="93"/>
        </w:trPr>
        <w:tc>
          <w:tcPr>
            <w:tcW w:w="3860" w:type="dxa"/>
            <w:vAlign w:val="bottom"/>
          </w:tcPr>
          <w:p>
            <w:pPr>
              <w:spacing w:after="0"/>
              <w:rPr>
                <w:sz w:val="8"/>
                <w:szCs w:val="8"/>
                <w:color w:val="auto"/>
              </w:rPr>
            </w:pPr>
          </w:p>
        </w:tc>
        <w:tc>
          <w:tcPr>
            <w:tcW w:w="7020" w:type="dxa"/>
            <w:vAlign w:val="bottom"/>
          </w:tcPr>
          <w:p>
            <w:pPr>
              <w:ind w:left="780"/>
              <w:spacing w:after="0" w:line="93" w:lineRule="exact"/>
              <w:rPr>
                <w:sz w:val="20"/>
                <w:szCs w:val="20"/>
                <w:color w:val="auto"/>
              </w:rPr>
            </w:pPr>
            <w:r>
              <w:rPr>
                <w:rFonts w:ascii="Arial" w:cs="Arial" w:eastAsia="Arial" w:hAnsi="Arial"/>
                <w:sz w:val="10"/>
                <w:szCs w:val="10"/>
                <w:b w:val="1"/>
                <w:bCs w:val="1"/>
                <w:color w:val="auto"/>
              </w:rPr>
              <w:t>and 5)</w:t>
            </w:r>
          </w:p>
        </w:tc>
        <w:tc>
          <w:tcPr>
            <w:tcW w:w="0" w:type="dxa"/>
            <w:vAlign w:val="bottom"/>
          </w:tcPr>
          <w:p>
            <w:pPr>
              <w:spacing w:after="0"/>
              <w:rPr>
                <w:sz w:val="1"/>
                <w:szCs w:val="1"/>
                <w:color w:val="auto"/>
              </w:rPr>
            </w:pPr>
          </w:p>
        </w:tc>
      </w:tr>
      <w:tr>
        <w:trPr>
          <w:trHeight w:val="71"/>
        </w:trPr>
        <w:tc>
          <w:tcPr>
            <w:tcW w:w="10880" w:type="dxa"/>
            <w:vAlign w:val="bottom"/>
            <w:gridSpan w:val="2"/>
          </w:tcPr>
          <w:p>
            <w:pPr>
              <w:spacing w:after="0" w:line="71" w:lineRule="exact"/>
              <w:rPr>
                <w:sz w:val="20"/>
                <w:szCs w:val="20"/>
                <w:color w:val="auto"/>
              </w:rPr>
            </w:pPr>
            <w:r>
              <w:rPr>
                <w:rFonts w:ascii="Arial" w:cs="Arial" w:eastAsia="Arial" w:hAnsi="Arial"/>
                <w:sz w:val="8"/>
                <w:szCs w:val="8"/>
                <w:color w:val="008000"/>
              </w:rPr>
              <w:t>beneficial ownership of any other securities held directly by Masala, except to the extent of his pecuniary interest therein, and this report shall not be deemed an admission that the reporting person is the</w:t>
            </w:r>
          </w:p>
        </w:tc>
        <w:tc>
          <w:tcPr>
            <w:tcW w:w="0" w:type="dxa"/>
            <w:vAlign w:val="bottom"/>
          </w:tcPr>
          <w:p>
            <w:pPr>
              <w:spacing w:after="0"/>
              <w:rPr>
                <w:sz w:val="1"/>
                <w:szCs w:val="1"/>
                <w:color w:val="auto"/>
              </w:rPr>
            </w:pPr>
          </w:p>
        </w:tc>
      </w:tr>
      <w:tr>
        <w:trPr>
          <w:trHeight w:val="169"/>
        </w:trPr>
        <w:tc>
          <w:tcPr>
            <w:tcW w:w="3860" w:type="dxa"/>
            <w:vAlign w:val="bottom"/>
          </w:tcPr>
          <w:p>
            <w:pPr>
              <w:spacing w:after="0"/>
              <w:rPr>
                <w:sz w:val="20"/>
                <w:szCs w:val="20"/>
                <w:color w:val="auto"/>
              </w:rPr>
            </w:pPr>
            <w:r>
              <w:rPr>
                <w:rFonts w:ascii="Arial" w:cs="Arial" w:eastAsia="Arial" w:hAnsi="Arial"/>
                <w:sz w:val="13"/>
                <w:szCs w:val="13"/>
                <w:color w:val="008000"/>
              </w:rPr>
              <w:t>beneficial owner of such securities for any other purpose.</w:t>
            </w:r>
          </w:p>
        </w:tc>
        <w:tc>
          <w:tcPr>
            <w:tcW w:w="7020" w:type="dxa"/>
            <w:vAlign w:val="bottom"/>
            <w:vMerge w:val="restart"/>
          </w:tcPr>
          <w:p>
            <w:pPr>
              <w:ind w:left="3440"/>
              <w:spacing w:after="0"/>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41"/>
        </w:trPr>
        <w:tc>
          <w:tcPr>
            <w:tcW w:w="3860" w:type="dxa"/>
            <w:vAlign w:val="bottom"/>
          </w:tcPr>
          <w:p>
            <w:pPr>
              <w:spacing w:after="0"/>
              <w:rPr>
                <w:sz w:val="3"/>
                <w:szCs w:val="3"/>
                <w:color w:val="auto"/>
              </w:rPr>
            </w:pPr>
          </w:p>
        </w:tc>
        <w:tc>
          <w:tcPr>
            <w:tcW w:w="7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jc w:val="both"/>
        <w:ind w:left="40" w:right="260"/>
        <w:spacing w:after="0" w:line="262" w:lineRule="auto"/>
        <w:rPr>
          <w:sz w:val="20"/>
          <w:szCs w:val="20"/>
          <w:color w:val="auto"/>
        </w:rPr>
      </w:pPr>
      <w:r>
        <w:rPr>
          <w:rFonts w:ascii="Arial" w:cs="Arial" w:eastAsia="Arial" w:hAnsi="Arial"/>
          <w:sz w:val="11"/>
          <w:szCs w:val="11"/>
          <w:color w:val="008000"/>
        </w:rPr>
        <w:t>3. Represents shares held directly by Masala. DGC Family FinTech Trust (the "Trust") is a member of Masala. The children of the reporting</w:t>
      </w:r>
      <w:r>
        <w:rPr>
          <w:rFonts w:ascii="Arial" w:cs="Arial" w:eastAsia="Arial" w:hAnsi="Arial"/>
          <w:sz w:val="9"/>
          <w:szCs w:val="9"/>
          <w:b w:val="1"/>
          <w:bCs w:val="1"/>
          <w:color w:val="000000"/>
        </w:rPr>
        <w:t>or</w:t>
      </w:r>
      <w:r>
        <w:rPr>
          <w:rFonts w:ascii="Arial" w:cs="Arial" w:eastAsia="Arial" w:hAnsi="Arial"/>
          <w:sz w:val="11"/>
          <w:szCs w:val="11"/>
          <w:color w:val="008000"/>
        </w:rPr>
        <w:t xml:space="preserve"> person are beneficiaries of the Trust. The amount reported consists of the Trust's pecuniary interest therein. Each of the reporting person and the Trust disclaims beneficial ownership of any other securities</w:t>
      </w:r>
      <w:r>
        <w:rPr>
          <w:rFonts w:ascii="Arial" w:cs="Arial" w:eastAsia="Arial" w:hAnsi="Arial"/>
          <w:sz w:val="9"/>
          <w:szCs w:val="9"/>
          <w:b w:val="1"/>
          <w:bCs w:val="1"/>
          <w:color w:val="000000"/>
        </w:rPr>
        <w:t>Numbr</w:t>
      </w:r>
      <w:r>
        <w:rPr>
          <w:rFonts w:ascii="Arial" w:cs="Arial" w:eastAsia="Arial" w:hAnsi="Arial"/>
          <w:sz w:val="11"/>
          <w:szCs w:val="11"/>
          <w:color w:val="008000"/>
        </w:rPr>
        <w:t xml:space="preserve"> held directly by Masala, except to the extent of his or its</w:t>
      </w:r>
    </w:p>
    <w:p>
      <w:pPr>
        <w:spacing w:after="0" w:line="1" w:lineRule="exact"/>
        <w:rPr>
          <w:sz w:val="20"/>
          <w:szCs w:val="20"/>
          <w:color w:val="auto"/>
        </w:rPr>
      </w:pPr>
    </w:p>
    <w:p>
      <w:pPr>
        <w:ind w:left="3840" w:right="1080" w:hanging="3797"/>
        <w:spacing w:after="0" w:line="188" w:lineRule="auto"/>
        <w:rPr>
          <w:sz w:val="20"/>
          <w:szCs w:val="20"/>
          <w:color w:val="auto"/>
        </w:rPr>
      </w:pPr>
      <w:r>
        <w:rPr>
          <w:rFonts w:ascii="Arial" w:cs="Arial" w:eastAsia="Arial" w:hAnsi="Arial"/>
          <w:sz w:val="12"/>
          <w:szCs w:val="12"/>
          <w:color w:val="008000"/>
        </w:rPr>
        <w:t>respective pecuniary interest therein, and this report shall not be deemed an admission that the reporting</w:t>
      </w:r>
      <w:r>
        <w:rPr>
          <w:rFonts w:ascii="Arial" w:cs="Arial" w:eastAsia="Arial" w:hAnsi="Arial"/>
          <w:sz w:val="10"/>
          <w:szCs w:val="10"/>
          <w:b w:val="1"/>
          <w:bCs w:val="1"/>
          <w:color w:val="000000"/>
        </w:rPr>
        <w:t>Date</w:t>
      </w:r>
      <w:r>
        <w:rPr>
          <w:rFonts w:ascii="Arial" w:cs="Arial" w:eastAsia="Arial" w:hAnsi="Arial"/>
          <w:sz w:val="12"/>
          <w:szCs w:val="12"/>
          <w:color w:val="008000"/>
        </w:rPr>
        <w:t>person or the</w:t>
      </w:r>
      <w:r>
        <w:rPr>
          <w:rFonts w:ascii="Arial" w:cs="Arial" w:eastAsia="Arial" w:hAnsi="Arial"/>
          <w:sz w:val="10"/>
          <w:szCs w:val="10"/>
          <w:b w:val="1"/>
          <w:bCs w:val="1"/>
          <w:color w:val="000000"/>
        </w:rPr>
        <w:t>Expira</w:t>
      </w:r>
      <w:r>
        <w:rPr>
          <w:rFonts w:ascii="Arial" w:cs="Arial" w:eastAsia="Arial" w:hAnsi="Arial"/>
          <w:sz w:val="12"/>
          <w:szCs w:val="12"/>
          <w:color w:val="008000"/>
        </w:rPr>
        <w:t>Trust</w:t>
      </w:r>
      <w:r>
        <w:rPr>
          <w:rFonts w:ascii="Arial" w:cs="Arial" w:eastAsia="Arial" w:hAnsi="Arial"/>
          <w:sz w:val="10"/>
          <w:szCs w:val="10"/>
          <w:b w:val="1"/>
          <w:bCs w:val="1"/>
          <w:color w:val="000000"/>
        </w:rPr>
        <w:t>ion</w:t>
      </w:r>
      <w:r>
        <w:rPr>
          <w:rFonts w:ascii="Arial" w:cs="Arial" w:eastAsia="Arial" w:hAnsi="Arial"/>
          <w:sz w:val="12"/>
          <w:szCs w:val="12"/>
          <w:color w:val="008000"/>
        </w:rPr>
        <w:t>isthe beneficial</w:t>
      </w:r>
      <w:r>
        <w:rPr>
          <w:rFonts w:ascii="Arial" w:cs="Arial" w:eastAsia="Arial" w:hAnsi="Arial"/>
          <w:sz w:val="10"/>
          <w:szCs w:val="10"/>
          <w:b w:val="1"/>
          <w:bCs w:val="1"/>
          <w:color w:val="000000"/>
        </w:rPr>
        <w:t>of</w:t>
      </w:r>
      <w:r>
        <w:rPr>
          <w:rFonts w:ascii="Arial" w:cs="Arial" w:eastAsia="Arial" w:hAnsi="Arial"/>
          <w:sz w:val="12"/>
          <w:szCs w:val="12"/>
          <w:color w:val="008000"/>
        </w:rPr>
        <w:t xml:space="preserve"> owner of such securities for any other purpose </w:t>
      </w:r>
      <w:r>
        <w:rPr>
          <w:rFonts w:ascii="Arial" w:cs="Arial" w:eastAsia="Arial" w:hAnsi="Arial"/>
          <w:sz w:val="10"/>
          <w:szCs w:val="10"/>
          <w:b w:val="1"/>
          <w:bCs w:val="1"/>
          <w:color w:val="000000"/>
        </w:rPr>
        <w:t>Code V (A) (D) Exercisable Date Title Shares</w:t>
      </w:r>
    </w:p>
    <w:p>
      <w:pPr>
        <w:ind w:left="40" w:right="200"/>
        <w:spacing w:after="0" w:line="242" w:lineRule="auto"/>
        <w:rPr>
          <w:sz w:val="20"/>
          <w:szCs w:val="20"/>
          <w:color w:val="auto"/>
        </w:rPr>
      </w:pPr>
      <w:r>
        <w:rPr>
          <w:rFonts w:ascii="Arial" w:cs="Arial" w:eastAsia="Arial" w:hAnsi="Arial"/>
          <w:sz w:val="13"/>
          <w:szCs w:val="13"/>
          <w:color w:val="008000"/>
        </w:rPr>
        <w:t>4. Represents shares held directly by the Trust. The children of the reporting person are beneficiaries of the Trust. The amount reported consists of the Trust's pecuniary interest therein. Each of the reporting person and the Trust disclaims beneficial ownership of any other securities held directly by Masala, except to the extent of his or its respective pecuniary interest therein, and this report shall not be deemed an admission that the reporting person or the Trust is the beneficial owner of such securities for any other purpose.</w:t>
      </w:r>
    </w:p>
    <w:p>
      <w:pPr>
        <w:spacing w:after="0" w:line="31" w:lineRule="exact"/>
        <w:rPr>
          <w:sz w:val="20"/>
          <w:szCs w:val="20"/>
          <w:color w:val="auto"/>
        </w:rPr>
      </w:pPr>
    </w:p>
    <w:p>
      <w:pPr>
        <w:ind w:left="40" w:right="220"/>
        <w:spacing w:after="0" w:line="245" w:lineRule="auto"/>
        <w:rPr>
          <w:sz w:val="20"/>
          <w:szCs w:val="20"/>
          <w:color w:val="auto"/>
        </w:rPr>
      </w:pPr>
      <w:r>
        <w:rPr>
          <w:rFonts w:ascii="Arial" w:cs="Arial" w:eastAsia="Arial" w:hAnsi="Arial"/>
          <w:sz w:val="13"/>
          <w:szCs w:val="13"/>
          <w:color w:val="008000"/>
        </w:rPr>
        <w:t>5. Represents shares held directly by Holdings and Masala, each of which is managed by Cohen Sponsor Interests IV, LLC ("Manager"), which, in turn, is indirectly owned by FinTech Masala Holdings, LLC ("Manager HoldCo"). The reporting person owns one-third of Manager HoldCo. The amount reported consists of the reporting person's pecuniary interest therein. The reporting person disclaims beneficial ownership of any other securities held directly by Holdings and Masala, except to the extent of his pecuniary interest therein, and this report shall not be deemed an admission that the reporting person is the beneficial owner of such securities for any other purpose.</w:t>
      </w:r>
    </w:p>
    <w:p>
      <w:pPr>
        <w:spacing w:after="0" w:line="29" w:lineRule="exact"/>
        <w:rPr>
          <w:sz w:val="20"/>
          <w:szCs w:val="20"/>
          <w:color w:val="auto"/>
        </w:rPr>
      </w:pPr>
    </w:p>
    <w:p>
      <w:pPr>
        <w:ind w:left="40" w:right="240"/>
        <w:spacing w:after="0" w:line="245" w:lineRule="auto"/>
        <w:rPr>
          <w:sz w:val="20"/>
          <w:szCs w:val="20"/>
          <w:color w:val="auto"/>
        </w:rPr>
      </w:pPr>
      <w:r>
        <w:rPr>
          <w:rFonts w:ascii="Arial" w:cs="Arial" w:eastAsia="Arial" w:hAnsi="Arial"/>
          <w:sz w:val="13"/>
          <w:szCs w:val="13"/>
          <w:color w:val="008000"/>
        </w:rPr>
        <w:t>6. Represents shares held directly by FinTech Masala, LLC ("Masala LLC"), Holdings, and Masala. Manager HoldCo is the sole member of Masala LLC. Each of Holdings and Masala is managed by Manager, which, in turn, is indirectly owned by Manager HoldCo. The reporting person owns one-third of Manager HoldCo. The amount reported consists of the reporting person's pecuniary interest therein. The reporting person disclaims beneficial ownership of any other securities held directly by Masala LLC, except to the extent of his pecuniary interest therein, and this report shall not be deemed an admission that the reporting person is the beneficial owner of such securities for any other purpose.</w:t>
      </w:r>
    </w:p>
    <w:p>
      <w:pPr>
        <w:spacing w:after="0" w:line="29" w:lineRule="exact"/>
        <w:rPr>
          <w:sz w:val="20"/>
          <w:szCs w:val="20"/>
          <w:color w:val="auto"/>
        </w:rPr>
      </w:pPr>
    </w:p>
    <w:p>
      <w:pPr>
        <w:ind w:left="40" w:right="200"/>
        <w:spacing w:after="0" w:line="245" w:lineRule="auto"/>
        <w:rPr>
          <w:sz w:val="20"/>
          <w:szCs w:val="20"/>
          <w:color w:val="auto"/>
        </w:rPr>
      </w:pPr>
      <w:r>
        <w:rPr>
          <w:rFonts w:ascii="Arial" w:cs="Arial" w:eastAsia="Arial" w:hAnsi="Arial"/>
          <w:sz w:val="13"/>
          <w:szCs w:val="13"/>
          <w:color w:val="008000"/>
        </w:rPr>
        <w:t>7. Represents shares held directly by Holdings and Masala, each of which is managed by Manager, which, in turn, is indirectly owned by Manager HoldCo. The Trust owns one-third of Manager HoldCo. The amount reported consists of the Trust's pecuniary interest therein. Each of the reporting person and the Trust disclaims beneficial ownership of any other securities held directly by Holdings and Masala, except to the extent of his or its respective pecuniary interest therein, and this report shall not be deemed an admission that the reporting person or the Trust is the beneficial owner of such securities for any other purpose.</w:t>
      </w:r>
    </w:p>
    <w:p>
      <w:pPr>
        <w:spacing w:after="0" w:line="29" w:lineRule="exact"/>
        <w:rPr>
          <w:sz w:val="20"/>
          <w:szCs w:val="20"/>
          <w:color w:val="auto"/>
        </w:rPr>
      </w:pPr>
    </w:p>
    <w:p>
      <w:pPr>
        <w:ind w:left="40" w:right="340"/>
        <w:spacing w:after="0" w:line="245" w:lineRule="auto"/>
        <w:rPr>
          <w:sz w:val="20"/>
          <w:szCs w:val="20"/>
          <w:color w:val="auto"/>
        </w:rPr>
      </w:pPr>
      <w:r>
        <w:rPr>
          <w:rFonts w:ascii="Arial" w:cs="Arial" w:eastAsia="Arial" w:hAnsi="Arial"/>
          <w:sz w:val="13"/>
          <w:szCs w:val="13"/>
          <w:color w:val="008000"/>
        </w:rPr>
        <w:t>8. Represents shares held directly by Masala LLC, Holdings, and Masala. Manager HoldCo is the sole member of Masala LLC. Each of Holdings and Masala is managed by Manager, which, in turn, is indirectly owned by Manager HoldCo. The Trust owns one-third of Manager HoldCo. The amount reported consists of the Trust's pecuniary interest therein. Each of the reporting person and the Trust disclaims beneficial ownership of any other securities held directly by Holdings and Masala, except to the extent of his or its respective pecuniary interest therein, and this report shall not be deemed an admission that the reporting person or the Trust is the beneficial owner of such securities for any other purpose.</w:t>
      </w:r>
    </w:p>
    <w:p>
      <w:pPr>
        <w:spacing w:after="0" w:line="4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Mark Polemeni,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01/11/2022</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47745"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2022-01-11T19:24:32Z</dcterms:created>
  <dcterms:modified xsi:type="dcterms:W3CDTF">2022-01-11T19:24:32Z</dcterms:modified>
</cp:coreProperties>
</file>