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6, 2023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92075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4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tcPr>
          <w:p>
            <w:pPr>
              <w:spacing w:after="0"/>
              <w:rPr>
                <w:sz w:val="21"/>
                <w:szCs w:val="21"/>
                <w:color w:val="auto"/>
              </w:rPr>
            </w:pPr>
          </w:p>
        </w:tc>
      </w:tr>
      <w:tr>
        <w:trPr>
          <w:trHeight w:val="238"/>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tcPr>
          <w:p>
            <w:pPr>
              <w:jc w:val="right"/>
              <w:ind w:right="664"/>
              <w:spacing w:after="0"/>
              <w:rPr>
                <w:sz w:val="20"/>
                <w:szCs w:val="20"/>
                <w:color w:val="auto"/>
              </w:rPr>
            </w:pPr>
            <w:r>
              <w:rPr>
                <w:rFonts w:ascii="Arial" w:cs="Arial" w:eastAsia="Arial" w:hAnsi="Arial"/>
                <w:sz w:val="18"/>
                <w:szCs w:val="18"/>
                <w:b w:val="1"/>
                <w:bCs w:val="1"/>
                <w:color w:val="auto"/>
              </w:rPr>
              <w:t>10153</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020" w:type="dxa"/>
            <w:vAlign w:val="bottom"/>
            <w:gridSpan w:val="4"/>
          </w:tcPr>
          <w:p>
            <w:pPr>
              <w:ind w:left="14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0"/>
        <w:spacing w:after="0" w:line="207" w:lineRule="exact"/>
        <w:tabs>
          <w:tab w:leader="none" w:pos="3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1981835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1394460</wp:posOffset>
            </wp:positionV>
            <wp:extent cx="69005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1428750</wp:posOffset>
            </wp:positionV>
            <wp:extent cx="6900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previously disclosed, on February 17, 2023, Perella Weinberg Partners (the “Company”) filed a petition in the Delaware Court of Chancery (“Court of Chancery”) pursuant to Section 205 of the Delaware General Corporation Law (the “DGCL”) seeking validation of an amendment to the Company’s Amended and Restated Certificate of Incorporation to resolve any uncertainty with respect thereto (the “Section 205 Action”). The same day the Section 205 Action was filed, the Company also moved that the Court’s consideration of the Section 205 Action be expedited. On February 20, 2023, the Court of Chancery granted the Company’s motion for expedited proceedings in the Section 205 Action and set a hearing date for March 6, 2023.</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6, 2023, the hearing took place and the Court of Chancery approved the Company’s request for relief. The Court of Chancery then entered an order under Section 205 of the DGCL (1) ordering that the June 22, 2021 stockholder vote approving the Authorized Share Charter Amendment (as defined in the Petition) is validated and declared effective, (2) ordering that the Second Amended and Restated Certificate of Incorporation, including the filing and effectiveness thereof, is validated and declared effective, (3) ordering that the Company’s securities (and the issuance of the securities) described in the Petition are validated and declared duly authorized, and (4) validating each of the corporate acts described above, notwithstanding any failures of authorization or potential failures of authorization described in, or resulting from the matters described in, the Petition. A copy of the Court’s order is attached hereto as Exhibit 99.1.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Current Report contains forward-looking statements within the meaning of the “safe harbor” provisions of the United States Private Securities Litigation Reform Act of 1995.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With respect to the matters addressed in this report, no assurances can be made regarding the outcome of our proceeding pursuant to Section 205 of the DGCL or any claims, proceedings or litigation regarding the authorization of our Class A common stock. Our Section 205 proceeding is, and any other litigation regarding the authorization of our stock would be, subject to uncertainties inherent in the litigation process, and may not result in timely resolution of the uncertainty regarding our capitalization, if at all. A further list and description of these risks, uncertainties and other factors can be found in the Company’s filings with the U.S. Securities and Exchange Commission. These filings and subsequent filings are or will be available online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on request from the Company.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No.</w:t>
            </w: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5"/>
                <w:szCs w:val="15"/>
                <w:color w:val="auto"/>
              </w:rPr>
            </w:pPr>
          </w:p>
        </w:tc>
        <w:tc>
          <w:tcPr>
            <w:tcW w:w="986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0000FF"/>
              </w:rPr>
              <w:t>Order entered by the Delaware Court of Chancery on March 6, 2023</w:t>
            </w:r>
            <w:r>
              <w:rPr>
                <w:rFonts w:ascii="Arial" w:cs="Arial" w:eastAsia="Arial" w:hAnsi="Arial"/>
                <w:sz w:val="18"/>
                <w:szCs w:val="18"/>
                <w:color w:val="000000"/>
              </w:rPr>
              <w:t>.</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748"/>
        </w:trPr>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40" w:type="dxa"/>
            <w:vAlign w:val="bottom"/>
            <w:gridSpan w:val="2"/>
          </w:tcPr>
          <w:p>
            <w:pPr>
              <w:ind w:left="2200"/>
              <w:spacing w:after="0"/>
              <w:rPr>
                <w:sz w:val="20"/>
                <w:szCs w:val="20"/>
                <w:color w:val="auto"/>
              </w:rPr>
            </w:pPr>
            <w:r>
              <w:rPr>
                <w:rFonts w:ascii="Arial" w:cs="Arial" w:eastAsia="Arial" w:hAnsi="Arial"/>
                <w:sz w:val="18"/>
                <w:szCs w:val="18"/>
                <w:color w:val="auto"/>
              </w:rPr>
              <w:t>PERELLA WEINBERG PARTNERS</w:t>
            </w:r>
          </w:p>
        </w:tc>
      </w:tr>
      <w:tr>
        <w:trPr>
          <w:trHeight w:val="486"/>
        </w:trPr>
        <w:tc>
          <w:tcPr>
            <w:tcW w:w="3680" w:type="dxa"/>
            <w:vAlign w:val="bottom"/>
          </w:tcPr>
          <w:p>
            <w:pPr>
              <w:spacing w:after="0"/>
              <w:rPr>
                <w:sz w:val="20"/>
                <w:szCs w:val="20"/>
                <w:color w:val="auto"/>
              </w:rPr>
            </w:pPr>
            <w:r>
              <w:rPr>
                <w:rFonts w:ascii="Arial" w:cs="Arial" w:eastAsia="Arial" w:hAnsi="Arial"/>
                <w:sz w:val="18"/>
                <w:szCs w:val="18"/>
                <w:color w:val="auto"/>
              </w:rPr>
              <w:t>Date: March 7, 2023</w:t>
            </w:r>
          </w:p>
        </w:tc>
        <w:tc>
          <w:tcPr>
            <w:tcW w:w="3000" w:type="dxa"/>
            <w:vAlign w:val="bottom"/>
          </w:tcPr>
          <w:p>
            <w:pPr>
              <w:ind w:left="220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Barancik</w:t>
            </w:r>
          </w:p>
        </w:tc>
      </w:tr>
      <w:tr>
        <w:trPr>
          <w:trHeight w:val="222"/>
        </w:trPr>
        <w:tc>
          <w:tcPr>
            <w:tcW w:w="3680" w:type="dxa"/>
            <w:vAlign w:val="bottom"/>
          </w:tcPr>
          <w:p>
            <w:pPr>
              <w:spacing w:after="0"/>
              <w:rPr>
                <w:sz w:val="19"/>
                <w:szCs w:val="19"/>
                <w:color w:val="auto"/>
              </w:rPr>
            </w:pPr>
          </w:p>
        </w:tc>
        <w:tc>
          <w:tcPr>
            <w:tcW w:w="3000" w:type="dxa"/>
            <w:vAlign w:val="bottom"/>
          </w:tcPr>
          <w:p>
            <w:pPr>
              <w:ind w:left="220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Gary Barancik</w:t>
            </w:r>
          </w:p>
        </w:tc>
      </w:tr>
      <w:tr>
        <w:trPr>
          <w:trHeight w:val="230"/>
        </w:trPr>
        <w:tc>
          <w:tcPr>
            <w:tcW w:w="3680" w:type="dxa"/>
            <w:vAlign w:val="bottom"/>
          </w:tcPr>
          <w:p>
            <w:pPr>
              <w:spacing w:after="0"/>
              <w:rPr>
                <w:sz w:val="20"/>
                <w:szCs w:val="20"/>
                <w:color w:val="auto"/>
              </w:rPr>
            </w:pPr>
          </w:p>
        </w:tc>
        <w:tc>
          <w:tcPr>
            <w:tcW w:w="3000" w:type="dxa"/>
            <w:vAlign w:val="bottom"/>
          </w:tcPr>
          <w:p>
            <w:pPr>
              <w:ind w:left="220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728980</wp:posOffset>
            </wp:positionV>
            <wp:extent cx="672084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36"/>
          <w:szCs w:val="36"/>
          <w:b w:val="1"/>
          <w:bCs w:val="1"/>
          <w:color w:val="auto"/>
        </w:rPr>
        <w:t>GRANTED</w:t>
      </w:r>
    </w:p>
    <w:p>
      <w:pPr>
        <w:spacing w:after="0" w:line="200" w:lineRule="exact"/>
        <w:rPr>
          <w:sz w:val="20"/>
          <w:szCs w:val="20"/>
          <w:color w:val="auto"/>
        </w:rPr>
      </w:pPr>
    </w:p>
    <w:p>
      <w:pPr>
        <w:spacing w:after="0" w:line="315" w:lineRule="exact"/>
        <w:rPr>
          <w:sz w:val="20"/>
          <w:szCs w:val="20"/>
          <w:color w:val="auto"/>
        </w:rPr>
      </w:pPr>
    </w:p>
    <w:p>
      <w:pPr>
        <w:ind w:left="1460"/>
        <w:spacing w:after="0"/>
        <w:rPr>
          <w:sz w:val="20"/>
          <w:szCs w:val="20"/>
          <w:color w:val="auto"/>
        </w:rPr>
      </w:pPr>
      <w:r>
        <w:rPr>
          <w:rFonts w:ascii="Arial" w:cs="Arial" w:eastAsia="Arial" w:hAnsi="Arial"/>
          <w:sz w:val="25"/>
          <w:szCs w:val="25"/>
          <w:b w:val="1"/>
          <w:bCs w:val="1"/>
          <w:color w:val="auto"/>
        </w:rPr>
        <w:t>IN THE COURT OF CHANCERY OF THE STATE OF DELAWARE</w:t>
      </w: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87"/>
        </w:trPr>
        <w:tc>
          <w:tcPr>
            <w:tcW w:w="4060" w:type="dxa"/>
            <w:vAlign w:val="bottom"/>
            <w:vMerge w:val="restart"/>
          </w:tcPr>
          <w:p>
            <w:pPr>
              <w:spacing w:after="0"/>
              <w:rPr>
                <w:sz w:val="20"/>
                <w:szCs w:val="20"/>
                <w:color w:val="auto"/>
              </w:rPr>
            </w:pPr>
            <w:r>
              <w:rPr>
                <w:rFonts w:ascii="Arial" w:cs="Arial" w:eastAsia="Arial" w:hAnsi="Arial"/>
                <w:sz w:val="25"/>
                <w:szCs w:val="25"/>
                <w:color w:val="auto"/>
              </w:rPr>
              <w:t>IN RE PERELLA WEINBERG</w:t>
            </w:r>
          </w:p>
        </w:tc>
        <w:tc>
          <w:tcPr>
            <w:tcW w:w="3920" w:type="dxa"/>
            <w:vAlign w:val="bottom"/>
          </w:tcPr>
          <w:p>
            <w:pPr>
              <w:ind w:left="84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246"/>
        </w:trPr>
        <w:tc>
          <w:tcPr>
            <w:tcW w:w="4060" w:type="dxa"/>
            <w:vAlign w:val="bottom"/>
            <w:vMerge w:val="continue"/>
          </w:tcPr>
          <w:p>
            <w:pPr>
              <w:spacing w:after="0"/>
              <w:rPr>
                <w:sz w:val="21"/>
                <w:szCs w:val="21"/>
                <w:color w:val="auto"/>
              </w:rPr>
            </w:pPr>
          </w:p>
        </w:tc>
        <w:tc>
          <w:tcPr>
            <w:tcW w:w="3920" w:type="dxa"/>
            <w:vAlign w:val="bottom"/>
          </w:tcPr>
          <w:p>
            <w:pPr>
              <w:ind w:left="840"/>
              <w:spacing w:after="0" w:line="246" w:lineRule="exact"/>
              <w:rPr>
                <w:sz w:val="20"/>
                <w:szCs w:val="20"/>
                <w:color w:val="auto"/>
              </w:rPr>
            </w:pPr>
            <w:r>
              <w:rPr>
                <w:rFonts w:ascii="Arial" w:cs="Arial" w:eastAsia="Arial" w:hAnsi="Arial"/>
                <w:sz w:val="25"/>
                <w:szCs w:val="25"/>
                <w:color w:val="auto"/>
                <w:w w:val="97"/>
              </w:rPr>
              <w:t>)  C.A. No. 2023-0209-LWW</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25"/>
                <w:szCs w:val="25"/>
                <w:color w:val="auto"/>
              </w:rPr>
              <w:t>PARTNERS</w:t>
            </w:r>
          </w:p>
        </w:tc>
        <w:tc>
          <w:tcPr>
            <w:tcW w:w="3920" w:type="dxa"/>
            <w:vAlign w:val="bottom"/>
          </w:tcPr>
          <w:p>
            <w:pPr>
              <w:ind w:left="84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ind w:right="1060"/>
        <w:spacing w:after="0" w:line="248" w:lineRule="auto"/>
        <w:rPr>
          <w:sz w:val="20"/>
          <w:szCs w:val="20"/>
          <w:color w:val="auto"/>
        </w:rPr>
      </w:pPr>
      <w:r>
        <w:rPr>
          <w:rFonts w:ascii="Arial" w:cs="Arial" w:eastAsia="Arial" w:hAnsi="Arial"/>
          <w:sz w:val="25"/>
          <w:szCs w:val="25"/>
          <w:b w:val="1"/>
          <w:bCs w:val="1"/>
          <w:color w:val="auto"/>
        </w:rPr>
        <w:t xml:space="preserve">[PROPOSED] ORDER GRANTING PERELLA WEINBERG PARTNERS’ </w:t>
      </w:r>
      <w:r>
        <w:rPr>
          <w:rFonts w:ascii="Arial" w:cs="Arial" w:eastAsia="Arial" w:hAnsi="Arial"/>
          <w:sz w:val="25"/>
          <w:szCs w:val="25"/>
          <w:b w:val="1"/>
          <w:bCs w:val="1"/>
          <w:u w:val="single" w:color="auto"/>
          <w:color w:val="auto"/>
        </w:rPr>
        <w:t>VERIFIED APPLICATION PURSUANT TO 8 DEL. C. § 205</w:t>
      </w:r>
    </w:p>
    <w:p>
      <w:pPr>
        <w:spacing w:after="0" w:line="200" w:lineRule="exact"/>
        <w:rPr>
          <w:sz w:val="20"/>
          <w:szCs w:val="20"/>
          <w:color w:val="auto"/>
        </w:rPr>
      </w:pPr>
    </w:p>
    <w:p>
      <w:pPr>
        <w:spacing w:after="0" w:line="224" w:lineRule="exact"/>
        <w:rPr>
          <w:sz w:val="20"/>
          <w:szCs w:val="20"/>
          <w:color w:val="auto"/>
        </w:rPr>
      </w:pPr>
    </w:p>
    <w:p>
      <w:pPr>
        <w:ind w:right="900" w:firstLine="1296"/>
        <w:spacing w:after="0" w:line="526" w:lineRule="auto"/>
        <w:rPr>
          <w:sz w:val="20"/>
          <w:szCs w:val="20"/>
          <w:color w:val="auto"/>
        </w:rPr>
      </w:pPr>
      <w:r>
        <w:rPr>
          <w:rFonts w:ascii="Arial" w:cs="Arial" w:eastAsia="Arial" w:hAnsi="Arial"/>
          <w:sz w:val="23"/>
          <w:szCs w:val="23"/>
          <w:color w:val="auto"/>
        </w:rPr>
        <w:t xml:space="preserve">WHEREAS, this Court having reviewed the Verified Application Pursuant to 8 </w:t>
      </w:r>
      <w:r>
        <w:rPr>
          <w:rFonts w:ascii="Arial" w:cs="Arial" w:eastAsia="Arial" w:hAnsi="Arial"/>
          <w:sz w:val="23"/>
          <w:szCs w:val="23"/>
          <w:i w:val="1"/>
          <w:iCs w:val="1"/>
          <w:color w:val="auto"/>
        </w:rPr>
        <w:t xml:space="preserve">Del. C. </w:t>
      </w:r>
      <w:r>
        <w:rPr>
          <w:rFonts w:ascii="Arial" w:cs="Arial" w:eastAsia="Arial" w:hAnsi="Arial"/>
          <w:sz w:val="23"/>
          <w:szCs w:val="23"/>
          <w:color w:val="auto"/>
        </w:rPr>
        <w:t>§ 205 (the “Application”) filed by Perella Weinberg Partners (the “Company”), the</w:t>
      </w:r>
      <w:r>
        <w:rPr>
          <w:rFonts w:ascii="Arial" w:cs="Arial" w:eastAsia="Arial" w:hAnsi="Arial"/>
          <w:sz w:val="23"/>
          <w:szCs w:val="23"/>
          <w:i w:val="1"/>
          <w:iCs w:val="1"/>
          <w:color w:val="auto"/>
        </w:rPr>
        <w:t xml:space="preserve"> </w:t>
      </w:r>
      <w:r>
        <w:rPr>
          <w:rFonts w:ascii="Arial" w:cs="Arial" w:eastAsia="Arial" w:hAnsi="Arial"/>
          <w:sz w:val="23"/>
          <w:szCs w:val="23"/>
          <w:color w:val="auto"/>
        </w:rPr>
        <w:t xml:space="preserve">Court having considered the factors in 8 </w:t>
      </w:r>
      <w:r>
        <w:rPr>
          <w:rFonts w:ascii="Arial" w:cs="Arial" w:eastAsia="Arial" w:hAnsi="Arial"/>
          <w:sz w:val="23"/>
          <w:szCs w:val="23"/>
          <w:i w:val="1"/>
          <w:iCs w:val="1"/>
          <w:color w:val="auto"/>
        </w:rPr>
        <w:t>Del. C.</w:t>
      </w:r>
      <w:r>
        <w:rPr>
          <w:rFonts w:ascii="Arial" w:cs="Arial" w:eastAsia="Arial" w:hAnsi="Arial"/>
          <w:sz w:val="23"/>
          <w:szCs w:val="23"/>
          <w:color w:val="auto"/>
        </w:rPr>
        <w:t xml:space="preserve"> § 205(d), and for good cause having been</w:t>
      </w:r>
    </w:p>
    <w:p>
      <w:pPr>
        <w:spacing w:after="0" w:line="3" w:lineRule="exact"/>
        <w:rPr>
          <w:sz w:val="20"/>
          <w:szCs w:val="20"/>
          <w:color w:val="auto"/>
        </w:rPr>
      </w:pPr>
    </w:p>
    <w:p>
      <w:pPr>
        <w:spacing w:after="0"/>
        <w:rPr>
          <w:sz w:val="20"/>
          <w:szCs w:val="20"/>
          <w:color w:val="auto"/>
        </w:rPr>
      </w:pPr>
      <w:r>
        <w:rPr>
          <w:rFonts w:ascii="Arial" w:cs="Arial" w:eastAsia="Arial" w:hAnsi="Arial"/>
          <w:sz w:val="25"/>
          <w:szCs w:val="25"/>
          <w:color w:val="auto"/>
        </w:rPr>
        <w:t>shown,</w:t>
      </w:r>
    </w:p>
    <w:p>
      <w:pPr>
        <w:spacing w:after="0" w:line="131" w:lineRule="exact"/>
        <w:rPr>
          <w:sz w:val="20"/>
          <w:szCs w:val="20"/>
          <w:color w:val="auto"/>
        </w:rPr>
      </w:pPr>
    </w:p>
    <w:p>
      <w:pPr>
        <w:ind w:left="1300"/>
        <w:spacing w:after="0"/>
        <w:tabs>
          <w:tab w:leader="none" w:pos="4880" w:val="left"/>
          <w:tab w:leader="none" w:pos="5820" w:val="left"/>
        </w:tabs>
        <w:rPr>
          <w:sz w:val="20"/>
          <w:szCs w:val="20"/>
          <w:color w:val="auto"/>
        </w:rPr>
      </w:pPr>
      <w:r>
        <w:rPr>
          <w:rFonts w:ascii="Arial" w:cs="Arial" w:eastAsia="Arial" w:hAnsi="Arial"/>
          <w:sz w:val="25"/>
          <w:szCs w:val="25"/>
          <w:color w:val="auto"/>
        </w:rPr>
        <w:t>IT IS HEREBY ORDERED this</w:t>
        <w:tab/>
        <w:t>day of</w:t>
      </w:r>
      <w:r>
        <w:rPr>
          <w:sz w:val="20"/>
          <w:szCs w:val="20"/>
          <w:color w:val="auto"/>
        </w:rPr>
        <w:tab/>
      </w:r>
      <w:r>
        <w:rPr>
          <w:rFonts w:ascii="Arial" w:cs="Arial" w:eastAsia="Arial" w:hAnsi="Arial"/>
          <w:sz w:val="22"/>
          <w:szCs w:val="22"/>
          <w:color w:val="auto"/>
        </w:rPr>
        <w:t>, 2023,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-17145</wp:posOffset>
            </wp:positionV>
            <wp:extent cx="160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020" cy="8890"/>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-17145</wp:posOffset>
            </wp:positionV>
            <wp:extent cx="160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pacing w:after="0" w:line="354" w:lineRule="exact"/>
        <w:rPr>
          <w:sz w:val="20"/>
          <w:szCs w:val="20"/>
          <w:color w:val="auto"/>
        </w:rPr>
      </w:pPr>
    </w:p>
    <w:p>
      <w:pPr>
        <w:ind w:right="660" w:firstLine="658"/>
        <w:spacing w:after="0" w:line="490" w:lineRule="auto"/>
        <w:tabs>
          <w:tab w:leader="none" w:pos="1084" w:val="left"/>
        </w:tabs>
        <w:numPr>
          <w:ilvl w:val="0"/>
          <w:numId w:val="2"/>
        </w:numPr>
        <w:rPr>
          <w:rFonts w:ascii="Arial" w:cs="Arial" w:eastAsia="Arial" w:hAnsi="Arial"/>
          <w:sz w:val="25"/>
          <w:szCs w:val="25"/>
          <w:color w:val="auto"/>
        </w:rPr>
      </w:pPr>
      <w:r>
        <w:rPr>
          <w:rFonts w:ascii="Arial" w:cs="Arial" w:eastAsia="Arial" w:hAnsi="Arial"/>
          <w:sz w:val="25"/>
          <w:szCs w:val="25"/>
          <w:color w:val="auto"/>
        </w:rPr>
        <w:t>The June 22, 2021 stockholder vote approving the Authorized Share Amendment is hereby validated and declared effective.</w:t>
      </w:r>
      <w:r>
        <w:rPr>
          <w:rFonts w:ascii="Arial" w:cs="Arial" w:eastAsia="Arial" w:hAnsi="Arial"/>
          <w:sz w:val="16"/>
          <w:szCs w:val="16"/>
          <w:color w:val="auto"/>
        </w:rPr>
        <w:t>1</w:t>
      </w:r>
    </w:p>
    <w:p>
      <w:pPr>
        <w:ind w:right="1200" w:firstLine="658"/>
        <w:spacing w:after="0" w:line="490" w:lineRule="auto"/>
        <w:tabs>
          <w:tab w:leader="none" w:pos="1084" w:val="left"/>
        </w:tabs>
        <w:numPr>
          <w:ilvl w:val="0"/>
          <w:numId w:val="2"/>
        </w:numPr>
        <w:rPr>
          <w:rFonts w:ascii="Arial" w:cs="Arial" w:eastAsia="Arial" w:hAnsi="Arial"/>
          <w:sz w:val="25"/>
          <w:szCs w:val="25"/>
          <w:color w:val="auto"/>
        </w:rPr>
      </w:pPr>
      <w:r>
        <w:rPr>
          <w:rFonts w:ascii="Arial" w:cs="Arial" w:eastAsia="Arial" w:hAnsi="Arial"/>
          <w:sz w:val="25"/>
          <w:szCs w:val="25"/>
          <w:color w:val="auto"/>
        </w:rPr>
        <w:t>The Post-Transaction Charter, including the filing and effectiveness thereof, is hereby validated and declared effective.</w:t>
      </w:r>
    </w:p>
    <w:p>
      <w:pPr>
        <w:ind w:right="860" w:firstLine="658"/>
        <w:spacing w:after="0" w:line="525" w:lineRule="auto"/>
        <w:tabs>
          <w:tab w:leader="none" w:pos="1084" w:val="left"/>
        </w:tabs>
        <w:numPr>
          <w:ilvl w:val="0"/>
          <w:numId w:val="2"/>
        </w:numPr>
        <w:rPr>
          <w:rFonts w:ascii="Arial" w:cs="Arial" w:eastAsia="Arial" w:hAnsi="Arial"/>
          <w:sz w:val="24"/>
          <w:szCs w:val="24"/>
          <w:color w:val="auto"/>
        </w:rPr>
      </w:pPr>
      <w:r>
        <w:rPr>
          <w:rFonts w:ascii="Arial" w:cs="Arial" w:eastAsia="Arial" w:hAnsi="Arial"/>
          <w:sz w:val="24"/>
          <w:szCs w:val="24"/>
          <w:color w:val="auto"/>
        </w:rPr>
        <w:t>The Company’s securities (and the issuance of the securities) described in the Application, whether already issued or to be issued pursuant to authorization under the Post-Transaction Charter, are hereby validated and declared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34925</wp:posOffset>
            </wp:positionV>
            <wp:extent cx="1637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94" w:lineRule="exact"/>
        <w:rPr>
          <w:sz w:val="20"/>
          <w:szCs w:val="20"/>
          <w:color w:val="auto"/>
        </w:rPr>
      </w:pPr>
    </w:p>
    <w:p>
      <w:pPr>
        <w:ind w:right="1160" w:firstLine="10"/>
        <w:spacing w:after="0" w:line="243"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25"/>
          <w:szCs w:val="25"/>
          <w:color w:val="auto"/>
        </w:rPr>
        <w:t>Capitalized terms not otherwise defined herein shall have the meaning ascribed to such terms in the Application.</w:t>
      </w:r>
    </w:p>
    <w:p>
      <w:pPr>
        <w:sectPr>
          <w:pgSz w:w="11900" w:h="16838" w:orient="portrait"/>
          <w:cols w:equalWidth="0" w:num="1">
            <w:col w:w="10180"/>
          </w:cols>
          <w:pgMar w:left="1380" w:top="108" w:right="339" w:bottom="1440" w:gutter="0" w:footer="0" w:header="0"/>
        </w:sectPr>
      </w:pPr>
    </w:p>
    <w:bookmarkStart w:id="4" w:name="page5"/>
    <w:bookmarkEnd w:id="4"/>
    <w:p>
      <w:pPr>
        <w:spacing w:after="0" w:line="128" w:lineRule="exact"/>
        <w:rPr>
          <w:sz w:val="20"/>
          <w:szCs w:val="20"/>
          <w:color w:val="auto"/>
        </w:rPr>
      </w:pPr>
    </w:p>
    <w:p>
      <w:pPr>
        <w:jc w:val="both"/>
        <w:ind w:firstLine="658"/>
        <w:spacing w:after="0" w:line="557" w:lineRule="auto"/>
        <w:tabs>
          <w:tab w:leader="none" w:pos="1089" w:val="left"/>
        </w:tabs>
        <w:numPr>
          <w:ilvl w:val="0"/>
          <w:numId w:val="4"/>
        </w:numPr>
        <w:rPr>
          <w:rFonts w:ascii="Arial" w:cs="Arial" w:eastAsia="Arial" w:hAnsi="Arial"/>
          <w:sz w:val="22"/>
          <w:szCs w:val="22"/>
          <w:color w:val="auto"/>
        </w:rPr>
      </w:pPr>
      <w:r>
        <w:rPr>
          <w:rFonts w:ascii="Arial" w:cs="Arial" w:eastAsia="Arial" w:hAnsi="Arial"/>
          <w:sz w:val="22"/>
          <w:szCs w:val="22"/>
          <w:color w:val="auto"/>
        </w:rPr>
        <w:t>For the avoidance of doubt, this Order validates the above-described corporate acts, notwithstanding any failures of authorization or potential failures of authorization, as described</w:t>
      </w:r>
    </w:p>
    <w:p>
      <w:pPr>
        <w:spacing w:after="0"/>
        <w:rPr>
          <w:sz w:val="20"/>
          <w:szCs w:val="20"/>
          <w:color w:val="auto"/>
        </w:rPr>
      </w:pPr>
      <w:r>
        <w:rPr>
          <w:rFonts w:ascii="Arial" w:cs="Arial" w:eastAsia="Arial" w:hAnsi="Arial"/>
          <w:sz w:val="25"/>
          <w:szCs w:val="25"/>
          <w:color w:val="auto"/>
        </w:rPr>
        <w:t>in the Application.</w:t>
      </w:r>
    </w:p>
    <w:p>
      <w:pPr>
        <w:spacing w:after="0" w:line="1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5"/>
          <w:szCs w:val="25"/>
          <w:color w:val="auto"/>
        </w:rPr>
        <w:t>5.</w:t>
      </w:r>
      <w:r>
        <w:rPr>
          <w:sz w:val="20"/>
          <w:szCs w:val="20"/>
          <w:color w:val="auto"/>
        </w:rPr>
        <w:tab/>
      </w:r>
      <w:r>
        <w:rPr>
          <w:rFonts w:ascii="Arial" w:cs="Arial" w:eastAsia="Arial" w:hAnsi="Arial"/>
          <w:sz w:val="22"/>
          <w:szCs w:val="22"/>
          <w:color w:val="auto"/>
        </w:rPr>
        <w:t>The action is hereby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80"/>
        <w:spacing w:after="0"/>
        <w:rPr>
          <w:sz w:val="20"/>
          <w:szCs w:val="20"/>
          <w:color w:val="auto"/>
        </w:rPr>
      </w:pPr>
      <w:r>
        <w:rPr>
          <w:rFonts w:ascii="Arial" w:cs="Arial" w:eastAsia="Arial" w:hAnsi="Arial"/>
          <w:sz w:val="25"/>
          <w:szCs w:val="25"/>
          <w:color w:val="auto"/>
        </w:rPr>
        <w:t>Vice Chancellor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-179705</wp:posOffset>
            </wp:positionV>
            <wp:extent cx="2837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80"/>
        <w:spacing w:after="0"/>
        <w:rPr>
          <w:sz w:val="20"/>
          <w:szCs w:val="20"/>
          <w:color w:val="auto"/>
        </w:rPr>
      </w:pPr>
      <w:r>
        <w:rPr>
          <w:rFonts w:ascii="Arial" w:cs="Arial" w:eastAsia="Arial" w:hAnsi="Arial"/>
          <w:sz w:val="25"/>
          <w:szCs w:val="25"/>
          <w:color w:val="auto"/>
        </w:rPr>
        <w:t>2</w:t>
      </w:r>
    </w:p>
    <w:p>
      <w:pPr>
        <w:sectPr>
          <w:pgSz w:w="11900" w:h="16838" w:orient="portrait"/>
          <w:cols w:equalWidth="0" w:num="1">
            <w:col w:w="9600"/>
          </w:cols>
          <w:pgMar w:left="1380" w:top="1440" w:right="919" w:bottom="456"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925218-WILSR01A - MSW</w:t>
      </w:r>
    </w:p>
    <w:p>
      <w:pPr>
        <w:sectPr>
          <w:pgSz w:w="11900" w:h="16838" w:orient="portrait"/>
          <w:cols w:equalWidth="0" w:num="1">
            <w:col w:w="9600"/>
          </w:cols>
          <w:pgMar w:left="1380" w:top="1440" w:right="919" w:bottom="456" w:gutter="0" w:footer="0" w:header="0"/>
          <w:type w:val="continuous"/>
        </w:sectPr>
      </w:pPr>
    </w:p>
    <w:bookmarkStart w:id="5" w:name="page6"/>
    <w:bookmarkEnd w:id="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989330</wp:posOffset>
            </wp:positionV>
            <wp:extent cx="5958205" cy="3197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58205" cy="31972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FFFFFF"/>
        </w:rPr>
        <w:t>This document constitutes a ruling of the court and should be treated as such.</w:t>
      </w:r>
    </w:p>
    <w:p>
      <w:pPr>
        <w:spacing w:after="0" w:line="94"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 xml:space="preserve">Court: </w:t>
      </w:r>
      <w:r>
        <w:rPr>
          <w:rFonts w:ascii="Arial" w:cs="Arial" w:eastAsia="Arial" w:hAnsi="Arial"/>
          <w:sz w:val="19"/>
          <w:szCs w:val="19"/>
          <w:color w:val="auto"/>
        </w:rPr>
        <w:t>DE Court of Chancery Civil Action</w:t>
      </w:r>
    </w:p>
    <w:p>
      <w:pPr>
        <w:spacing w:after="0" w:line="133"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 xml:space="preserve">Judge: </w:t>
      </w:r>
      <w:r>
        <w:rPr>
          <w:rFonts w:ascii="Arial" w:cs="Arial" w:eastAsia="Arial" w:hAnsi="Arial"/>
          <w:sz w:val="19"/>
          <w:szCs w:val="19"/>
          <w:color w:val="auto"/>
        </w:rPr>
        <w:t>Lori W. Will</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File &amp; Serve Transaction ID:</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9"/>
          <w:szCs w:val="19"/>
          <w:color w:val="auto"/>
        </w:rPr>
        <w:t>69259228</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 xml:space="preserve">Current Date: </w:t>
      </w:r>
      <w:r>
        <w:rPr>
          <w:rFonts w:ascii="Arial" w:cs="Arial" w:eastAsia="Arial" w:hAnsi="Arial"/>
          <w:sz w:val="19"/>
          <w:szCs w:val="19"/>
          <w:color w:val="auto"/>
        </w:rPr>
        <w:t>Mar 06, 2023</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Case Number: </w:t>
      </w:r>
      <w:r>
        <w:rPr>
          <w:rFonts w:ascii="Arial" w:cs="Arial" w:eastAsia="Arial" w:hAnsi="Arial"/>
          <w:sz w:val="19"/>
          <w:szCs w:val="19"/>
          <w:color w:val="auto"/>
        </w:rPr>
        <w:t>2023-0209-LWW</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 xml:space="preserve">Case Name: </w:t>
      </w:r>
      <w:r>
        <w:rPr>
          <w:rFonts w:ascii="Arial" w:cs="Arial" w:eastAsia="Arial" w:hAnsi="Arial"/>
          <w:sz w:val="19"/>
          <w:szCs w:val="19"/>
          <w:color w:val="auto"/>
        </w:rPr>
        <w:t>In re Perella Weinberg Partners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Court Authorizer: </w:t>
      </w:r>
      <w:r>
        <w:rPr>
          <w:rFonts w:ascii="Arial" w:cs="Arial" w:eastAsia="Arial" w:hAnsi="Arial"/>
          <w:sz w:val="19"/>
          <w:szCs w:val="19"/>
          <w:color w:val="auto"/>
        </w:rPr>
        <w:t>Lori W. Will</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Court Authorizer</w:t>
      </w:r>
    </w:p>
    <w:p>
      <w:pPr>
        <w:ind w:left="1000"/>
        <w:spacing w:after="0"/>
        <w:rPr>
          <w:sz w:val="20"/>
          <w:szCs w:val="20"/>
          <w:color w:val="auto"/>
        </w:rPr>
      </w:pPr>
      <w:r>
        <w:rPr>
          <w:rFonts w:ascii="Arial" w:cs="Arial" w:eastAsia="Arial" w:hAnsi="Arial"/>
          <w:sz w:val="19"/>
          <w:szCs w:val="19"/>
          <w:b w:val="1"/>
          <w:bCs w:val="1"/>
          <w:color w:val="auto"/>
        </w:rPr>
        <w:t>Comments:</w:t>
      </w:r>
    </w:p>
    <w:p>
      <w:pPr>
        <w:spacing w:after="0" w:line="130" w:lineRule="exact"/>
        <w:rPr>
          <w:sz w:val="20"/>
          <w:szCs w:val="20"/>
          <w:color w:val="auto"/>
        </w:rPr>
      </w:pPr>
    </w:p>
    <w:p>
      <w:pPr>
        <w:ind w:right="139"/>
        <w:spacing w:after="0" w:line="255" w:lineRule="auto"/>
        <w:rPr>
          <w:sz w:val="20"/>
          <w:szCs w:val="20"/>
          <w:color w:val="auto"/>
        </w:rPr>
      </w:pPr>
      <w:r>
        <w:rPr>
          <w:rFonts w:ascii="Arial" w:cs="Arial" w:eastAsia="Arial" w:hAnsi="Arial"/>
          <w:sz w:val="19"/>
          <w:szCs w:val="19"/>
          <w:color w:val="auto"/>
        </w:rPr>
        <w:t>The petition is granted pursuant to Section 205(a) of the Delaware General Corporation Law for the reasons set forth in the court's March 6, 2023 bench ruling. See transcript; see also Opinion Regarding Section 205 Petition, In re Lordstown Motors Corp., 2023-0083-LWW (Del. Ch. Feb. 21, 2023) (setting forth reasoning for granting similar relief in a Section 205 action).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Judge Lori W. Will</w:t>
      </w:r>
    </w:p>
    <w:sectPr>
      <w:pgSz w:w="11900" w:h="16838" w:orient="portrait"/>
      <w:cols w:equalWidth="0" w:num="1">
        <w:col w:w="9159"/>
      </w:cols>
      <w:pgMar w:left="13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2023-03-07T15:23:47Z</dcterms:created>
  <dcterms:modified xsi:type="dcterms:W3CDTF">2023-03-07T15:23:47Z</dcterms:modified>
</cp:coreProperties>
</file>