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001-39558</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PERELLA WEINBERG PARTNERS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2430"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erif" w:hAnsi="Times New Roman;serif"/>
                <w:b/>
                <w:color w:val="000000"/>
                <w:sz w:val="14"/>
              </w:rPr>
            </w:pPr>
            <w:r>
              <w:rPr>
                <w:rFonts w:ascii="Times New Roman;serif" w:hAnsi="Times New Roman;serif"/>
                <w:b/>
                <w:color w:val="000000"/>
                <w:sz w:val="14"/>
              </w:rPr>
              <w:t>( State or other jurisdiction of</w:t>
            </w:r>
          </w:p>
          <w:p>
            <w:pPr>
              <w:pStyle w:val="TableContents"/>
              <w:bidi w:val="0"/>
              <w:spacing w:lineRule="auto" w:line="362" w:before="14" w:after="3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362" w:before="14" w:after="3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12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932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69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As of November 4, 2025, the registrant had 65,350,416 shares of Class A common stock, par value $0.0001 per share, and 23,458,506 shares of Class B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4"/>
        <w:gridCol w:w="249"/>
        <w:gridCol w:w="251"/>
        <w:gridCol w:w="2947"/>
        <w:gridCol w:w="2947"/>
        <w:gridCol w:w="2953"/>
        <w:gridCol w:w="167"/>
        <w:gridCol w:w="167"/>
        <w:gridCol w:w="240"/>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3">
              <w:r>
                <w:rPr>
                  <w:rStyle w:val="InternetLink"/>
                  <w:rFonts w:ascii="Times New Roman;serif" w:hAnsi="Times New Roman;serif"/>
                  <w:b/>
                  <w:color w:val="0000FF"/>
                  <w:sz w:val="20"/>
                  <w:u w:val="single"/>
                </w:rPr>
                <w:t>PART I.</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3">
              <w:r>
                <w:rPr>
                  <w:rStyle w:val="InternetLink"/>
                  <w:rFonts w:ascii="Times New Roman;serif" w:hAnsi="Times New Roman;serif"/>
                  <w:b/>
                  <w:color w:val="0000FF"/>
                  <w:sz w:val="20"/>
                  <w:u w:val="single"/>
                </w:rPr>
                <w:t>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
              <w:r>
                <w:rPr>
                  <w:rStyle w:val="InternetLink"/>
                  <w:rFonts w:ascii="Times New Roman;serif" w:hAnsi="Times New Roman;serif"/>
                  <w:b w:val="false"/>
                  <w:color w:val="0000FF"/>
                  <w:sz w:val="20"/>
                  <w:u w:val="singl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6">
              <w:r>
                <w:rPr>
                  <w:rStyle w:val="InternetLink"/>
                  <w:rFonts w:ascii="Times New Roman;serif" w:hAnsi="Times New Roman;serif"/>
                  <w:b w:val="false"/>
                  <w:color w:val="0000FF"/>
                  <w:sz w:val="20"/>
                  <w:u w:val="single"/>
                </w:rPr>
                <w:t>3</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9">
              <w:r>
                <w:rPr>
                  <w:rStyle w:val="InternetLink"/>
                  <w:rFonts w:ascii="Times New Roman;serif" w:hAnsi="Times New Roman;serif"/>
                  <w:b w:val="false"/>
                  <w:color w:val="000080"/>
                  <w:sz w:val="20"/>
                  <w:u w:val="single"/>
                </w:rPr>
                <w:t xml:space="preserve">Condensed Consolidated Statements of Financial Condition as of </w:t>
              </w:r>
            </w:hyperlink>
            <w:hyperlink w:anchor="ibffbb550baa94ad59477c621439a44c5_19">
              <w:r>
                <w:rPr>
                  <w:rStyle w:val="InternetLink"/>
                  <w:rFonts w:ascii="Times New Roman;serif" w:hAnsi="Times New Roman;serif"/>
                  <w:b w:val="false"/>
                  <w:color w:val="000080"/>
                  <w:sz w:val="20"/>
                  <w:u w:val="single"/>
                </w:rPr>
                <w:t>September</w:t>
              </w:r>
            </w:hyperlink>
            <w:hyperlink w:anchor="ibffbb550baa94ad59477c621439a44c5_19">
              <w:r>
                <w:rPr>
                  <w:rStyle w:val="InternetLink"/>
                  <w:rFonts w:ascii="Times New Roman;serif" w:hAnsi="Times New Roman;serif"/>
                  <w:b w:val="false"/>
                  <w:color w:val="000080"/>
                  <w:sz w:val="20"/>
                  <w:u w:val="single"/>
                </w:rPr>
                <w:t xml:space="preserve"> 30, 2025 and December 31,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9">
              <w:r>
                <w:rPr>
                  <w:rStyle w:val="InternetLink"/>
                  <w:rFonts w:ascii="Times New Roman;serif" w:hAnsi="Times New Roman;serif"/>
                  <w:b w:val="false"/>
                  <w:color w:val="0000FF"/>
                  <w:sz w:val="20"/>
                  <w:u w:val="single"/>
                </w:rPr>
                <w:t>3</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22">
              <w:r>
                <w:rPr>
                  <w:rStyle w:val="InternetLink"/>
                  <w:rFonts w:ascii="Times New Roman;serif" w:hAnsi="Times New Roman;serif"/>
                  <w:b w:val="false"/>
                  <w:color w:val="000080"/>
                  <w:sz w:val="20"/>
                  <w:u w:val="single"/>
                </w:rPr>
                <w:t xml:space="preserve">Condensed Consolidated Statements of Operations for the Three and </w:t>
              </w:r>
            </w:hyperlink>
            <w:hyperlink w:anchor="ibffbb550baa94ad59477c621439a44c5_22">
              <w:r>
                <w:rPr>
                  <w:rStyle w:val="InternetLink"/>
                  <w:rFonts w:ascii="Times New Roman;serif" w:hAnsi="Times New Roman;serif"/>
                  <w:b w:val="false"/>
                  <w:color w:val="000080"/>
                  <w:sz w:val="20"/>
                  <w:u w:val="single"/>
                </w:rPr>
                <w:t>Nine</w:t>
              </w:r>
            </w:hyperlink>
            <w:hyperlink w:anchor="ibffbb550baa94ad59477c621439a44c5_22">
              <w:r>
                <w:rPr>
                  <w:rStyle w:val="InternetLink"/>
                  <w:rFonts w:ascii="Times New Roman;serif" w:hAnsi="Times New Roman;serif"/>
                  <w:b w:val="false"/>
                  <w:color w:val="000080"/>
                  <w:sz w:val="20"/>
                  <w:u w:val="single"/>
                </w:rPr>
                <w:t xml:space="preserve"> Months Ended </w:t>
              </w:r>
            </w:hyperlink>
            <w:hyperlink w:anchor="ibffbb550baa94ad59477c621439a44c5_22">
              <w:r>
                <w:rPr>
                  <w:rStyle w:val="InternetLink"/>
                  <w:rFonts w:ascii="Times New Roman;serif" w:hAnsi="Times New Roman;serif"/>
                  <w:b w:val="false"/>
                  <w:color w:val="000080"/>
                  <w:sz w:val="20"/>
                  <w:u w:val="single"/>
                </w:rPr>
                <w:t>September</w:t>
              </w:r>
            </w:hyperlink>
            <w:hyperlink w:anchor="ibffbb550baa94ad59477c621439a44c5_22">
              <w:r>
                <w:rPr>
                  <w:rStyle w:val="InternetLink"/>
                  <w:rFonts w:ascii="Times New Roman;serif" w:hAnsi="Times New Roman;serif"/>
                  <w:b w:val="false"/>
                  <w:color w:val="000080"/>
                  <w:sz w:val="20"/>
                  <w:u w:val="single"/>
                </w:rPr>
                <w:t xml:space="preserve"> 30,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22">
              <w:r>
                <w:rPr>
                  <w:rStyle w:val="InternetLink"/>
                  <w:rFonts w:ascii="Times New Roman;serif" w:hAnsi="Times New Roman;serif"/>
                  <w:b w:val="false"/>
                  <w:color w:val="0000FF"/>
                  <w:sz w:val="20"/>
                  <w:u w:val="single"/>
                </w:rPr>
                <w:t>4</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25">
              <w:r>
                <w:rPr>
                  <w:rStyle w:val="InternetLink"/>
                  <w:rFonts w:ascii="Times New Roman;serif" w:hAnsi="Times New Roman;serif"/>
                  <w:b w:val="false"/>
                  <w:color w:val="000080"/>
                  <w:sz w:val="20"/>
                  <w:u w:val="single"/>
                </w:rPr>
                <w:t xml:space="preserve">Condensed Consolidated Statements of Comprehensive Income (Loss) for the Three and </w:t>
              </w:r>
            </w:hyperlink>
            <w:hyperlink w:anchor="ibffbb550baa94ad59477c621439a44c5_25">
              <w:r>
                <w:rPr>
                  <w:rStyle w:val="InternetLink"/>
                  <w:rFonts w:ascii="Times New Roman;serif" w:hAnsi="Times New Roman;serif"/>
                  <w:b w:val="false"/>
                  <w:color w:val="000080"/>
                  <w:sz w:val="20"/>
                  <w:u w:val="single"/>
                </w:rPr>
                <w:t>Nine</w:t>
              </w:r>
            </w:hyperlink>
            <w:hyperlink w:anchor="ibffbb550baa94ad59477c621439a44c5_25">
              <w:r>
                <w:rPr>
                  <w:rStyle w:val="InternetLink"/>
                  <w:rFonts w:ascii="Times New Roman;serif" w:hAnsi="Times New Roman;serif"/>
                  <w:b w:val="false"/>
                  <w:color w:val="000080"/>
                  <w:sz w:val="20"/>
                  <w:u w:val="single"/>
                </w:rPr>
                <w:t xml:space="preserve"> Months Ended </w:t>
              </w:r>
            </w:hyperlink>
            <w:hyperlink w:anchor="ibffbb550baa94ad59477c621439a44c5_25">
              <w:r>
                <w:rPr>
                  <w:rStyle w:val="InternetLink"/>
                  <w:rFonts w:ascii="Times New Roman;serif" w:hAnsi="Times New Roman;serif"/>
                  <w:b w:val="false"/>
                  <w:color w:val="000080"/>
                  <w:sz w:val="20"/>
                  <w:u w:val="single"/>
                </w:rPr>
                <w:t>September</w:t>
              </w:r>
            </w:hyperlink>
            <w:hyperlink w:anchor="ibffbb550baa94ad59477c621439a44c5_25">
              <w:r>
                <w:rPr>
                  <w:rStyle w:val="InternetLink"/>
                  <w:rFonts w:ascii="Times New Roman;serif" w:hAnsi="Times New Roman;serif"/>
                  <w:b w:val="false"/>
                  <w:color w:val="000080"/>
                  <w:sz w:val="20"/>
                  <w:u w:val="single"/>
                </w:rPr>
                <w:t xml:space="preserve"> 30, 2025 and 2024</w:t>
              </w:r>
            </w:hyperlink>
            <w:r>
              <w:rPr>
                <w:color w:val="000000"/>
              </w:rPr>
              <w:t xml:space="preserve"> </w:t>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25">
              <w:r>
                <w:rPr>
                  <w:rStyle w:val="InternetLink"/>
                  <w:rFonts w:ascii="Times New Roman;serif" w:hAnsi="Times New Roman;serif"/>
                  <w:b w:val="false"/>
                  <w:color w:val="0000FF"/>
                  <w:sz w:val="20"/>
                  <w:u w:val="single"/>
                </w:rPr>
                <w:t>5</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28">
              <w:r>
                <w:rPr>
                  <w:rStyle w:val="InternetLink"/>
                  <w:rFonts w:ascii="Times New Roman;serif" w:hAnsi="Times New Roman;serif"/>
                  <w:b w:val="false"/>
                  <w:color w:val="000080"/>
                  <w:sz w:val="20"/>
                  <w:u w:val="single"/>
                </w:rPr>
                <w:t xml:space="preserve">Condensed Consolidated Statements of Changes in Equity and Redeemable Non-Controlling Interests for the Three and </w:t>
              </w:r>
            </w:hyperlink>
            <w:hyperlink w:anchor="ibffbb550baa94ad59477c621439a44c5_28">
              <w:r>
                <w:rPr>
                  <w:rStyle w:val="InternetLink"/>
                  <w:rFonts w:ascii="Times New Roman;serif" w:hAnsi="Times New Roman;serif"/>
                  <w:b w:val="false"/>
                  <w:color w:val="000080"/>
                  <w:sz w:val="20"/>
                  <w:u w:val="single"/>
                </w:rPr>
                <w:t>Nine</w:t>
              </w:r>
            </w:hyperlink>
            <w:hyperlink w:anchor="ibffbb550baa94ad59477c621439a44c5_28">
              <w:r>
                <w:rPr>
                  <w:rStyle w:val="InternetLink"/>
                  <w:rFonts w:ascii="Times New Roman;serif" w:hAnsi="Times New Roman;serif"/>
                  <w:b w:val="false"/>
                  <w:color w:val="000080"/>
                  <w:sz w:val="20"/>
                  <w:u w:val="single"/>
                </w:rPr>
                <w:t xml:space="preserve"> Months Ended </w:t>
              </w:r>
            </w:hyperlink>
            <w:hyperlink w:anchor="ibffbb550baa94ad59477c621439a44c5_28">
              <w:r>
                <w:rPr>
                  <w:rStyle w:val="InternetLink"/>
                  <w:rFonts w:ascii="Times New Roman;serif" w:hAnsi="Times New Roman;serif"/>
                  <w:b w:val="false"/>
                  <w:color w:val="000080"/>
                  <w:sz w:val="20"/>
                  <w:u w:val="single"/>
                </w:rPr>
                <w:t>September</w:t>
              </w:r>
            </w:hyperlink>
            <w:hyperlink w:anchor="ibffbb550baa94ad59477c621439a44c5_28">
              <w:r>
                <w:rPr>
                  <w:rStyle w:val="InternetLink"/>
                  <w:rFonts w:ascii="Times New Roman;serif" w:hAnsi="Times New Roman;serif"/>
                  <w:b w:val="false"/>
                  <w:color w:val="000080"/>
                  <w:sz w:val="20"/>
                  <w:u w:val="single"/>
                </w:rPr>
                <w:t xml:space="preserve"> 30,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28">
              <w:r>
                <w:rPr>
                  <w:rStyle w:val="InternetLink"/>
                  <w:rFonts w:ascii="Times New Roman;serif" w:hAnsi="Times New Roman;serif"/>
                  <w:b w:val="false"/>
                  <w:color w:val="0000FF"/>
                  <w:sz w:val="20"/>
                  <w:u w:val="single"/>
                </w:rPr>
                <w:t>6</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34">
              <w:r>
                <w:rPr>
                  <w:rStyle w:val="InternetLink"/>
                  <w:rFonts w:ascii="Times New Roman;serif" w:hAnsi="Times New Roman;serif"/>
                  <w:b w:val="false"/>
                  <w:color w:val="000080"/>
                  <w:sz w:val="20"/>
                  <w:u w:val="single"/>
                </w:rPr>
                <w:t xml:space="preserve">Condensed Consolidated Statements of Cash Flows for the </w:t>
              </w:r>
            </w:hyperlink>
            <w:hyperlink w:anchor="ibffbb550baa94ad59477c621439a44c5_34">
              <w:r>
                <w:rPr>
                  <w:rStyle w:val="InternetLink"/>
                  <w:rFonts w:ascii="Times New Roman;serif" w:hAnsi="Times New Roman;serif"/>
                  <w:b w:val="false"/>
                  <w:color w:val="000080"/>
                  <w:sz w:val="20"/>
                  <w:u w:val="single"/>
                </w:rPr>
                <w:t>Nine</w:t>
              </w:r>
            </w:hyperlink>
            <w:hyperlink w:anchor="ibffbb550baa94ad59477c621439a44c5_34">
              <w:r>
                <w:rPr>
                  <w:rStyle w:val="InternetLink"/>
                  <w:rFonts w:ascii="Times New Roman;serif" w:hAnsi="Times New Roman;serif"/>
                  <w:b w:val="false"/>
                  <w:color w:val="000080"/>
                  <w:sz w:val="20"/>
                  <w:u w:val="single"/>
                </w:rPr>
                <w:t xml:space="preserve"> Months Ended </w:t>
              </w:r>
            </w:hyperlink>
            <w:hyperlink w:anchor="ibffbb550baa94ad59477c621439a44c5_34">
              <w:r>
                <w:rPr>
                  <w:rStyle w:val="InternetLink"/>
                  <w:rFonts w:ascii="Times New Roman;serif" w:hAnsi="Times New Roman;serif"/>
                  <w:b w:val="false"/>
                  <w:color w:val="000080"/>
                  <w:sz w:val="20"/>
                  <w:u w:val="single"/>
                </w:rPr>
                <w:t>September</w:t>
              </w:r>
            </w:hyperlink>
            <w:hyperlink w:anchor="ibffbb550baa94ad59477c621439a44c5_34">
              <w:r>
                <w:rPr>
                  <w:rStyle w:val="InternetLink"/>
                  <w:rFonts w:ascii="Times New Roman;serif" w:hAnsi="Times New Roman;serif"/>
                  <w:b w:val="false"/>
                  <w:color w:val="000080"/>
                  <w:sz w:val="20"/>
                  <w:u w:val="single"/>
                </w:rPr>
                <w:t xml:space="preserve"> 30, 2025 and 2024</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34">
              <w:r>
                <w:rPr>
                  <w:rStyle w:val="InternetLink"/>
                  <w:rFonts w:ascii="Times New Roman;serif" w:hAnsi="Times New Roman;serif"/>
                  <w:b w:val="false"/>
                  <w:color w:val="0000FF"/>
                  <w:sz w:val="20"/>
                  <w:u w:val="single"/>
                </w:rPr>
                <w:t>8</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40">
              <w:r>
                <w:rPr>
                  <w:rStyle w:val="InternetLink"/>
                  <w:rFonts w:ascii="Times New Roman;serif" w:hAnsi="Times New Roman;serif"/>
                  <w:b w:val="false"/>
                  <w:color w:val="0000FF"/>
                  <w:sz w:val="20"/>
                  <w:u w:val="single"/>
                </w:rPr>
                <w:t>Notes to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40">
              <w:r>
                <w:rPr>
                  <w:rStyle w:val="InternetLink"/>
                  <w:rFonts w:ascii="Times New Roman;serif" w:hAnsi="Times New Roman;serif"/>
                  <w:b w:val="false"/>
                  <w:color w:val="0000FF"/>
                  <w:sz w:val="20"/>
                  <w:u w:val="single"/>
                </w:rPr>
                <w:t>9</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18">
              <w:r>
                <w:rPr>
                  <w:rStyle w:val="InternetLink"/>
                  <w:rFonts w:ascii="Times New Roman;serif" w:hAnsi="Times New Roman;serif"/>
                  <w:b w:val="false"/>
                  <w:color w:val="0000FF"/>
                  <w:sz w:val="20"/>
                  <w:u w:val="singl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18">
              <w:r>
                <w:rPr>
                  <w:rStyle w:val="InternetLink"/>
                  <w:rFonts w:ascii="Times New Roman;serif" w:hAnsi="Times New Roman;serif"/>
                  <w:b w:val="false"/>
                  <w:color w:val="0000FF"/>
                  <w:sz w:val="20"/>
                  <w:u w:val="single"/>
                </w:rPr>
                <w:t>25</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2">
              <w:r>
                <w:rPr>
                  <w:rStyle w:val="InternetLink"/>
                  <w:rFonts w:ascii="Times New Roman;serif" w:hAnsi="Times New Roman;serif"/>
                  <w:b w:val="false"/>
                  <w:color w:val="0000FF"/>
                  <w:sz w:val="20"/>
                  <w:u w:val="singl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2">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42">
              <w:r>
                <w:rPr>
                  <w:rStyle w:val="InternetLink"/>
                  <w:rFonts w:ascii="Times New Roman;serif" w:hAnsi="Times New Roman;serif"/>
                  <w:b w:val="false"/>
                  <w:color w:val="0000FF"/>
                  <w:sz w:val="20"/>
                  <w:u w:val="single"/>
                </w:rPr>
                <w:t>32</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5">
              <w:r>
                <w:rPr>
                  <w:rStyle w:val="InternetLink"/>
                  <w:rFonts w:ascii="Times New Roman;serif" w:hAnsi="Times New Roman;serif"/>
                  <w:b w:val="false"/>
                  <w:color w:val="0000FF"/>
                  <w:sz w:val="20"/>
                  <w:u w:val="singl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5">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45">
              <w:r>
                <w:rPr>
                  <w:rStyle w:val="InternetLink"/>
                  <w:rFonts w:ascii="Times New Roman;serif" w:hAnsi="Times New Roman;serif"/>
                  <w:b w:val="false"/>
                  <w:color w:val="0000FF"/>
                  <w:sz w:val="20"/>
                  <w:u w:val="single"/>
                </w:rPr>
                <w:t>32</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8">
              <w:r>
                <w:rPr>
                  <w:rStyle w:val="InternetLink"/>
                  <w:rFonts w:ascii="Times New Roman;serif" w:hAnsi="Times New Roman;serif"/>
                  <w:b/>
                  <w:color w:val="0000FF"/>
                  <w:sz w:val="20"/>
                  <w:u w:val="single"/>
                </w:rPr>
                <w:t>PART II.</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48">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1">
              <w:r>
                <w:rPr>
                  <w:rStyle w:val="InternetLink"/>
                  <w:rFonts w:ascii="Times New Roman;serif" w:hAnsi="Times New Roman;serif"/>
                  <w:b w:val="false"/>
                  <w:color w:val="0000FF"/>
                  <w:sz w:val="20"/>
                  <w:u w:val="singl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1">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51">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4">
              <w:r>
                <w:rPr>
                  <w:rStyle w:val="InternetLink"/>
                  <w:rFonts w:ascii="Times New Roman;serif" w:hAnsi="Times New Roman;serif"/>
                  <w:b w:val="false"/>
                  <w:color w:val="0000FF"/>
                  <w:sz w:val="20"/>
                  <w:u w:val="single"/>
                </w:rPr>
                <w:t>Item 1A.</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4">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54">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7">
              <w:r>
                <w:rPr>
                  <w:rStyle w:val="InternetLink"/>
                  <w:rFonts w:ascii="Times New Roman;serif" w:hAnsi="Times New Roman;serif"/>
                  <w:b w:val="false"/>
                  <w:color w:val="0000FF"/>
                  <w:sz w:val="20"/>
                  <w:u w:val="singl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57">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57">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3">
              <w:r>
                <w:rPr>
                  <w:rStyle w:val="InternetLink"/>
                  <w:rFonts w:ascii="Times New Roman;serif" w:hAnsi="Times New Roman;serif"/>
                  <w:b w:val="false"/>
                  <w:color w:val="0000FF"/>
                  <w:sz w:val="20"/>
                  <w:u w:val="singl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3">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63">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6">
              <w:r>
                <w:rPr>
                  <w:rStyle w:val="InternetLink"/>
                  <w:rFonts w:ascii="Times New Roman;serif" w:hAnsi="Times New Roman;serif"/>
                  <w:b w:val="false"/>
                  <w:color w:val="0000FF"/>
                  <w:sz w:val="20"/>
                  <w:u w:val="singl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6">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66">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9">
              <w:r>
                <w:rPr>
                  <w:rStyle w:val="InternetLink"/>
                  <w:rFonts w:ascii="Times New Roman;serif" w:hAnsi="Times New Roman;serif"/>
                  <w:b w:val="false"/>
                  <w:color w:val="0000FF"/>
                  <w:sz w:val="20"/>
                  <w:u w:val="singl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69">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69">
              <w:r>
                <w:rPr>
                  <w:rStyle w:val="InternetLink"/>
                  <w:rFonts w:ascii="Times New Roman;serif" w:hAnsi="Times New Roman;serif"/>
                  <w:b w:val="false"/>
                  <w:color w:val="0000FF"/>
                  <w:sz w:val="20"/>
                  <w:u w:val="singl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75">
              <w:r>
                <w:rPr>
                  <w:rStyle w:val="InternetLink"/>
                  <w:rFonts w:ascii="Times New Roman;serif" w:hAnsi="Times New Roman;serif"/>
                  <w:b w:val="false"/>
                  <w:color w:val="0000FF"/>
                  <w:sz w:val="20"/>
                  <w:u w:val="singl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75">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75">
              <w:r>
                <w:rPr>
                  <w:rStyle w:val="InternetLink"/>
                  <w:rFonts w:ascii="Times New Roman;serif" w:hAnsi="Times New Roman;serif"/>
                  <w:b w:val="false"/>
                  <w:color w:val="0000FF"/>
                  <w:sz w:val="20"/>
                  <w:u w:val="single"/>
                </w:rPr>
                <w:t>35</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ffbb550baa94ad59477c621439a44c5_178">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bffbb550baa94ad59477c621439a44c5_178">
              <w:r>
                <w:rPr>
                  <w:rStyle w:val="InternetLink"/>
                  <w:rFonts w:ascii="Times New Roman;serif" w:hAnsi="Times New Roman;serif"/>
                  <w:b w:val="false"/>
                  <w:color w:val="0000FF"/>
                  <w:sz w:val="20"/>
                  <w:u w:val="single"/>
                </w:rPr>
                <w:t>36</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Perella Weinberg Partners consummated a business combination (the “Business Combination”) pursuant to the Business Combination Agreement, dated as of December 29, 2020. Unless the context otherwise requires, all references to “PWP,” the “Company,” “we,” “us” or “our” refer to Perella Weinberg Partners and its consolidated subsidiaries.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made in this Quarterly Report on Form 10-Q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40" w:before="240" w:after="240"/>
        <w:ind w:left="0" w:right="0" w:firstLine="360"/>
        <w:jc w:val="both"/>
        <w:rPr/>
      </w:pPr>
      <w:r>
        <w:rPr>
          <w:rFonts w:ascii="Times New Roman;serif" w:hAnsi="Times New Roman;serif"/>
          <w:b w:val="false"/>
          <w:color w:val="000000"/>
          <w:sz w:val="20"/>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serif" w:hAnsi="Times New Roman;serif"/>
          <w:b w:val="false"/>
          <w:i/>
          <w:color w:val="000000"/>
          <w:sz w:val="20"/>
        </w:rPr>
        <w:t>Part I—Item 1A. Risk Factors</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Website Disclosure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0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Perella Weinberg Partners</w:t>
        <w:br/>
        <w:t>Condensed Consolidated Statements of Financial Condition</w:t>
        <w:br/>
        <w:t>(Unaudited)</w:t>
        <w:br/>
        <w:t>(Dollars in Thousands, Except Per Share and Per Unit Amounts)</w:t>
      </w:r>
    </w:p>
    <w:tbl>
      <w:tblPr>
        <w:tblW w:w="10205" w:type="dxa"/>
        <w:jc w:val="center"/>
        <w:tblInd w:w="0" w:type="dxa"/>
        <w:tblLayout w:type="fixed"/>
        <w:tblCellMar>
          <w:top w:w="28" w:type="dxa"/>
          <w:left w:w="28" w:type="dxa"/>
          <w:bottom w:w="28" w:type="dxa"/>
          <w:right w:w="28" w:type="dxa"/>
        </w:tblCellMar>
      </w:tblPr>
      <w:tblGrid>
        <w:gridCol w:w="2805"/>
        <w:gridCol w:w="2186"/>
        <w:gridCol w:w="2204"/>
        <w:gridCol w:w="243"/>
        <w:gridCol w:w="954"/>
        <w:gridCol w:w="125"/>
        <w:gridCol w:w="109"/>
        <w:gridCol w:w="109"/>
        <w:gridCol w:w="109"/>
        <w:gridCol w:w="240"/>
        <w:gridCol w:w="941"/>
        <w:gridCol w:w="180"/>
      </w:tblGrid>
      <w:tr>
        <w:trPr/>
        <w:tc>
          <w:tcPr>
            <w:tcW w:w="2805"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688" w:type="dxa"/>
            <w:gridSpan w:val="6"/>
            <w:tcBorders/>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185,535 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331,558 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short-term marketable debt securities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40,740 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73,293 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 of accumulated depreciation and amortization</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78,969 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84,886 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36,056 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29,224 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137,080 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139,637 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128,032 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92,969 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650,238 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Equity</w:t>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4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131,626 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325,225 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187,349 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pursuant to tax receivable agreement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65,493 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449,718 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646,986 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3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(23,458,506 units at redemption value of $21.44 per unit as of September 30, 2025; 27,460,600 units at redemption value of $23.71 per unit as of December 31, 2024)</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502,922 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651,140 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 (1,500,000,000 shares authorized, 79,564,534 issued and 64,995,380 outstanding at September 30, 2025; 1,500,000,000 shares authorized, 72,544,696 issued and 59,181,721 outstanding at December 31, 2024)</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$0.0001 per share (600,000,000 shares authorized, 23,458,506 issued and outstanding at September 30, 2025; 600,000,000 shares authorized, 27,460,600 issued and outstanding at December 31, 2024)</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$0.0001 per share (100,000,000 shares authorized, no shares issued and outstanding at September 30, 2025 and December 31, 2024)</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(161,906)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(303,708)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(6,193)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(14,569,154 and 13,362,975 shares of Class A common stock at September 30, 2025 and December 31, 2024, respectively)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(138,449)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(111,484)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(302,402)</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(421,375)</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650,238 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2"/>
        <w:gridCol w:w="1317"/>
        <w:gridCol w:w="1333"/>
        <w:gridCol w:w="240"/>
        <w:gridCol w:w="946"/>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31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278,242 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531,743 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652,367 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392,643 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116,342 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202,305 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373,900 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628,173 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infrastructure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occupancy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155,778 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242,348 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502,260 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752,268 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35,894 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29,483 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(99,901)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(expenses)</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(96,042)</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(122,002)</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(85,502)</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Class A common shareholders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Weighted-average shares of Class A common stock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64,071,958 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55,513,159 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63,100,339 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53,115,490 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100,233,456 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69,795,656 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74,959,485 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53,115,490 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911"/>
        <w:gridCol w:w="1515"/>
        <w:gridCol w:w="1528"/>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84"/>
        <w:gridCol w:w="157"/>
      </w:tblGrid>
      <w:tr>
        <w:trPr/>
        <w:tc>
          <w:tcPr>
            <w:tcW w:w="191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954"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(122,002)</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32,547 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40,091 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(119,504)</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(35,614)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Perella Weinberg Partners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18,668 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30,217 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(83,890)</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bl>
      <w:tblPr>
        <w:tblW w:w="13268" w:type="dxa"/>
        <w:jc w:val="center"/>
        <w:tblInd w:w="0" w:type="dxa"/>
        <w:tblLayout w:type="fixed"/>
        <w:tblCellMar>
          <w:top w:w="28" w:type="dxa"/>
          <w:left w:w="28" w:type="dxa"/>
          <w:bottom w:w="28" w:type="dxa"/>
          <w:right w:w="28" w:type="dxa"/>
        </w:tblCellMar>
      </w:tblPr>
      <w:tblGrid>
        <w:gridCol w:w="485"/>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406"/>
        <w:gridCol w:w="109"/>
        <w:gridCol w:w="109"/>
        <w:gridCol w:w="109"/>
        <w:gridCol w:w="109"/>
        <w:gridCol w:w="166"/>
        <w:gridCol w:w="566"/>
        <w:gridCol w:w="109"/>
        <w:gridCol w:w="109"/>
        <w:gridCol w:w="109"/>
        <w:gridCol w:w="109"/>
        <w:gridCol w:w="218"/>
        <w:gridCol w:w="554"/>
        <w:gridCol w:w="144"/>
        <w:gridCol w:w="109"/>
        <w:gridCol w:w="109"/>
        <w:gridCol w:w="109"/>
        <w:gridCol w:w="109"/>
        <w:gridCol w:w="109"/>
        <w:gridCol w:w="166"/>
        <w:gridCol w:w="541"/>
        <w:gridCol w:w="109"/>
        <w:gridCol w:w="109"/>
        <w:gridCol w:w="218"/>
        <w:gridCol w:w="194"/>
        <w:gridCol w:w="616"/>
        <w:gridCol w:w="181"/>
      </w:tblGrid>
      <w:tr>
        <w:trPr/>
        <w:tc>
          <w:tcPr>
            <w:tcW w:w="4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2024</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72,544,696 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27,460,600 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(13,362,975)</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(111,484)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(303,708)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(6,193)</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(421,375)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651,140 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3,366,995 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387,054 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cash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(1,270,086)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(28,792)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(749,432)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2025</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75,911,691 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26,190,514 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(13,725,353)</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(121,282)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(197,595)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(4,261)</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(323,128)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484,834 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143,693 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25,530 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1,234,357 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(1,233,125)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(983,057)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2025</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77,289,741 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24,957,389 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(14,682,880)</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(138,282)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(179,429)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(721)</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(318,422)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494,518 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774,413 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210,574 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1,500,380 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(1,498,883)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(96,848)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September 30, 2025</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79,564,534 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23,458,506 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(14,569,154)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(138,449)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(161,906)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(2,057)</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(302,402)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502,922 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left"/>
        <w:rPr/>
      </w:pPr>
      <w:r>
        <w:rPr/>
      </w:r>
    </w:p>
    <w:tbl>
      <w:tblPr>
        <w:tblW w:w="14373" w:type="dxa"/>
        <w:jc w:val="left"/>
        <w:tblInd w:w="0" w:type="dxa"/>
        <w:tblLayout w:type="fixed"/>
        <w:tblCellMar>
          <w:top w:w="28" w:type="dxa"/>
          <w:left w:w="28" w:type="dxa"/>
          <w:bottom w:w="28" w:type="dxa"/>
          <w:right w:w="28" w:type="dxa"/>
        </w:tblCellMar>
      </w:tblPr>
      <w:tblGrid>
        <w:gridCol w:w="560"/>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526"/>
        <w:gridCol w:w="109"/>
        <w:gridCol w:w="109"/>
        <w:gridCol w:w="109"/>
        <w:gridCol w:w="109"/>
        <w:gridCol w:w="166"/>
        <w:gridCol w:w="566"/>
        <w:gridCol w:w="109"/>
        <w:gridCol w:w="109"/>
        <w:gridCol w:w="109"/>
        <w:gridCol w:w="109"/>
        <w:gridCol w:w="218"/>
        <w:gridCol w:w="554"/>
        <w:gridCol w:w="144"/>
        <w:gridCol w:w="109"/>
        <w:gridCol w:w="109"/>
        <w:gridCol w:w="109"/>
        <w:gridCol w:w="166"/>
        <w:gridCol w:w="526"/>
        <w:gridCol w:w="109"/>
        <w:gridCol w:w="109"/>
        <w:gridCol w:w="109"/>
        <w:gridCol w:w="109"/>
        <w:gridCol w:w="166"/>
        <w:gridCol w:w="541"/>
        <w:gridCol w:w="109"/>
        <w:gridCol w:w="327"/>
        <w:gridCol w:w="194"/>
        <w:gridCol w:w="616"/>
        <w:gridCol w:w="181"/>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br/>
              <w:t>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2023</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57,361,073 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41,589,339 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(12,718,224)</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(100,747)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312,523 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(54,650)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(4,480)</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115,590 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268,246 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(34,156)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2,086,273 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113,673 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in public offering (Note 9—Stockholders’ Equity and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794,146 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(793,354)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2024</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65,991,492 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40,795,985 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(12,604,551)</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(99,383)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362,377 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(95,980)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(5,114)</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117,110 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279,021 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Effect of the Merger and related transactions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(6,149,211)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97,496 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(14,817)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60,794 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(2,331)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25,027 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 and equity-classified ACUs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(12,534)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cash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(1,343,257)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(10,862)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(37,735)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426,305 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2024</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66,115,225 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33,303,517 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(13,579,524)</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(114,082)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4,115 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(167,852)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(5,166)</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(282,975)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506,366 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12,473 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liability-classified 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6,704 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2,105,592 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216,549 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9—Stockholders’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2,121,609 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(2,119,491)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(89,387)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100,299 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September 30, 2024</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70,342,426 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31,184,026 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(13,362,975)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(111,484)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(246,433)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(2,868)</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(360,775)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602,503 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859"/>
        <w:gridCol w:w="2376"/>
        <w:gridCol w:w="2385"/>
        <w:gridCol w:w="201"/>
        <w:gridCol w:w="758"/>
        <w:gridCol w:w="111"/>
        <w:gridCol w:w="111"/>
        <w:gridCol w:w="111"/>
        <w:gridCol w:w="111"/>
        <w:gridCol w:w="201"/>
        <w:gridCol w:w="816"/>
        <w:gridCol w:w="165"/>
      </w:tblGrid>
      <w:tr>
        <w:trPr/>
        <w:tc>
          <w:tcPr>
            <w:tcW w:w="285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2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34,206 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(122,002)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awards vesting expense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82,409 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165,995 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15,077 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15,318 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5,281 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revaluation</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7,790 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7,768 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(7,724)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operating assets: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(44,567)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related parties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(6,458)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(5,187)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liabilities: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(197,983)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14,193 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(18,137)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38,222 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(8,115)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(61,236)</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83,929 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(15,717)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short-term marketable debt securities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(74,911)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 in short-term marketable debt securities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74,911 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91,188 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71,561 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Class A common stock in public offering, net of underwriting discount and offering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65,986 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Exchange of PWP OpCo Units and corresponding Class B common stock for cash</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(28,258)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(19,497)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Withholding tax payments for vested PWP Incentive Plan Awards and equity-classified ACUs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(76,802)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(73,946)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partners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(4,233)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(12,802)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Class A and Class B common stock</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(18,266)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(15,613)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(33,655)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Payments pursuant to tax receivable agreement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(1,126)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(2,369)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(162,640)</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(74,367)</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6,220 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(146,095)</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11,395 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332,771 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250,102 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186,676 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261,497 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activities</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arising from obtaining right-of-use lease assets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6,197 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Accrued distributions to partners</w:t>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and dividend equivalent units on unvested PWP Incentive Plan Awards</w:t>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paydown of Partner promissory notes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effect resulting from changes in ownership and exchanges of PWP OpCo Units, net of amounts payable under tax receivable agreement</w:t>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4,621 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liability-classified equity-based awards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6,704 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Cash paid (refunded) for income taxes</w:t>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8,848 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(1,026)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1—Organization and Nature of Business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Perella Weinberg Partners and its consolidated subsidiaries, including PWP Holdings LP (“PWP OpCo”) (collectively, “PWP” and the “Company”), is 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the Company consummated a business combination that resulted in PWP OpCo 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Professionals LP.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 2024, as part of this internal reorganization, AdCo Professionals merged with and into PWP OpCo (the “Merger”). At the time of the Merger, (i) 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9—Stockholders’ Equity and Redeemable Non-Controlling Interests and Note 11—Equity-Based Compensation for additional information on the Merger and related transactions.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the Company have been prepared in accordance with generally accepted accounting principles in the United States (“U.S. GAAP”) and all intercompany balances and transactions have been eliminated.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2024,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 consolidated financial statements and notes thereto.</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September 30, 2025 and December 31, 2024, the Company had restricted cash of $1.1 million and $1.2 million, respectively, maintained as collateral for letters of credit related to certain office leases. As of September 30, 2025, the Company held no cash equivalents. The Company held cash equivalents of $20.2 million as of December 31, 2024, which was composed of investments in U.S. Treasury securities. The sum of Cash and cash equivalents and Restricted cash on the Condensed Consolidated Statements of Financial Condition corresponds to the total cash, cash equivalents, and restricted cash presented on the Condensed Consolidated Statements of Cash Flows.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September 30, 2025 and December 31, 2024, the net assets of PWP OpCo were $168.4 million and $197.6 million, respectively. As of September 30, 2025 and December 31, 2024, the Company did not consolidate any VIEs other than PWP OpCo.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11—Equity-Based Compensation for further information.</w:t>
      </w:r>
    </w:p>
    <w:p>
      <w:pPr>
        <w:pStyle w:val="TextBody"/>
        <w:bidi w:val="0"/>
        <w:spacing w:lineRule="auto" w:line="240" w:before="240" w:after="240"/>
        <w:ind w:left="0" w:right="0" w:firstLine="360"/>
        <w:jc w:val="both"/>
        <w:rPr/>
      </w:pPr>
      <w:r>
        <w:rPr>
          <w:rFonts w:ascii="Times New Roman;serif" w:hAnsi="Times New Roman;serif"/>
          <w:b w:val="false"/>
          <w:color w:val="000000"/>
          <w:sz w:val="20"/>
        </w:rPr>
        <w:t xml:space="preserve">As a result of the Merger, Non-controlling interests presented within equity on the Condensed Consolidated Statements of Financial Condition were reclassified to Redeemable non-controlling interests within temporary equity. Redeemable non-controlling interests are recorded at the higher of: (i) their redemption value as of the reporting date, which corresponds to the price of the Company’s Class A common stock, or (ii) their measurement pursuant to </w:t>
      </w:r>
      <w:r>
        <w:rPr>
          <w:rFonts w:ascii="Times New Roman;serif" w:hAnsi="Times New Roman;serif"/>
          <w:b w:val="false"/>
          <w:color w:val="000000"/>
          <w:sz w:val="20"/>
          <w:shd w:fill="FFFFFF" w:val="clear"/>
        </w:rPr>
        <w:t>Accounting Standards Codification (“ASC” or the “Codification”) Topic 810, Consolidation</w:t>
      </w:r>
      <w:r>
        <w:rPr>
          <w:rFonts w:ascii="Times New Roman;serif" w:hAnsi="Times New Roman;serif"/>
          <w:b w:val="false"/>
          <w:color w:val="000000"/>
          <w:sz w:val="20"/>
        </w:rPr>
        <w:t>. Changes in the current redemption value are recorded to Additional paid-in capital, or Retained earnings (Accumulated deficit) to the extent Additional paid-in capital has been fully utilized, immediately as they occur.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$28.0 million has been recorded to Accumulated deficit for changes in the redemption value of Redeemable non-controlling interests as well as normal course equity transactions due to the full utilization of Additional paid-in capital. The Company tracks amounts recorded directly to Accumulated deficit when Additional paid-in capital has been fully utilized and will not record any additional amounts to Additional paid-in capital until the cumulative amount recorded to Accumulated deficit has been fully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 Company has an unconditional obligation to purchase the Redeemable non-controlling interests for cash, the mandatorily redeemable interests are reclassified from temporary equity to a liability with changes in fair value recorded to Other income (expense) on the Condensed Consolidated Statements of Operations. As of September 30, 2025, there were no non-controlling interests considered mandatorily redeemable.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 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Foreign Currencies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and its subsidiaries may enter into transactions denominated in a non-functional currency. The Company recognized net foreign exchange gains (losses) arising from such transactions of $1.5 million and $(3.0) million during the three and nine months ended September 30, 2025, respectively, and $(2.7) million and $(2.4) million for the three and nine months ended September 30, 2024,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recently adopted accounting pronouncements that had a material effect on the Company’s condensed consolidated financial statements.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Future Adoption of Accounting Pronouncements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Income Taxes</w:t>
      </w:r>
      <w:r>
        <w:rPr>
          <w:color w:val="000000"/>
          <w:shd w:fill="FFFFFF" w:val="clear"/>
        </w:rPr>
        <w:t>—</w:t>
      </w:r>
      <w:r>
        <w:rPr>
          <w:rFonts w:ascii="Times New Roman;serif" w:hAnsi="Times New Roman;serif"/>
          <w:b w:val="false"/>
          <w:color w:val="000000"/>
          <w:sz w:val="20"/>
          <w:shd w:fill="FFFFFF" w:val="clear"/>
        </w:rPr>
        <w:t xml:space="preserve">In December 2023, the Financial Accounting Standards Board (“FASB”) issued Accounting Standards Update 2023-09, </w:t>
      </w:r>
      <w:r>
        <w:rPr>
          <w:rFonts w:ascii="Times New Roman;serif" w:hAnsi="Times New Roman;serif"/>
          <w:b w:val="false"/>
          <w:i/>
          <w:color w:val="000000"/>
          <w:sz w:val="20"/>
          <w:shd w:fill="FFFFFF" w:val="clear"/>
        </w:rPr>
        <w:t>Improvements to Income Tax Disclosures</w:t>
      </w:r>
      <w:r>
        <w:rPr>
          <w:color w:val="000000"/>
          <w:shd w:fill="FFFFFF" w:val="clear"/>
        </w:rPr>
        <w:t xml:space="preserve"> </w:t>
      </w:r>
      <w:r>
        <w:rPr>
          <w:rFonts w:ascii="Times New Roman;serif" w:hAnsi="Times New Roman;serif"/>
          <w:b w:val="false"/>
          <w:color w:val="000000"/>
          <w:sz w:val="20"/>
          <w:shd w:fill="FFFFFF" w:val="clear"/>
        </w:rPr>
        <w:t>(“ASU 2023-09”), which amends the guidance in ASC Topic 740, Income Taxes, to improve the transparency of income tax disclosures by requiring (1) consistent 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 the consolidated financial statements.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Expense Disaggregation</w:t>
      </w:r>
      <w:r>
        <w:rPr>
          <w:color w:val="000000"/>
          <w:shd w:fill="FFFFFF" w:val="clear"/>
        </w:rPr>
        <w:t>—</w:t>
      </w:r>
      <w:r>
        <w:rPr>
          <w:rFonts w:ascii="Times New Roman;serif" w:hAnsi="Times New Roman;serif"/>
          <w:b w:val="false"/>
          <w:color w:val="000000"/>
          <w:sz w:val="20"/>
          <w:shd w:fill="FFFFFF" w:val="clear"/>
        </w:rPr>
        <w:t xml:space="preserve">In November 2024, the FASB issued Accounting Standards Update 2024-03,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(“ASU 2024-03”), which amends the guidance in ASC Topic 220, Income Statement—Reporting Comprehensive Income,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 consolidated financial statements.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Credit Losses</w:t>
      </w:r>
      <w:r>
        <w:rPr>
          <w:color w:val="000000"/>
          <w:shd w:fill="FFFFFF" w:val="clear"/>
        </w:rPr>
        <w:t>—</w:t>
      </w:r>
      <w:r>
        <w:rPr>
          <w:rFonts w:ascii="Times New Roman;serif" w:hAnsi="Times New Roman;serif"/>
          <w:b w:val="false"/>
          <w:color w:val="000000"/>
          <w:sz w:val="20"/>
          <w:shd w:fill="FFFFFF" w:val="clear"/>
        </w:rPr>
        <w:t xml:space="preserve">In July 2025, the FASB issued Accounting Standards Update 2025-05, </w:t>
      </w:r>
      <w:r>
        <w:rPr>
          <w:rFonts w:ascii="Times New Roman;serif" w:hAnsi="Times New Roman;serif"/>
          <w:b w:val="false"/>
          <w:i/>
          <w:color w:val="000000"/>
          <w:sz w:val="20"/>
          <w:shd w:fill="FFFFFF" w:val="clear"/>
        </w:rPr>
        <w:t xml:space="preserve">Measurement of Credit Losses for Accounts Receivable and Contract Assets </w:t>
      </w:r>
      <w:r>
        <w:rPr>
          <w:rFonts w:ascii="Times New Roman;serif" w:hAnsi="Times New Roman;serif"/>
          <w:b w:val="false"/>
          <w:color w:val="000000"/>
          <w:sz w:val="20"/>
          <w:shd w:fill="FFFFFF" w:val="clear"/>
        </w:rPr>
        <w:t>(“ASU 2025-05”), which amends the guidance in ASC Topic 326, Financial Instruments—Credit Losses, to reduce the uncertainty inherent in developing reasonable and supportable forecasts, simplify the process for preparing the estimate of expected credit losses, and eliminate the need for certain documentation. The amendments in ASU 2025-05 are effective for the Company beginning with the interim periods within the annual period ended December 31, 2026. The amendments are to be applied prospectively with early adoption permitted.</w:t>
      </w:r>
      <w:r>
        <w:rPr>
          <w:color w:val="000000"/>
        </w:rPr>
        <w:t xml:space="preserve"> </w:t>
      </w:r>
      <w:r>
        <w:rPr>
          <w:rFonts w:ascii="Times New Roman;serif" w:hAnsi="Times New Roman;serif"/>
          <w:b w:val="false"/>
          <w:color w:val="000000"/>
          <w:sz w:val="20"/>
        </w:rPr>
        <w:t>The Company does not expect the adoption of ASU 2025-05 to have a material impact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pPr>
      <w:r>
        <w:rPr>
          <w:rFonts w:ascii="Times New Roman;serif" w:hAnsi="Times New Roman;serif"/>
          <w:b w:val="false"/>
          <w:i/>
          <w:color w:val="000000"/>
          <w:sz w:val="20"/>
        </w:rPr>
        <w:t>Internal-Use Software</w:t>
      </w:r>
      <w:r>
        <w:rPr>
          <w:color w:val="000000"/>
        </w:rPr>
        <w:t>—</w:t>
      </w:r>
      <w:r>
        <w:rPr>
          <w:rFonts w:ascii="Times New Roman;serif" w:hAnsi="Times New Roman;serif"/>
          <w:b w:val="false"/>
          <w:color w:val="000000"/>
          <w:sz w:val="20"/>
          <w:shd w:fill="FFFFFF" w:val="clear"/>
        </w:rPr>
        <w:t xml:space="preserve">In September 2025, the FASB issued Accounting Standards Update 2025-06, </w:t>
      </w:r>
      <w:r>
        <w:rPr>
          <w:rFonts w:ascii="Times New Roman;serif" w:hAnsi="Times New Roman;serif"/>
          <w:b w:val="false"/>
          <w:i/>
          <w:color w:val="000000"/>
          <w:sz w:val="20"/>
          <w:shd w:fill="FFFFFF" w:val="clear"/>
        </w:rPr>
        <w:t xml:space="preserve">Targeted Improvements to the Accounting for Internal-Use Software </w:t>
      </w:r>
      <w:r>
        <w:rPr>
          <w:rFonts w:ascii="Times New Roman;serif" w:hAnsi="Times New Roman;serif"/>
          <w:b w:val="false"/>
          <w:color w:val="000000"/>
          <w:sz w:val="20"/>
          <w:shd w:fill="FFFFFF" w:val="clear"/>
        </w:rPr>
        <w:t>(“ASU 2025-06”), which amends the guidance in ASC Subtopic 350-40, Intangibles—Goodwill and Other—Internal-Use Software, to clarify and increase the operability of applying the internal-use software guidance to software costs incurred in an iterative development environment. The amendments in ASU 2025-06 are effective for the Company beginning with the interim periods within the annual period ended December 31, 2028. The amendments can be applied prospectively, retrospectively, or on a modified transition approach based on the status of the project and whether software costs were capitalized before the date of adoption. Early adoption is permitted. The Company does not expect the adoption of ASU 2025-06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3—Revenue and Receivables from Contracts with Customers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between over time and point in time recognition:</w:t>
      </w:r>
    </w:p>
    <w:tbl>
      <w:tblPr>
        <w:tblW w:w="6855" w:type="dxa"/>
        <w:jc w:val="left"/>
        <w:tblInd w:w="0" w:type="dxa"/>
        <w:tblLayout w:type="fixed"/>
        <w:tblCellMar>
          <w:top w:w="28" w:type="dxa"/>
          <w:left w:w="28" w:type="dxa"/>
          <w:bottom w:w="28" w:type="dxa"/>
          <w:right w:w="28" w:type="dxa"/>
        </w:tblCellMar>
      </w:tblPr>
      <w:tblGrid>
        <w:gridCol w:w="451"/>
        <w:gridCol w:w="395"/>
        <w:gridCol w:w="3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266,477 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527,767 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629,342 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164,645 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278,242 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531,743 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652,367 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Reimbursable expenses billed to clients were $0.9 million and $3.9 million for the three and nine months ended September 30, 2025, respectively, and $2.5 million and $5.9 million for the three and nine months ended September 30, 2024, respectively.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Performance Obligations and Contract Balances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aggregate amount of the transaction price, as defined in the Codification, allocated to performance obligations yet to be satisfied was $0.9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recorded $1.0 million and $0.6 million, respectively, for contract liabilities which are presented within Accounts payable, accrued expenses and other liabilities on the Condensed Consolidated Statements of Financial Condition. The Company recognized previously deferred revenue of $2.7 million and $0.5 million for the three and nine months ended September 30, 2025, respectively, and $6.7 million and $0.7 million for the three and nine months ended September 30, 2024, respectively, which was primarily related to transaction-related advisory services that are recognized over time.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$22.5 million and $13.3 million, respectively, of accrued revenue was included in Accounts receivable, net of allowance on the Condensed Consolidated Statements of Financial Condition. These amounts have been recognized as revenue in accordance with the Company’s revenue recognition policies but remained unbilled at the end of the period. As of September 30, 2025, certain accounts receivable in the aggregate amount of $23.4 million were individually greater than 10% of the Company’s gross accounts receivable and were concentrated with three clients. Of that amount, $4.0 million was subsequently received after September 30, 2025. As of December 31, 2024, certain accounts receivable in the aggregate amount of $23.9 million were individually greater than 10% of the Company’s gross accounts receivable and were concentrated with two clients. Of that amount, all was subsequently received after year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for the three and nine months ended September 30, 2025 and 2024 was as follows:</w:t>
      </w:r>
    </w:p>
    <w:tbl>
      <w:tblPr>
        <w:tblW w:w="9014" w:type="dxa"/>
        <w:jc w:val="left"/>
        <w:tblInd w:w="0" w:type="dxa"/>
        <w:tblLayout w:type="fixed"/>
        <w:tblCellMar>
          <w:top w:w="28" w:type="dxa"/>
          <w:left w:w="28" w:type="dxa"/>
          <w:bottom w:w="28" w:type="dxa"/>
          <w:right w:w="28" w:type="dxa"/>
        </w:tblCellMar>
      </w:tblPr>
      <w:tblGrid>
        <w:gridCol w:w="1538"/>
        <w:gridCol w:w="1349"/>
        <w:gridCol w:w="135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4—Leases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Company</w:t>
      </w:r>
      <w:r>
        <w:rPr>
          <w:color w:val="000000"/>
        </w:rPr>
        <w:t xml:space="preserve"> </w:t>
      </w:r>
      <w:r>
        <w:rPr>
          <w:rFonts w:ascii="Times New Roman;serif" w:hAnsi="Times New Roman;serif"/>
          <w:b w:val="false"/>
          <w:color w:val="000000"/>
          <w:sz w:val="20"/>
        </w:rPr>
        <w:t xml:space="preserve">leases office space and equipment under operating lease agreements.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the Company entered into a seven-year agreement to sublease a portion of its New York office. The sublease term commenced in September 2025 and continues through August 2032. The Company estimates it will recognize sublease income of $27.5 million over the initial term, which will be presented net within Rent and occupancy on the Condensed Consolidated Statements of Operations. Variable lease payments for the subtenant’s portion of occupancy costs will be recognized as incurred.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as it relates to the Company’s operating leases is as follows:</w:t>
      </w:r>
    </w:p>
    <w:tbl>
      <w:tblPr>
        <w:tblW w:w="8695" w:type="dxa"/>
        <w:jc w:val="left"/>
        <w:tblInd w:w="0" w:type="dxa"/>
        <w:tblLayout w:type="fixed"/>
        <w:tblCellMar>
          <w:top w:w="28" w:type="dxa"/>
          <w:left w:w="28" w:type="dxa"/>
          <w:bottom w:w="28" w:type="dxa"/>
          <w:right w:w="28" w:type="dxa"/>
        </w:tblCellMar>
      </w:tblPr>
      <w:tblGrid>
        <w:gridCol w:w="1751"/>
        <w:gridCol w:w="1537"/>
        <w:gridCol w:w="1542"/>
        <w:gridCol w:w="589"/>
        <w:gridCol w:w="589"/>
        <w:gridCol w:w="591"/>
        <w:gridCol w:w="109"/>
        <w:gridCol w:w="109"/>
        <w:gridCol w:w="109"/>
        <w:gridCol w:w="517"/>
        <w:gridCol w:w="517"/>
        <w:gridCol w:w="735"/>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ind w:left="0" w:right="0" w:hanging="810"/>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r>
              <w:rPr>
                <w:rFonts w:ascii="Times New Roman;serif" w:hAnsi="Times New Roman;serif"/>
                <w:b w:val="false"/>
                <w:color w:val="000000"/>
                <w:sz w:val="20"/>
              </w:rPr>
              <w:t>12.5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13.3 years</w:t>
            </w:r>
          </w:p>
        </w:tc>
      </w:tr>
    </w:tbl>
    <w:tbl>
      <w:tblPr>
        <w:tblW w:w="8310" w:type="dxa"/>
        <w:jc w:val="left"/>
        <w:tblInd w:w="0" w:type="dxa"/>
        <w:tblLayout w:type="fixed"/>
        <w:tblCellMar>
          <w:top w:w="28" w:type="dxa"/>
          <w:left w:w="28" w:type="dxa"/>
          <w:bottom w:w="28" w:type="dxa"/>
          <w:right w:w="28" w:type="dxa"/>
        </w:tblCellMar>
      </w:tblPr>
      <w:tblGrid>
        <w:gridCol w:w="1205"/>
        <w:gridCol w:w="1059"/>
        <w:gridCol w:w="106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33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 –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Net cash outflows on operating leases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(1)Presented net of lease incentives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maturities of undiscounted cash payments and cash receipts for operating leases are as follows:</w:t>
      </w:r>
    </w:p>
    <w:tbl>
      <w:tblPr>
        <w:tblW w:w="7926" w:type="dxa"/>
        <w:jc w:val="left"/>
        <w:tblInd w:w="0" w:type="dxa"/>
        <w:tblLayout w:type="fixed"/>
        <w:tblCellMar>
          <w:top w:w="28" w:type="dxa"/>
          <w:left w:w="28" w:type="dxa"/>
          <w:bottom w:w="28" w:type="dxa"/>
          <w:right w:w="28" w:type="dxa"/>
        </w:tblCellMar>
      </w:tblPr>
      <w:tblGrid>
        <w:gridCol w:w="721"/>
        <w:gridCol w:w="634"/>
        <w:gridCol w:w="640"/>
        <w:gridCol w:w="439"/>
        <w:gridCol w:w="1719"/>
        <w:gridCol w:w="226"/>
        <w:gridCol w:w="109"/>
        <w:gridCol w:w="109"/>
        <w:gridCol w:w="109"/>
        <w:gridCol w:w="322"/>
        <w:gridCol w:w="1101"/>
        <w:gridCol w:w="166"/>
        <w:gridCol w:w="109"/>
        <w:gridCol w:w="109"/>
        <w:gridCol w:w="109"/>
        <w:gridCol w:w="231"/>
        <w:gridCol w:w="905"/>
        <w:gridCol w:w="168"/>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Sublease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Payments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22,282 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22,044 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16,014 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157,920 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Total lease payments</w:t>
            </w:r>
            <w:r>
              <w:rPr>
                <w:rFonts w:ascii="Times New Roman;serif" w:hAnsi="Times New Roman;serif"/>
                <w:b w:val="false"/>
                <w:color w:val="000000"/>
                <w:sz w:val="13"/>
              </w:rPr>
              <w:t>(1)</w:t>
            </w:r>
          </w:p>
        </w:tc>
        <w:tc>
          <w:tcPr>
            <w:tcW w:w="2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247,515 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220,063 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184,822 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(1)Total future lease payments are presented net of expected lease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detail of the Company’s intangible assets:</w:t>
      </w:r>
    </w:p>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429"/>
        <w:gridCol w:w="1253"/>
        <w:gridCol w:w="31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(41,870)</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(58,123)</w:t>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387"/>
        <w:gridCol w:w="1325"/>
        <w:gridCol w:w="28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(38,315)</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(14,873)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(53,188)</w:t>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2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intangible assets are being amortized over an average useful life of 10 years and resulted in amortization expense of $1.6 million and $4.9 million for the three and nine months ended, respectively, for both September 30, 2025 and 2024, all of which is included in Depreciation and amortization on the Condensed Consolidated Statements of Operations. Amortization of intangible assets held at September 30, 2025 is expected to be $6.6 million and $6.0 million for the years ending December 31, 2025 and 2026, respectively. These intangible assets will be fully amortized by November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6—Regulatory Requirements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number of consolidated subsidiaries registered as broker-dealers with regulatory agencies in their respective countries. The SEC-regulated subsidiary does not hold funds or securities for, or owe money or securities to clients or carry accounts of or for clients, and as such is exempt from the SEC Customer Protection Rule (Rule 15c3-3). As of September 30, 2025 and December 31, 2024, all regulated subsidiaries had capital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7—Fixed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assets are recorded at cost less accumulated depreciation and amortization and consist of the following as of September 30, 2025 and December 31, 2024:</w:t>
      </w:r>
    </w:p>
    <w:tbl>
      <w:tblPr>
        <w:tblW w:w="8021" w:type="dxa"/>
        <w:jc w:val="left"/>
        <w:tblInd w:w="0" w:type="dxa"/>
        <w:tblLayout w:type="fixed"/>
        <w:tblCellMar>
          <w:top w:w="28" w:type="dxa"/>
          <w:left w:w="28" w:type="dxa"/>
          <w:bottom w:w="28" w:type="dxa"/>
          <w:right w:w="28" w:type="dxa"/>
        </w:tblCellMar>
      </w:tblPr>
      <w:tblGrid>
        <w:gridCol w:w="1505"/>
        <w:gridCol w:w="1322"/>
        <w:gridCol w:w="1328"/>
        <w:gridCol w:w="358"/>
        <w:gridCol w:w="1226"/>
        <w:gridCol w:w="185"/>
        <w:gridCol w:w="109"/>
        <w:gridCol w:w="109"/>
        <w:gridCol w:w="109"/>
        <w:gridCol w:w="344"/>
        <w:gridCol w:w="1175"/>
        <w:gridCol w:w="251"/>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84,328 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81,860 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118,982 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114,439 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(40,013)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(29,553)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78,969 </w:t>
            </w:r>
          </w:p>
        </w:tc>
        <w:tc>
          <w:tcPr>
            <w:tcW w:w="1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84,886 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fixed assets was $3.3 million and $9.9 million for the three and nine months ended September 30, 2025, respectively, and $3.4 million and $10.3 million for the three and nine months ended September 30, 2024, respectively. Amortization expense related to software costs was immaterial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8—Income Taxes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tax position for the periods presented: </w:t>
      </w:r>
    </w:p>
    <w:tbl>
      <w:tblPr>
        <w:tblW w:w="8778" w:type="dxa"/>
        <w:jc w:val="left"/>
        <w:tblInd w:w="0" w:type="dxa"/>
        <w:tblLayout w:type="fixed"/>
        <w:tblCellMar>
          <w:top w:w="28" w:type="dxa"/>
          <w:left w:w="28" w:type="dxa"/>
          <w:bottom w:w="28" w:type="dxa"/>
          <w:right w:w="28" w:type="dxa"/>
        </w:tblCellMar>
      </w:tblPr>
      <w:tblGrid>
        <w:gridCol w:w="1037"/>
        <w:gridCol w:w="910"/>
        <w:gridCol w:w="918"/>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96"/>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29,735 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(96,042)</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overall effective income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Neither the Company nor its subsidiaries recognized any gain or loss for income tax purposes as a result of the Division or the Merger.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recorded a liability for unrecognized tax benefits of $2.9 million and $2.2 million, respectively, primarily related to potential double taxation at certain of its foreign subsidiaries. The Company does not expect there to be any material changes to uncertain tax positions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9—Stockholders’ Equity and Redeemable Non-Controlling Interests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Class A Common Stock Offering</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 2024, the Company issued and sold 5,750,000 shares of Class A common stock at a price of $12.00 per share for net proceeds of $66.0 million after deducting underwriting discounts and offering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Since inception of the share repurchase program, 14,750,036 shares have been purchased at an average price per share of $9.48 through September 30, 2025 for a total purchase price of $139.8 million. These amounts include 1,000,000 founder shares repurchased during 2024 at a purchase price of $15.00 per share for a total purchase price of $15.0 million. During 2021, prior to the implementation of the stock repurchase program, the Company repurchased 1,000,000 founder shares at a purchase price of $12.00 per share for a total purchase price of $12.0 million.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Non-controlling interests on the Condensed Consolidated Statements of Financial Condition were reclassified to Redeemable non-controlling interests within temporary equity. Redeemable non-controlling interests are presented at their redemption value as of the reporting date and represent the ownership interests in PWP OpCo held by holders other than Perella Weinberg Partners. As of September 30, 2025, the current and former working partners collectively own 23,458,506 PWP OpCo Units, which represents a 26.5% non-controlling ownership interest in PWP OpCo.</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PWP OpCo Units (the “PWP OpCo Unitholders”) other than the Company may exchange their units for (i) shares of Class A common 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The Company settled exchanges of certain PWP OpCo Units and corresponding shares of Class B common stock for 1,500,380 and 2,734,737 shares of Class A common stock during the three and nine months ended September 30, 2025, respectively, and 2,121,609 and 2,915,755 shares of Class A common stock during the three and nine months ended September 30, 2024, respectively. Separately, during the nine months ended September 30, 2025, the Company settled exchanges of 1,270,086 PWP OpCo Units and corresponding shares of Class B common stock at a price of $22.65 per OpCo Unit for $28.3 million in cash as well as the non-cash settlement of certain partner loans. During the nine months ended September 30, 2024, the Company settled exchanges of 1,343,257 PWP OpCo Units and corresponding shares of Class B common stock at a price of $15.17 per PWP OpCo Unit for $19.5 million in cash as well as the non-cash settlement of certain partner promissory notes. Refer to Note 15—Related Party Transactions for more information on partner promissory notes.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an exchange creates a step-up in tax basis, the Company records an increase in Deferred tax assets, net, Amounts due pursuant to tax receivable agreement, and Additional paid-in-capital.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10—Debt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no outstanding debt. The Company has a revolving credit facility (the “Revolving Credit Facility”) through an amended and restated credit agreement with Cadence Bank, N.A. (“Cadence Bank”), dated November 30, 2016 (as amended, the “Credit Agreement”), with an available line of credit of $50.0 million with up to $20.0 million of available incremental revolving commitments, and a maturity date of July 1, 2028.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during the three and nine months ended September 30, 2025 and 2024 and is included within Other income (expense)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11—Equity-Based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information regarding the Company’s equity-based compensation awards is described in Note 11—Equity-Based Compensation in the Notes to Consolidated Financial Statements in “Part II. Item 8. Financial Statements and Supplementary Data” in the Company’s Annual Report on Form 10-K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Omnibus Incentive Plan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granted awards (the “Business Combination Awards”) in the form of (a) RSUs that vest upon the achievement of service conditions (“Transaction RSUs”) and (b) PSUs that only vest upon the achievement of both service and market conditions, including certain long-term incentive awards granted to management (“Transaction PSUs”). During the nine months ended September 30, 2025 and 2024, 2,434,495 and 4,304,143 Business Combination Awards vested with a total fair value of $56.1 million and $82.1 million, respectively. As of September 30, 2025, the price targets ranging from $12.00 to $20.00 as well substantially all of the $25.00 price target were met for the Transaction PSUs.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 During the nine months ended September 30, 2025 and 2024, the Company granted 5,359,049 and 6,790,317 General RSUs at a weighted average grant date fair value of $23.65 and $13.48 per award, respectively. During the nine months ended September 30, 2025 and 2024, 5,801,800 and 4,155,180 General RSUs vested with a total fair value of $132.6 million and $56.1 million, respectively. During the nine months ended September 30, 2025 and 2024, no General PSUs vested and none were granted. As of September 30, 2025, the price targets ranging from $15.00 to $20.00 as well substantially all of the $25.00 price target were met for the General PSUs.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Professional Partners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and a related internal reorganization of Professional Partners, existing equity-based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9—Stockholders’ Equity and Redeemable Non-Controlling Interests for more information on 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 treatment of vested restricted stock units of the Company.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nine months ended September 30, 2024, the Company recorded $130.3 million of equity-based compensation expense related to the acceleration of the Professional Partners Awards. Of that amount, $69.5 million was related to liability-classified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Vesting Acceleration, the Company paid or accrued a combined $86.6 million in settlement of 6,149,211 ACUs and corresponding 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Condensed Consolidated Statement of Cash Flows for the nine months ended September 30, 2024. As of December 31, 2024, $10.3 million of withholding taxes payable related to the Vesting Acceleration is included in Accounts payable, accrued expenses and other liabilities on the Condensed Consolidated Statement of Financial Condition. As of September 30, 2025, the amount was fully settled.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Merger, all of the compensation expense and corresponding capital contribution associated with the Professional Partners Awards were allocated to Non-controlling interests on the Condensed Consolidated Statements of Operations and Condensed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expense related to equity-based awards that were recorded in Professional fees and components of Equity-based compensation included on the Condensed Consolidated Statements of Operations:</w:t>
      </w:r>
    </w:p>
    <w:tbl>
      <w:tblPr>
        <w:tblW w:w="9390" w:type="dxa"/>
        <w:jc w:val="left"/>
        <w:tblInd w:w="0" w:type="dxa"/>
        <w:tblLayout w:type="fixed"/>
        <w:tblCellMar>
          <w:top w:w="28" w:type="dxa"/>
          <w:left w:w="28" w:type="dxa"/>
          <w:bottom w:w="28" w:type="dxa"/>
          <w:right w:w="28" w:type="dxa"/>
        </w:tblCellMar>
      </w:tblPr>
      <w:tblGrid>
        <w:gridCol w:w="1484"/>
        <w:gridCol w:w="1305"/>
        <w:gridCol w:w="13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Professional fees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Equity-based compensation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Partners Awards (equity-classified)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Partners Awards (liability-classified)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equity-based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compensation expense related to all unvested equity-based awards was $161.6 million, which is expected to be recognized over a weighted 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12—Other Compensation and Benefits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Benefit Plans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$1.9 million and $5.4 million for the three and nine months ended September 30, 2025, respectively, and $1.8 million and $5.3 million for the three and nine months ended September 30, 2024, respectively, and are included in Compensation and benefits on the Condensed Consolidated Statements of Operations.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Business Realignment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incurred the remainder of expenses related to a prior year business realignment, including separation and transition benefits of $1.8 million and the acceleration of equity-based compensation amortization of $1.5 million. Such amounts are presented in Compensation and benefits and Equity-based compensation on the Condensed Consolidated Statements of Operations, respectively. Business realignment payments of $0.7 million and $14.3 million were made during the three and nine months ended September 30, 2024, respectively, and there were no remaining liabilities outstanding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13—Net Income (Loss) Per Share Attributable to Class A Common Shareholders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calculations of basic and diluted net income (loss) per share attributable to Class A common shareholders are presented below:</w:t>
      </w:r>
    </w:p>
    <w:tbl>
      <w:tblPr>
        <w:tblW w:w="10205" w:type="dxa"/>
        <w:jc w:val="left"/>
        <w:tblInd w:w="0" w:type="dxa"/>
        <w:tblLayout w:type="fixed"/>
        <w:tblCellMar>
          <w:top w:w="28" w:type="dxa"/>
          <w:left w:w="28" w:type="dxa"/>
          <w:bottom w:w="28" w:type="dxa"/>
          <w:right w:w="28" w:type="dxa"/>
        </w:tblCellMar>
      </w:tblPr>
      <w:tblGrid>
        <w:gridCol w:w="1629"/>
        <w:gridCol w:w="1338"/>
        <w:gridCol w:w="1346"/>
        <w:gridCol w:w="301"/>
        <w:gridCol w:w="885"/>
        <w:gridCol w:w="109"/>
        <w:gridCol w:w="109"/>
        <w:gridCol w:w="109"/>
        <w:gridCol w:w="109"/>
        <w:gridCol w:w="244"/>
        <w:gridCol w:w="837"/>
        <w:gridCol w:w="109"/>
        <w:gridCol w:w="109"/>
        <w:gridCol w:w="109"/>
        <w:gridCol w:w="109"/>
        <w:gridCol w:w="244"/>
        <w:gridCol w:w="837"/>
        <w:gridCol w:w="109"/>
        <w:gridCol w:w="109"/>
        <w:gridCol w:w="109"/>
        <w:gridCol w:w="109"/>
        <w:gridCol w:w="240"/>
        <w:gridCol w:w="841"/>
        <w:gridCol w:w="155"/>
      </w:tblGrid>
      <w:tr>
        <w:trPr/>
        <w:tc>
          <w:tcPr>
            <w:tcW w:w="16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basic</w:t>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exchange of PWP OpCo Units,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vesting of PWP Incentive Plan Awards, net of tax</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diluted</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16,977 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(85,502)</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64,071,958 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55,513,159 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63,100,339 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53,115,490 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exchange of PWP OpCo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24,484,915 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vesting of PWP Incentive Plan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11,676,583 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14,282,497 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11,859,146 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diluted</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100,233,456 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69,795,656 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74,959,485 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53,115,490 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Class A common shareholders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Class B common shareholders has not been presented as these shares are entitled to an insignificant amount of economic participation.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tbl>
      <w:tblPr>
        <w:tblW w:w="8435" w:type="dxa"/>
        <w:jc w:val="left"/>
        <w:tblInd w:w="0" w:type="dxa"/>
        <w:tblLayout w:type="fixed"/>
        <w:tblCellMar>
          <w:top w:w="28" w:type="dxa"/>
          <w:left w:w="28" w:type="dxa"/>
          <w:bottom w:w="28" w:type="dxa"/>
          <w:right w:w="28" w:type="dxa"/>
        </w:tblCellMar>
      </w:tblPr>
      <w:tblGrid>
        <w:gridCol w:w="856"/>
        <w:gridCol w:w="753"/>
        <w:gridCol w:w="761"/>
        <w:gridCol w:w="206"/>
        <w:gridCol w:w="206"/>
        <w:gridCol w:w="206"/>
        <w:gridCol w:w="206"/>
        <w:gridCol w:w="206"/>
        <w:gridCol w:w="206"/>
        <w:gridCol w:w="545"/>
        <w:gridCol w:w="536"/>
        <w:gridCol w:w="220"/>
        <w:gridCol w:w="109"/>
        <w:gridCol w:w="109"/>
        <w:gridCol w:w="109"/>
        <w:gridCol w:w="540"/>
        <w:gridCol w:w="541"/>
        <w:gridCol w:w="190"/>
        <w:gridCol w:w="190"/>
        <w:gridCol w:w="190"/>
        <w:gridCol w:w="190"/>
        <w:gridCol w:w="540"/>
        <w:gridCol w:w="541"/>
        <w:gridCol w:w="279"/>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5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OpCo Units</w:t>
            </w:r>
          </w:p>
        </w:tc>
        <w:tc>
          <w:tcPr>
            <w:tcW w:w="4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32,695,707 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25,691,746 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35,675,341 </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Incentive Plan Awards</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9,564,794 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32,695,707 </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25,691,746 </w:t>
            </w:r>
          </w:p>
        </w:tc>
        <w:tc>
          <w:tcPr>
            <w:tcW w:w="1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45,240,135 </w:t>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14—Fair Value Measurements and Investments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measured and reported at fair value are classified and disclosed in one of the following categories (from highest to lowest) based on inputs:</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are available in active markets for identical financial instruments as of the reporting date.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2—Pricing inputs are observable inputs other than quoted prices included in Level 1, such as quoted prices for similar assets or liabilities in active markets or quoted prices for identical assets or liabilities in inactive markets.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3—Pricing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fair values of cash, restricted cash, accounts receivable, due from related parties, accounts payable and certain accrued liabilities approximate their carrying amounts due to the short-term nature of these items.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categorization and fair value estimate of the Company’s financial instruments that were measured on a recurring basis pursuant to the above fair value hierarchy levels as of December 31, 2024:</w:t>
      </w:r>
    </w:p>
    <w:tbl>
      <w:tblPr>
        <w:tblW w:w="6586" w:type="dxa"/>
        <w:jc w:val="left"/>
        <w:tblInd w:w="0" w:type="dxa"/>
        <w:tblLayout w:type="fixed"/>
        <w:tblCellMar>
          <w:top w:w="28" w:type="dxa"/>
          <w:left w:w="28" w:type="dxa"/>
          <w:bottom w:w="28" w:type="dxa"/>
          <w:right w:w="28" w:type="dxa"/>
        </w:tblCellMar>
      </w:tblPr>
      <w:tblGrid>
        <w:gridCol w:w="728"/>
        <w:gridCol w:w="638"/>
        <w:gridCol w:w="644"/>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57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no financial instruments subject to fair value measurement as of September 30, 2025. The Company had no transfers between fair value levels during the three and nine months ended September 30, 2025 and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held investments in U.S. Treasury securities with original maturities greater than three months from the date of purchase, which are presented at fair value as Investments in short-term marketable debt securities on the Condensed Consolidated Statements of Financial Condition. These investments had an aggregate cost basis of $74.9 million as of December 31, 2024. As of December 31, 2024, the Company also held $20.2 million of investments in U.S. Treasury securities with original maturities of three months or less from the date of purchase, which are presented within Cash and cash equivalents on the Condensed Consolidated Statements of Financial Condition. The Company had nominal interest income and net unrealized gains (losses) on U.S. Treasury securities for the three and nine months ended September 30, 2025 and 2024, respectively, which is included in Other income (expense)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15—Related Party Transactions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Capital Holdings LP</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Condensed Consolidated Statements of Operations.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September 30, 2025, the Company had a liability of $86.1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tbl>
      <w:tblPr>
        <w:tblW w:w="6464" w:type="dxa"/>
        <w:jc w:val="left"/>
        <w:tblInd w:w="0" w:type="dxa"/>
        <w:tblLayout w:type="fixed"/>
        <w:tblCellMar>
          <w:top w:w="28" w:type="dxa"/>
          <w:left w:w="28" w:type="dxa"/>
          <w:bottom w:w="28" w:type="dxa"/>
          <w:right w:w="28" w:type="dxa"/>
        </w:tblCellMar>
      </w:tblPr>
      <w:tblGrid>
        <w:gridCol w:w="607"/>
        <w:gridCol w:w="534"/>
        <w:gridCol w:w="539"/>
        <w:gridCol w:w="929"/>
        <w:gridCol w:w="3177"/>
        <w:gridCol w:w="67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Payments Under Tax Receivable Agreement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9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69,486 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86,107 </w:t>
            </w:r>
          </w:p>
        </w:tc>
        <w:tc>
          <w:tcPr>
            <w:tcW w:w="6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Partner Promissory Notes and Other Partner Loans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 Consolidated Statements of Financial Condition. During the nine months ended September 30, 2024, $0.9 million of principal and interest related to Partner Promissory Notes was effectively repaid through the cancellation of PWP OpCo units held by such partners. As of September 30, 2025 and December 31, 2024, substantially all of the Partner Promissory Notes were settled.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PWP OpCo and certain of its subsidiaries have agreed to provide loans to or make payments on behalf of certain partners. As of September 30, 2025 and December 31, 2024, $0.6 million and $1.1 million, respectively, of amounts due from partners are recognized in Due from related parties on the Condensed Consolidated Statements of Financial Condition. During the nine months ended September 30, 2025, $0.5 million of principal and interest related to partner loans was effectively repaid through the cancellation of PWP OpCo units held by such partners.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on April 1, 2024 was effected to simplify the structure for the partners in Professional Partners with respect to their indirect interests in 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16—Commitments and Contingencies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certain contracts that contain a variety of indemnification provisions. The Company’s maximum exposure under these arrangements is unknown. As of September 30, 2025 and December 31, 2024, the Company expects no claims or losses pursuant to these contracts; therefore, no liability has been recorded related to these indemnification provisions.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September 30, 2025 and December 31, 2024 and for the three and nine months ended September 30, 2025 and 2024.</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2015, the Company filed a complaint against three former partners and one former employee which alleges they entered into a scheme while at PWP to lift out the Company’s restructuring group to secretly form a new competing firm in breach of their contractual and fiduciary duties. The complaint contains 14 causes of action and seeks declaratory relief as well as damages. A bench trial took place from January 24, 2025 through March 14, 2025. The court has yet to issue a decision.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incurred $1.4 million and $12.7 million during the three and nine months ended September 30, 2025, respectively, and $0.4 million and $6.3 million during the three and nine months ended September 30, 2024, respectively, in legal and professional fees, net of expected insurance reimbursement, related to this litigation. These litigation costs are included in Professional fees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17—Segment and Geographic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 Significant Accounting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no individual client accounted for more than 10% of aggregate revenues, and for the nine months ended September 30, 2024, one individual client accounted for more than 10% of aggregate revenues.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6810" w:type="dxa"/>
        <w:jc w:val="left"/>
        <w:tblInd w:w="0" w:type="dxa"/>
        <w:tblLayout w:type="fixed"/>
        <w:tblCellMar>
          <w:top w:w="28" w:type="dxa"/>
          <w:left w:w="28" w:type="dxa"/>
          <w:bottom w:w="28" w:type="dxa"/>
          <w:right w:w="28" w:type="dxa"/>
        </w:tblCellMar>
      </w:tblPr>
      <w:tblGrid>
        <w:gridCol w:w="435"/>
        <w:gridCol w:w="381"/>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164,645 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278,242 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531,743 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652,367 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433"/>
        <w:gridCol w:w="381"/>
        <w:gridCol w:w="385"/>
        <w:gridCol w:w="326"/>
        <w:gridCol w:w="1276"/>
        <w:gridCol w:w="168"/>
        <w:gridCol w:w="109"/>
        <w:gridCol w:w="109"/>
        <w:gridCol w:w="109"/>
        <w:gridCol w:w="313"/>
        <w:gridCol w:w="1228"/>
        <w:gridCol w:w="228"/>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462,143 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687,784 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188,095 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188,967 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650,238 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876,751 </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18—Subsequent Events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through the issuance date of these condensed consolidated financial statements.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completed the acquisition of Devon Park Advisors, LLC, including its wholly owned broker-dealer subsidiary, Devon Park Securities, LLC (collectively, “Devon Park”), an advisory firm specializing in transactions related to GP-led secondaries, GP advisory, and fund secondaries. The purchase price consisted of both $20.0 million of cash consideration paid at closing, adjusted for closing cash balances and transaction fees, as well as 1,065,111 shares of Class A common stock. The total equity consideration is to be delivered in three equal installments with the first delivered at closing and the remaining to be delivered in the third quarters of 2026 and 2027. Additional consideration may be earned if certain pre-existing client engagements generate revenue within one year of closing. The results of operations of Devon Park will be included in the Company’s consolidated financial statements prospectively from the date of acquisition.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Company’s Board of Directors declared a cash dividend of $0.07 per outstanding share of Class A common stock. This dividend will be paid on December 15, 2025 to Class A common stockholders of record on November 17, 2025. Holders of Class B common stock will also receive dividends equal to the amount of dividends declared on 0.001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global independent advisory firm that provides strategic and financial advice to clients across some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our business, refer to “Part I. Item 1. Business” and “Part I. Item 1A. Risk Factors” in the Company’s Annual Report on Form 10-K for the year ended December 31, 2024 as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Business Environment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and global financial market conditions impact our financial performance. 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“Risk Factors” included in our Annual Report on Form 10-K for a discussion of some of the factors that can affect our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Key Financial Measures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are classified as (i) total compensation and benefits expenses, including equity-based compensation, and (ii) non-compensation expenses.</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and benefits expenses consist of salaries, bonuses (discretionary awards and guaranteed amounts), severance, payroll and related 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Merger, the amortization expense for certain equity-based awards granted by Professional Partners was allocated fully to non-controlling interests. As a result of the Merger, these awards were considered granted by PWP OpCo and PWP OpCo as a whole bore the cost of the cash settlement feature of the awards, which was added in conjunction with the Merger. As a result, 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 with an exception for certain equity-based compensation expense which was fully allocated to non-controlling interests prior to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respective periods indicated: </w:t>
      </w:r>
    </w:p>
    <w:tbl>
      <w:tblPr>
        <w:tblW w:w="10205" w:type="dxa"/>
        <w:jc w:val="left"/>
        <w:tblInd w:w="0" w:type="dxa"/>
        <w:tblLayout w:type="fixed"/>
        <w:tblCellMar>
          <w:top w:w="28" w:type="dxa"/>
          <w:left w:w="28" w:type="dxa"/>
          <w:bottom w:w="28" w:type="dxa"/>
          <w:right w:w="28" w:type="dxa"/>
        </w:tblCellMar>
      </w:tblPr>
      <w:tblGrid>
        <w:gridCol w:w="1220"/>
        <w:gridCol w:w="673"/>
        <w:gridCol w:w="639"/>
        <w:gridCol w:w="211"/>
        <w:gridCol w:w="826"/>
        <w:gridCol w:w="109"/>
        <w:gridCol w:w="109"/>
        <w:gridCol w:w="109"/>
        <w:gridCol w:w="109"/>
        <w:gridCol w:w="211"/>
        <w:gridCol w:w="826"/>
        <w:gridCol w:w="109"/>
        <w:gridCol w:w="109"/>
        <w:gridCol w:w="109"/>
        <w:gridCol w:w="109"/>
        <w:gridCol w:w="234"/>
        <w:gridCol w:w="234"/>
        <w:gridCol w:w="235"/>
        <w:gridCol w:w="109"/>
        <w:gridCol w:w="109"/>
        <w:gridCol w:w="109"/>
        <w:gridCol w:w="211"/>
        <w:gridCol w:w="826"/>
        <w:gridCol w:w="109"/>
        <w:gridCol w:w="109"/>
        <w:gridCol w:w="109"/>
        <w:gridCol w:w="109"/>
        <w:gridCol w:w="211"/>
        <w:gridCol w:w="826"/>
        <w:gridCol w:w="109"/>
        <w:gridCol w:w="109"/>
        <w:gridCol w:w="109"/>
        <w:gridCol w:w="109"/>
        <w:gridCol w:w="218"/>
        <w:gridCol w:w="218"/>
        <w:gridCol w:w="315"/>
      </w:tblGrid>
      <w:tr>
        <w:trPr/>
        <w:tc>
          <w:tcPr>
            <w:tcW w:w="12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53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Total non-operating income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following table provides revenue statistics for the three and nine</w:t>
      </w:r>
      <w:r>
        <w:rPr>
          <w:color w:val="000000"/>
        </w:rPr>
        <w:t xml:space="preserve"> </w:t>
      </w:r>
      <w:r>
        <w:rPr>
          <w:rFonts w:ascii="Times New Roman;serif" w:hAnsi="Times New Roman;serif"/>
          <w:b w:val="false"/>
          <w:color w:val="000000"/>
          <w:sz w:val="20"/>
        </w:rPr>
        <w:t>months ended September 30, 2025 and 2024:</w:t>
      </w:r>
    </w:p>
    <w:tbl>
      <w:tblPr>
        <w:tblW w:w="10205" w:type="dxa"/>
        <w:jc w:val="left"/>
        <w:tblInd w:w="0" w:type="dxa"/>
        <w:tblLayout w:type="fixed"/>
        <w:tblCellMar>
          <w:top w:w="28" w:type="dxa"/>
          <w:left w:w="28" w:type="dxa"/>
          <w:bottom w:w="28" w:type="dxa"/>
          <w:right w:w="28" w:type="dxa"/>
        </w:tblCellMar>
      </w:tblPr>
      <w:tblGrid>
        <w:gridCol w:w="1398"/>
        <w:gridCol w:w="1230"/>
        <w:gridCol w:w="1238"/>
        <w:gridCol w:w="175"/>
        <w:gridCol w:w="175"/>
        <w:gridCol w:w="176"/>
        <w:gridCol w:w="123"/>
        <w:gridCol w:w="123"/>
        <w:gridCol w:w="123"/>
        <w:gridCol w:w="175"/>
        <w:gridCol w:w="175"/>
        <w:gridCol w:w="176"/>
        <w:gridCol w:w="123"/>
        <w:gridCol w:w="123"/>
        <w:gridCol w:w="123"/>
        <w:gridCol w:w="404"/>
        <w:gridCol w:w="402"/>
        <w:gridCol w:w="404"/>
        <w:gridCol w:w="109"/>
        <w:gridCol w:w="109"/>
        <w:gridCol w:w="109"/>
        <w:gridCol w:w="175"/>
        <w:gridCol w:w="175"/>
        <w:gridCol w:w="176"/>
        <w:gridCol w:w="115"/>
        <w:gridCol w:w="115"/>
        <w:gridCol w:w="115"/>
        <w:gridCol w:w="175"/>
        <w:gridCol w:w="175"/>
        <w:gridCol w:w="176"/>
        <w:gridCol w:w="115"/>
        <w:gridCol w:w="115"/>
        <w:gridCol w:w="115"/>
        <w:gridCol w:w="369"/>
        <w:gridCol w:w="366"/>
        <w:gridCol w:w="535"/>
      </w:tblGrid>
      <w:tr>
        <w:trPr/>
        <w:tc>
          <w:tcPr>
            <w:tcW w:w="13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00"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Advisory Clients</w:t>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Clients with Fees Greater than $1.0 million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were $164.6 million for the three months ended September 30, 2025 as compared to $278.2 million for the three months ended September 30, 2024, a decrease of 41%. The decrease was driven by reduced mergers and acquisition activity, as well as an outsized fee event in the prior year period.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were $531.7 million for the nine months ended September 30, 2025 as compared to $652.4 million for the nine months ended September 30, 2024, a decrease of 18%. The decrease was largely attributable to lower mergers and acquisition activity in the current year period, as well as several significant fee events in the prior year period. This decrease was partially offset by an increase in financing and capital solutions activity, primarily restructuring and liability management.</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total compensation and benefits expenses were $116.3 million, a decrease of 42% compared to $202.3 million for the three months ended September 30, 2024. The decrease was primarily the result of a lower bonus accrual in the current year period due to decreased revenue and a lower compensation margin.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total compensation and benefits expenses were $373.9 million, a decrease of 40% compared to $628.2 million for the nine months ended September 30, 2024. The decrease was primarily the result of the prior year Vesting Acceleration of the Professional Partners Awards that resulted in $144.2 million of equity-based compensation expense for those awards for the nine months ended September 30, 2024, as well as the vesting of certain Business Combination Awards in the third quarter of 2024 which resulted in lower expense in the current year period. The current year period also included a lower bonus accrual due to decreased revenue and a lower compensation margin.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total non-compensation expenses were $39.4 million, a decrease of 2% compared to $40.0 million for the three months ended September 30, 2024. The decrease was primarily the result of a reduction in bad debt expense, partially offset by increased technology costs and an uptick in travel and related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total non-compensation expenses were $128.4 million, an increase of 3% compared to $124.1 million for the nine months ended September 30, 2024. The increase was primarily the result of higher professional fees from increased litigation spend as well as transaction costs for the Devon Park acquisition, an uptick in travel and related expenses, and an increase in technology costs related to market data. These increases were partially offset by a reduction in bad debt expense as well as costs incurred in the prior year period related to the Merger that did not recur.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non-operating income was $2.7 million compared to non-operating income of $0.5 million for the three months ended September 30, 2024. In the current period, non-operating income included interest income and a net gain from foreign exchange rate fluctuations. Non-operating income in the prior year period included higher interest income partially offset by a net loss from foreign exchange rate fluctuations. For both periods, the impact of foreign exchange rate fluctuations was largely related to U.S. dollar-denominated cash and intercompany receivables held by our foreign subsidiaries.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non-operating income was $0.3 million compared to non-operating income of $3.9 million for the nine months ended September 30, 2024. In the current period, non-operating income included interest income, which was mostly offset by a net loss from foreign exchange rate fluctuations. Non-operating income in the prior year period included higher interest income and a smaller net loss from foreign exchange rate fluctuations. For both periods, the impact of foreign exchange rate fluctuations was largely related to U.S. dollar-denominated cash and intercompany receivables held by our foreign subsidiaries.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expense and effective tax rate were $3.0 million and 26.1%, respectively, for the three months ended September 30, 2025 compared to an income tax expense and effective tax rate of $7.5 million and 20.7%, respectively, for the three months ended September 30,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and effective tax rate were $(4.5) million and (15.0)%, respectively, for the nine months ended September 30, 2025 compared to an income tax expense and effective tax rate of $26.0 million and (27.0)%, respectively, for the nine months ended September 30, 2024.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the effective tax rate for both periods was primarily due to the relative size of our permanent differences in relation to the pre-tax income (loss) in the respective periods. In addition, the Company recognized a $13.9 million tax benefit associated with the appreciation in our share price upon vesting of RSUs above the original grant price during the nine months ended September 30, 2025 versus $4.1 million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typically for working capital, operating expenses (including cash compensation for our employees), repurchasing shares of the Company’s Class A 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assets are typically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 the date of purchase. We had cash balances of $185.5 million with no cash equivalents as of September 30, 2025. As of December 31, 2024, our cash and cash equivalents totaled $331.6 million, which included $20.2 million of cash equivalents in the form of investments in U.S. Treasury securities. Additionally, as of December 31, 2024, the Company held U.S. Treasury securities of $75.8 million, which were classified as Investments in short-term marketable debt securities within the condensed consolidated financial statements.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liquidity is highly dependent upon cash receipts from clients, which generally require the successful completion of transactions. Accounts receivable typically have net terms of 30 days. Accounts receivable, net of allowance for credit losses, were $40.7 million and $73.3 million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Revolving Credit Facility with Cadence Bank with an available line of credit of $50.0 million. Additionally, up to $20.0 million of incremental revolving commitments above the $50.0 million commitment amount may be incurred under the Credit Agreement. As of September 30, 2025, we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elected to settle exchanges of certain PWP OpCo Units and corresponding shares of Class B common stock for $28.3 million in cash. We also repurchased 1,829,337 shares at an average price per share of $18.40 pursuant to our share repurchase program.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operating, investing and financing cash flows is as follows:</w:t>
      </w:r>
    </w:p>
    <w:tbl>
      <w:tblPr>
        <w:tblW w:w="9069" w:type="dxa"/>
        <w:jc w:val="left"/>
        <w:tblInd w:w="0" w:type="dxa"/>
        <w:tblLayout w:type="fixed"/>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901"/>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and other operating activity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activities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186,676 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261,497 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Nine Months Ended September 30, 2025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outflow of $61.2 million primarily attributable to cash operating expense outflows, including discretionary bonuses paid during the first quarter of 2025 with respect to prior year compensation expense, partially offset by cash collections from clients.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inflow of $71.6 million attributable to the maturation of investments in U.S. Treasury securities, which was nominally offset by capital expenditures related to office space renovations.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$162.6 million primarily due to withholding tax payments for vested PWP Incentive Plan Awards, the cash settlement of exchanges of PWP OpCo Units, share repurchases, and dividend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2024</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inflow of $83.9 million primarily attributable to cash collections from clients partially offset by an overall increase in client receivables and by cash operating expense outflows, including the settlement of liability-classified ACUs during the second quarter and discretionary bonuses paid during the first quarter of 2024 with respect to prior year compensation expense.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inflow of $0.6 million attributable to the maturation of investments in U.S. Treasury securities, which was almost fully offset by the purchase of additional investments and capital expenditures related to office space renovations.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$74.4 million primarily due to withholding tax payments for vested PWP Incentive Plan Awards and equity-classified ACUs, the cash settlement of exchanges of PWP OpCo Units, share repurchases, dividend payments, and distributions to partners, all of which was partially offset by the issuance of 5,750,000 shares of Class A common stock for net proceeds of $66.0 million.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a stock repurchase program under which we are authorized to repurchase up to $200.0 million of our Class A common stock with no requirement to purchase any minimum number of shares. As of September 30, 2025, $60.2 million remains of the $200.0 million authorized for share repurchases.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limited partnership agreement of PWP OpCo, holders of PWP OpCo Units (other than the Company) may exchange these units for (i) 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9—Stockholders’ Equity and Redeemable Non-Controlling Interests in the notes to the condensed consolidated financial statements included elsewhere in the Form 10-Q for further information.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Regulatory Capital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an amount due of $86.1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 the Form 10-Q for further information as well as the expected timing of payments.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various non-cancelable operating leases for our office space and certain equipment. As of September 30, 2025, we had $184.8 million of operating lease liabilities. See Note 4—Leases in the notes to condensed consolidated financial statements included elsewhere in this Form 10-Q for further information as well as the expected timing of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Market Risk and 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not capital-intensive and we do not invest in derivative instruments. We are not subject to significant market risk (including interest rate risk and commodity price risk) or significant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Risks Related to Cash and Cash Equivalents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invest our excess cash, we manage our credit risk exposure by holding investments primarily with investment grade credit quality.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Rate Risk</w:t>
      </w:r>
    </w:p>
    <w:p>
      <w:pPr>
        <w:pStyle w:val="TextBody"/>
        <w:bidi w:val="0"/>
        <w:spacing w:lineRule="auto" w:line="240" w:before="240" w:after="240"/>
        <w:ind w:left="0" w:right="0" w:firstLine="360"/>
        <w:jc w:val="both"/>
        <w:rPr/>
      </w:pPr>
      <w:r>
        <w:rPr>
          <w:rFonts w:ascii="Times New Roman;serif" w:hAnsi="Times New Roman;serif"/>
          <w:b w:val="false"/>
          <w:color w:val="000000"/>
          <w:sz w:val="20"/>
        </w:rPr>
        <w:t>We are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w:t>
      </w:r>
      <w:r>
        <w:rPr>
          <w:color w:val="000000"/>
        </w:rPr>
        <w:t xml:space="preserve"> </w:t>
      </w:r>
      <w:r>
        <w:rPr>
          <w:rFonts w:ascii="Times New Roman;serif" w:hAnsi="Times New Roman;serif"/>
          <w:b w:val="false"/>
          <w:color w:val="000000"/>
          <w:sz w:val="20"/>
        </w:rPr>
        <w:t>For the nine months ended September 30, 2025 and 2024, the net impact of non-functional currency related transaction gains (losses) recorded in Other income (expense) on our Condensed Consolidated Statements of Operations was $(3.0) million and $(2.4) million, respectively, primarily related to U.S. dollar-denominated cash and intercompany receivables held by our foreign subsidiaries as the strength of the U.S. dollar fluctuated. For the nine months ended September 30, 2025 and 2024, the net impact from the fluctuation of foreign currencies recorded in Foreign currency translation gain (loss) on our Condensed Consolidated Statements of Comprehensive Income (Loss) was $5.9 million and $2.5 million, respectively. We have not entered into any transactions to hedge our exposure to these foreign currency fluctuations using derivative instruments or other methods but may do so if we deem appropriate in the future. As of September 30, 2025, we held cash balances of $51.2 million in non-U.S. dollar currencies, composed of pound sterling, euros, and Canadian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 contingent assets and liabilities. Actual results could differ from those estimates. Estimates and the assumptions underlying these estimates are reviewed periodically, and the effects of revisions are reflected in the period in which they are determined to be necessary. For a discussion of our critical accounting estimates, refer to our Annual Report on Form 10-K filed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are set forth above in “Management’s Discussion and Analysis of Financial Condition and Results of Operations – Market Risk and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Item 4 includes information concerning the controls and controls evaluation referred to in the certifications of our Chief Executive Officer and Chief Financial Officer required by Rule 13a-14 of the Exchange Act included in this Quarterly Report on Form 10-Q as Exhibits 31.1 and 31.2.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2025.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Exchange Act Rules 13a-15(f) and 15d-15(f)) during the nine months ended September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details on the current legal proceedings, refer to Note 16—Commitments and Contingencies in the notes to condensed consolidated financial statements included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or updates to our risk factors that were previously disclosed in “Part I. Item 1A. Risk Factors” in the Company’s Annual Report on Form 10-K for the year ended December 31, 2024 as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Repurchases of Equity Securities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repurchase of equity securities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733"/>
        <w:gridCol w:w="355"/>
        <w:gridCol w:w="357"/>
        <w:gridCol w:w="109"/>
        <w:gridCol w:w="109"/>
        <w:gridCol w:w="109"/>
        <w:gridCol w:w="508"/>
        <w:gridCol w:w="508"/>
        <w:gridCol w:w="509"/>
        <w:gridCol w:w="109"/>
        <w:gridCol w:w="109"/>
        <w:gridCol w:w="109"/>
        <w:gridCol w:w="266"/>
        <w:gridCol w:w="778"/>
        <w:gridCol w:w="137"/>
        <w:gridCol w:w="109"/>
        <w:gridCol w:w="109"/>
        <w:gridCol w:w="109"/>
        <w:gridCol w:w="695"/>
        <w:gridCol w:w="677"/>
        <w:gridCol w:w="679"/>
        <w:gridCol w:w="109"/>
        <w:gridCol w:w="109"/>
        <w:gridCol w:w="109"/>
        <w:gridCol w:w="392"/>
        <w:gridCol w:w="2010"/>
        <w:gridCol w:w="293"/>
      </w:tblGrid>
      <w:tr>
        <w:trPr/>
        <w:tc>
          <w:tcPr>
            <w:tcW w:w="7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yet to be Purchased Under the Publicly Announced Plans or Programs</w:t>
            </w:r>
            <w:r>
              <w:rPr>
                <w:rFonts w:ascii="Times New Roman;serif" w:hAnsi="Times New Roman;serif"/>
                <w:b/>
                <w:color w:val="000000"/>
                <w:sz w:val="13"/>
              </w:rPr>
              <w:t>(1)</w:t>
            </w:r>
          </w:p>
        </w:tc>
      </w:tr>
      <w:tr>
        <w:trPr/>
        <w:tc>
          <w:tcPr>
            <w:tcW w:w="14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95,148 </w:t>
            </w:r>
          </w:p>
        </w:tc>
        <w:tc>
          <w:tcPr>
            <w:tcW w:w="5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95,148 </w:t>
            </w:r>
          </w:p>
        </w:tc>
        <w:tc>
          <w:tcPr>
            <w:tcW w:w="6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60,200,811 </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60,167,441 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60,167,441 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96,848 </w:t>
            </w:r>
          </w:p>
        </w:tc>
        <w:tc>
          <w:tcPr>
            <w:tcW w:w="5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96,848 </w:t>
            </w:r>
          </w:p>
        </w:tc>
        <w:tc>
          <w:tcPr>
            <w:tcW w:w="6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with no requirement to purchase any minimum number of shares.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and may be based upon market conditions and alternative opportunities that the Company may have for the use or investment of its capital. The repurchase program may be modified,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636"/>
        <w:gridCol w:w="2636"/>
        <w:gridCol w:w="376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4" w:after="283"/>
              <w:jc w:val="left"/>
              <w:rPr/>
            </w:pPr>
            <w:hyperlink w:anchor="pwpq3202510-q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510-q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510-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510-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9" w:type="dxa"/>
            <w:gridSpan w:val="3"/>
            <w:tcBorders/>
            <w:vAlign w:val="center"/>
          </w:tcPr>
          <w:p>
            <w:pPr>
              <w:pStyle w:val="TableContents"/>
              <w:bidi w:val="0"/>
              <w:spacing w:before="0" w:after="283"/>
              <w:jc w:val="left"/>
              <w:rPr>
                <w:sz w:val="4"/>
                <w:szCs w:val="4"/>
              </w:rPr>
            </w:pPr>
            <w:r>
              <w:rPr>
                <w:sz w:val="4"/>
                <w:szCs w:val="4"/>
              </w:rPr>
            </w:r>
          </w:p>
        </w:tc>
      </w:tr>
      <w:tr>
        <w:trPr/>
        <w:tc>
          <w:tcPr>
            <w:tcW w:w="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377" w:type="dxa"/>
        <w:jc w:val="left"/>
        <w:tblInd w:w="0" w:type="dxa"/>
        <w:tblLayout w:type="fixed"/>
        <w:tblCellMar>
          <w:top w:w="28" w:type="dxa"/>
          <w:left w:w="28" w:type="dxa"/>
          <w:bottom w:w="28" w:type="dxa"/>
          <w:right w:w="28" w:type="dxa"/>
        </w:tblCellMar>
      </w:tblPr>
      <w:tblGrid>
        <w:gridCol w:w="759"/>
        <w:gridCol w:w="668"/>
        <w:gridCol w:w="672"/>
        <w:gridCol w:w="328"/>
        <w:gridCol w:w="328"/>
        <w:gridCol w:w="328"/>
        <w:gridCol w:w="328"/>
        <w:gridCol w:w="328"/>
        <w:gridCol w:w="328"/>
        <w:gridCol w:w="1541"/>
        <w:gridCol w:w="1541"/>
        <w:gridCol w:w="22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Andrew Bednar,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3"/>
        <w:gridCol w:w="733"/>
        <w:gridCol w:w="10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Alexandra Gottschalk,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24"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846"/>
        <w:gridCol w:w="846"/>
        <w:gridCol w:w="120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September 30, 2025,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3"/>
        <w:gridCol w:w="733"/>
        <w:gridCol w:w="10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September 30, 2025,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24"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846"/>
        <w:gridCol w:w="846"/>
        <w:gridCol w:w="120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19193</Words>
  <Characters>111282</Characters>
  <CharactersWithSpaces>129605</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