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Bennett Roy Edwin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07/30/2025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Perella Weinberg Partners</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PWP</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10153</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Mark Polemeni,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POWER OF ATTORNEY</w:t>
      </w:r>
    </w:p>
    <w:p>
      <w:pPr>
        <w:spacing w:after="0" w:line="279" w:lineRule="exact"/>
        <w:rPr>
          <w:sz w:val="20"/>
          <w:szCs w:val="20"/>
          <w:color w:val="auto"/>
        </w:rPr>
      </w:pPr>
    </w:p>
    <w:p>
      <w:pPr>
        <w:ind w:right="1779"/>
        <w:spacing w:after="0" w:line="260" w:lineRule="auto"/>
        <w:rPr>
          <w:sz w:val="20"/>
          <w:szCs w:val="20"/>
          <w:color w:val="auto"/>
        </w:rPr>
      </w:pPr>
      <w:r>
        <w:rPr>
          <w:rFonts w:ascii="Arial" w:cs="Arial" w:eastAsia="Arial" w:hAnsi="Arial"/>
          <w:sz w:val="24"/>
          <w:szCs w:val="24"/>
          <w:color w:val="auto"/>
        </w:rPr>
        <w:t>Know all by these presents, that the undersigned hereby constitutes and appoints each of Andrew Bednar, Alexandra Gottschalk, Justin Kamen, Jennie Miller, Mark Polemeni and Roseanne Ramanand or any of them, each acting alone, with full power of substitution and re-substitution, signing singly, as the undersigned's true and lawful attorney-in-fact to:</w:t>
      </w:r>
    </w:p>
    <w:p>
      <w:pPr>
        <w:spacing w:after="0" w:line="216" w:lineRule="exact"/>
        <w:rPr>
          <w:sz w:val="20"/>
          <w:szCs w:val="20"/>
          <w:color w:val="auto"/>
        </w:rPr>
      </w:pPr>
    </w:p>
    <w:p>
      <w:pPr>
        <w:ind w:right="2379"/>
        <w:spacing w:after="0" w:line="252"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w:t>
      </w:r>
    </w:p>
    <w:p>
      <w:pPr>
        <w:spacing w:after="0" w:line="2" w:lineRule="exact"/>
        <w:rPr>
          <w:rFonts w:ascii="Arial" w:cs="Arial" w:eastAsia="Arial" w:hAnsi="Arial"/>
          <w:sz w:val="24"/>
          <w:szCs w:val="24"/>
          <w:color w:val="auto"/>
        </w:rPr>
      </w:pPr>
    </w:p>
    <w:p>
      <w:pPr>
        <w:ind w:right="2759"/>
        <w:spacing w:after="0" w:line="251"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act as an account administrator for the undersigned's EDGAR account, including: (i) appointing, removing and replacing account administrators, technical administrators, account users and delegated entities; (ii) maintaining the undersigned's EDGAR account, including modifying access codes; (iii) maintaining, modifying and certifying the accuracy of information on the undersigned's EDGAR account dashboard; and (iv) taking any other action contemplated by Rule 10 of Regulation S-T;</w:t>
      </w:r>
    </w:p>
    <w:p>
      <w:pPr>
        <w:spacing w:after="0" w:line="2" w:lineRule="exact"/>
        <w:rPr>
          <w:rFonts w:ascii="Arial" w:cs="Arial" w:eastAsia="Arial" w:hAnsi="Arial"/>
          <w:sz w:val="24"/>
          <w:szCs w:val="24"/>
          <w:color w:val="auto"/>
        </w:rPr>
      </w:pPr>
    </w:p>
    <w:p>
      <w:pPr>
        <w:ind w:right="3239"/>
        <w:spacing w:after="0" w:line="250"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prepare Partners Partners Inc.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ind w:left="360" w:hanging="360"/>
        <w:spacing w:after="0"/>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w:t>
      </w:r>
    </w:p>
    <w:p>
      <w:pPr>
        <w:spacing w:after="0" w:line="9" w:lineRule="exact"/>
        <w:rPr>
          <w:sz w:val="20"/>
          <w:szCs w:val="20"/>
          <w:color w:val="auto"/>
        </w:rPr>
      </w:pPr>
    </w:p>
    <w:p>
      <w:pPr>
        <w:spacing w:after="0"/>
        <w:rPr>
          <w:sz w:val="20"/>
          <w:szCs w:val="20"/>
          <w:color w:val="auto"/>
        </w:rPr>
      </w:pPr>
      <w:r>
        <w:rPr>
          <w:rFonts w:ascii="Arial" w:cs="Arial" w:eastAsia="Arial" w:hAnsi="Arial"/>
          <w:sz w:val="24"/>
          <w:szCs w:val="24"/>
          <w:color w:val="auto"/>
        </w:rPr>
        <w:t>undersigned's capacity as an officer and/or director of the</w:t>
      </w:r>
    </w:p>
    <w:p>
      <w:pPr>
        <w:spacing w:after="0" w:line="9" w:lineRule="exact"/>
        <w:rPr>
          <w:sz w:val="20"/>
          <w:szCs w:val="20"/>
          <w:color w:val="auto"/>
        </w:rPr>
      </w:pPr>
    </w:p>
    <w:p>
      <w:pPr>
        <w:ind w:right="2659"/>
        <w:spacing w:after="0" w:line="254" w:lineRule="auto"/>
        <w:rPr>
          <w:sz w:val="20"/>
          <w:szCs w:val="20"/>
          <w:color w:val="auto"/>
        </w:rPr>
      </w:pPr>
      <w:r>
        <w:rPr>
          <w:rFonts w:ascii="Arial" w:cs="Arial" w:eastAsia="Arial" w:hAnsi="Arial"/>
          <w:sz w:val="24"/>
          <w:szCs w:val="24"/>
          <w:color w:val="auto"/>
        </w:rPr>
        <w:t>Company, Form 3, 4 or 5 relating to the Company in accordance with Section 16(a) of the Exchange Act and the rules and regulations promulgated thereunder and Form 144 in accordance with Rule 144 under the Securities Act of 1933, as amended (the "Securities Act");</w:t>
      </w:r>
    </w:p>
    <w:p>
      <w:pPr>
        <w:spacing w:after="0" w:line="272" w:lineRule="exact"/>
        <w:rPr>
          <w:sz w:val="20"/>
          <w:szCs w:val="20"/>
          <w:color w:val="auto"/>
        </w:rPr>
      </w:pPr>
    </w:p>
    <w:p>
      <w:pPr>
        <w:ind w:right="2319"/>
        <w:spacing w:after="0" w:line="251" w:lineRule="auto"/>
        <w:tabs>
          <w:tab w:leader="none" w:pos="360" w:val="left"/>
        </w:tabs>
        <w:numPr>
          <w:ilvl w:val="0"/>
          <w:numId w:val="5"/>
        </w:numPr>
        <w:rPr>
          <w:rFonts w:ascii="Arial" w:cs="Arial" w:eastAsia="Arial" w:hAnsi="Arial"/>
          <w:sz w:val="24"/>
          <w:szCs w:val="24"/>
          <w:color w:val="auto"/>
        </w:rPr>
      </w:pPr>
      <w:r>
        <w:rPr>
          <w:rFonts w:ascii="Arial" w:cs="Arial" w:eastAsia="Arial" w:hAnsi="Arial"/>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w:t>
      </w:r>
    </w:p>
    <w:p>
      <w:pPr>
        <w:spacing w:after="0" w:line="1" w:lineRule="exact"/>
        <w:rPr>
          <w:rFonts w:ascii="Arial" w:cs="Arial" w:eastAsia="Arial" w:hAnsi="Arial"/>
          <w:sz w:val="24"/>
          <w:szCs w:val="24"/>
          <w:color w:val="auto"/>
        </w:rPr>
      </w:pPr>
    </w:p>
    <w:p>
      <w:pPr>
        <w:spacing w:after="0"/>
        <w:rPr>
          <w:rFonts w:ascii="Arial" w:cs="Arial" w:eastAsia="Arial" w:hAnsi="Arial"/>
          <w:sz w:val="24"/>
          <w:szCs w:val="24"/>
          <w:color w:val="auto"/>
        </w:rPr>
      </w:pPr>
      <w:r>
        <w:rPr>
          <w:rFonts w:ascii="Arial" w:cs="Arial" w:eastAsia="Arial" w:hAnsi="Arial"/>
          <w:sz w:val="24"/>
          <w:szCs w:val="24"/>
          <w:color w:val="auto"/>
        </w:rPr>
        <w:t>reports with the SEC and any stock exchange or similar authority as</w:t>
      </w:r>
    </w:p>
    <w:p>
      <w:pPr>
        <w:sectPr>
          <w:pgSz w:w="11900" w:h="16838" w:orient="portrait"/>
          <w:cols w:equalWidth="0" w:num="1">
            <w:col w:w="9979"/>
          </w:cols>
          <w:pgMar w:left="480" w:top="1440" w:right="1440" w:bottom="1440" w:gutter="0" w:footer="0" w:header="0"/>
        </w:sectPr>
      </w:pPr>
    </w:p>
    <w:bookmarkStart w:id="2" w:name="page3"/>
    <w:bookmarkEnd w:id="2"/>
    <w:p>
      <w:pPr>
        <w:spacing w:after="0" w:line="124" w:lineRule="exact"/>
        <w:rPr>
          <w:sz w:val="20"/>
          <w:szCs w:val="20"/>
          <w:color w:val="auto"/>
        </w:rPr>
      </w:pPr>
    </w:p>
    <w:p>
      <w:pPr>
        <w:ind w:right="3439"/>
        <w:spacing w:after="0" w:line="258" w:lineRule="auto"/>
        <w:rPr>
          <w:sz w:val="20"/>
          <w:szCs w:val="20"/>
          <w:color w:val="auto"/>
        </w:rPr>
      </w:pPr>
      <w:r>
        <w:rPr>
          <w:rFonts w:ascii="Arial" w:cs="Arial" w:eastAsia="Arial" w:hAnsi="Arial"/>
          <w:sz w:val="24"/>
          <w:szCs w:val="24"/>
          <w:color w:val="auto"/>
        </w:rPr>
        <w:t>considered necessary or advisable under Section 16(a) of the Exchange Act or Rule 144 under the Securities Act; and</w:t>
      </w:r>
    </w:p>
    <w:p>
      <w:pPr>
        <w:spacing w:after="0" w:line="1" w:lineRule="exact"/>
        <w:rPr>
          <w:sz w:val="20"/>
          <w:szCs w:val="20"/>
          <w:color w:val="auto"/>
        </w:rPr>
      </w:pPr>
    </w:p>
    <w:p>
      <w:pPr>
        <w:ind w:right="2439"/>
        <w:spacing w:after="0" w:line="250" w:lineRule="auto"/>
        <w:tabs>
          <w:tab w:leader="none" w:pos="360" w:val="left"/>
        </w:tabs>
        <w:numPr>
          <w:ilvl w:val="0"/>
          <w:numId w:val="6"/>
        </w:numPr>
        <w:rPr>
          <w:rFonts w:ascii="Arial" w:cs="Arial" w:eastAsia="Arial" w:hAnsi="Arial"/>
          <w:sz w:val="24"/>
          <w:szCs w:val="24"/>
          <w:color w:val="auto"/>
        </w:rPr>
      </w:pPr>
      <w:r>
        <w:rPr>
          <w:rFonts w:ascii="Arial" w:cs="Arial" w:eastAsia="Arial" w:hAnsi="Arial"/>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w:t>
      </w:r>
    </w:p>
    <w:p>
      <w:pPr>
        <w:spacing w:after="0" w:line="3" w:lineRule="exact"/>
        <w:rPr>
          <w:rFonts w:ascii="Arial" w:cs="Arial" w:eastAsia="Arial" w:hAnsi="Arial"/>
          <w:sz w:val="24"/>
          <w:szCs w:val="24"/>
          <w:color w:val="auto"/>
        </w:rPr>
      </w:pPr>
    </w:p>
    <w:p>
      <w:pPr>
        <w:ind w:right="2699"/>
        <w:spacing w:after="0" w:line="262" w:lineRule="auto"/>
        <w:rPr>
          <w:rFonts w:ascii="Arial" w:cs="Arial" w:eastAsia="Arial" w:hAnsi="Arial"/>
          <w:sz w:val="24"/>
          <w:szCs w:val="24"/>
          <w:color w:val="auto"/>
        </w:rPr>
      </w:pPr>
      <w:r>
        <w:rPr>
          <w:rFonts w:ascii="Arial" w:cs="Arial" w:eastAsia="Arial" w:hAnsi="Arial"/>
          <w:sz w:val="24"/>
          <w:szCs w:val="24"/>
          <w:color w:val="auto"/>
        </w:rPr>
        <w:t>Power of Attorney shall be in such form and shall contain such terms and conditions as such attorney-in-fact may approve in her or his discretion.</w:t>
      </w:r>
    </w:p>
    <w:p>
      <w:pPr>
        <w:spacing w:after="0" w:line="213" w:lineRule="exact"/>
        <w:rPr>
          <w:sz w:val="20"/>
          <w:szCs w:val="20"/>
          <w:color w:val="auto"/>
        </w:rPr>
      </w:pPr>
    </w:p>
    <w:p>
      <w:pPr>
        <w:ind w:right="1979"/>
        <w:spacing w:after="0" w:line="254" w:lineRule="auto"/>
        <w:rPr>
          <w:sz w:val="20"/>
          <w:szCs w:val="20"/>
          <w:color w:val="auto"/>
        </w:rPr>
      </w:pPr>
      <w:r>
        <w:rPr>
          <w:rFonts w:ascii="Arial" w:cs="Arial" w:eastAsia="Arial" w:hAnsi="Arial"/>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w:t>
      </w:r>
    </w:p>
    <w:p>
      <w:pPr>
        <w:spacing w:after="0" w:line="4" w:lineRule="exact"/>
        <w:rPr>
          <w:sz w:val="20"/>
          <w:szCs w:val="20"/>
          <w:color w:val="auto"/>
        </w:rPr>
      </w:pPr>
    </w:p>
    <w:p>
      <w:pPr>
        <w:ind w:right="1879"/>
        <w:spacing w:after="0" w:line="251" w:lineRule="auto"/>
        <w:rPr>
          <w:sz w:val="20"/>
          <w:szCs w:val="20"/>
          <w:color w:val="auto"/>
        </w:rPr>
      </w:pPr>
      <w:r>
        <w:rPr>
          <w:rFonts w:ascii="Arial" w:cs="Arial" w:eastAsia="Arial" w:hAnsi="Arial"/>
          <w:sz w:val="24"/>
          <w:szCs w:val="24"/>
          <w:color w:val="auto"/>
        </w:rPr>
        <w:t>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3" w:lineRule="exact"/>
        <w:rPr>
          <w:sz w:val="20"/>
          <w:szCs w:val="20"/>
          <w:color w:val="auto"/>
        </w:rPr>
      </w:pPr>
    </w:p>
    <w:p>
      <w:pPr>
        <w:ind w:right="2259"/>
        <w:spacing w:after="0" w:line="260"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such documents with respect to holdings of and transactions in securities issued by the Company, unless earlier revoked by the undersigned in a signed writing delivered to the foregoing attorneys-in-fact.</w:t>
      </w:r>
    </w:p>
    <w:p>
      <w:pPr>
        <w:spacing w:after="0" w:line="216" w:lineRule="exact"/>
        <w:rPr>
          <w:sz w:val="20"/>
          <w:szCs w:val="20"/>
          <w:color w:val="auto"/>
        </w:rPr>
      </w:pPr>
    </w:p>
    <w:p>
      <w:pPr>
        <w:ind w:right="1479"/>
        <w:spacing w:after="0" w:line="283" w:lineRule="auto"/>
        <w:rPr>
          <w:sz w:val="20"/>
          <w:szCs w:val="20"/>
          <w:color w:val="auto"/>
        </w:rPr>
      </w:pPr>
      <w:r>
        <w:rPr>
          <w:rFonts w:ascii="Arial" w:cs="Arial" w:eastAsia="Arial" w:hAnsi="Arial"/>
          <w:sz w:val="24"/>
          <w:szCs w:val="24"/>
          <w:color w:val="auto"/>
        </w:rPr>
        <w:t>IN WITNESS WHEREOF, the undersigned has caused this Power of Attorney to be executed as of this 30th day of July, 2025.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4"/>
          <w:szCs w:val="24"/>
          <w:color w:val="auto"/>
        </w:rPr>
        <w:t>By: /s/ Edwin Bennett</w:t>
      </w:r>
    </w:p>
    <w:p>
      <w:pPr>
        <w:spacing w:after="0" w:line="33" w:lineRule="exact"/>
        <w:rPr>
          <w:sz w:val="20"/>
          <w:szCs w:val="20"/>
          <w:color w:val="auto"/>
        </w:rPr>
      </w:pPr>
    </w:p>
    <w:p>
      <w:pPr>
        <w:spacing w:after="0"/>
        <w:rPr>
          <w:sz w:val="20"/>
          <w:szCs w:val="20"/>
          <w:color w:val="auto"/>
        </w:rPr>
      </w:pPr>
      <w:r>
        <w:rPr>
          <w:rFonts w:ascii="Arial" w:cs="Arial" w:eastAsia="Arial" w:hAnsi="Arial"/>
          <w:sz w:val="24"/>
          <w:szCs w:val="24"/>
          <w:color w:val="auto"/>
        </w:rPr>
        <w:t>Name: Edwin Bennett</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8207"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2025-08-08T17:39:33Z</dcterms:created>
  <dcterms:modified xsi:type="dcterms:W3CDTF">2025-08-08T17:39:33Z</dcterms:modified>
</cp:coreProperties>
</file>