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7"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480" w:hanging="440"/>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4" w:lineRule="exact"/>
        <w:rPr>
          <w:sz w:val="24"/>
          <w:szCs w:val="24"/>
          <w:color w:val="auto"/>
        </w:rPr>
      </w:pPr>
    </w:p>
    <w:p>
      <w:pPr>
        <w:ind w:left="480" w:hanging="440"/>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5" w:lineRule="exact"/>
        <w:rPr>
          <w:sz w:val="24"/>
          <w:szCs w:val="24"/>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6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4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40" w:lineRule="exact"/>
        <w:rPr>
          <w:sz w:val="24"/>
          <w:szCs w:val="24"/>
          <w:color w:val="auto"/>
        </w:rPr>
      </w:pPr>
    </w:p>
    <w:tbl>
      <w:tblPr>
        <w:tblLayout w:type="fixed"/>
        <w:tblInd w:w="2200" w:type="dxa"/>
        <w:tblCellMar>
          <w:top w:w="0" w:type="dxa"/>
          <w:left w:w="0" w:type="dxa"/>
          <w:bottom w:w="0" w:type="dxa"/>
          <w:right w:w="0" w:type="dxa"/>
        </w:tblCellMar>
      </w:tblPr>
      <w:tr>
        <w:trPr>
          <w:trHeight w:val="23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84-1770732</w:t>
            </w:r>
          </w:p>
        </w:tc>
      </w:tr>
      <w:tr>
        <w:trPr>
          <w:trHeight w:val="268"/>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20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4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77"/>
        </w:trPr>
        <w:tc>
          <w:tcPr>
            <w:tcW w:w="410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040" w:type="dxa"/>
            <w:vAlign w:val="bottom"/>
          </w:tcPr>
          <w:p>
            <w:pPr>
              <w:spacing w:after="0"/>
              <w:rPr>
                <w:sz w:val="24"/>
                <w:szCs w:val="24"/>
                <w:color w:val="auto"/>
              </w:rPr>
            </w:pPr>
          </w:p>
        </w:tc>
      </w:tr>
      <w:tr>
        <w:trPr>
          <w:trHeight w:val="232"/>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3040" w:type="dxa"/>
            <w:vAlign w:val="bottom"/>
          </w:tcPr>
          <w:p>
            <w:pPr>
              <w:jc w:val="right"/>
              <w:ind w:right="206"/>
              <w:spacing w:after="0"/>
              <w:rPr>
                <w:sz w:val="20"/>
                <w:szCs w:val="20"/>
                <w:color w:val="auto"/>
              </w:rPr>
            </w:pPr>
            <w:r>
              <w:rPr>
                <w:rFonts w:ascii="Times New Roman" w:cs="Times New Roman" w:eastAsia="Times New Roman" w:hAnsi="Times New Roman"/>
                <w:sz w:val="18"/>
                <w:szCs w:val="18"/>
                <w:b w:val="1"/>
                <w:bCs w:val="1"/>
                <w:color w:val="auto"/>
              </w:rPr>
              <w:t>10153</w:t>
            </w:r>
          </w:p>
        </w:tc>
      </w:tr>
      <w:tr>
        <w:trPr>
          <w:trHeight w:val="166"/>
        </w:trPr>
        <w:tc>
          <w:tcPr>
            <w:tcW w:w="4100" w:type="dxa"/>
            <w:vAlign w:val="bottom"/>
          </w:tcPr>
          <w:p>
            <w:pPr>
              <w:jc w:val="center"/>
              <w:ind w:right="194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40" w:type="dxa"/>
            <w:vAlign w:val="bottom"/>
          </w:tcPr>
          <w:p>
            <w:pPr>
              <w:jc w:val="center"/>
              <w:ind w:left="19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7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80" w:type="dxa"/>
            <w:vAlign w:val="bottom"/>
            <w:tcBorders>
              <w:bottom w:val="single" w:sz="8" w:color="auto"/>
            </w:tcBorders>
          </w:tcPr>
          <w:p>
            <w:pPr>
              <w:spacing w:after="0"/>
              <w:rPr>
                <w:sz w:val="3"/>
                <w:szCs w:val="3"/>
                <w:color w:val="auto"/>
              </w:rPr>
            </w:pPr>
          </w:p>
        </w:tc>
      </w:tr>
      <w:tr>
        <w:trPr>
          <w:trHeight w:val="217"/>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PWP</w:t>
            </w: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6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2" w:lineRule="exact"/>
        <w:rPr>
          <w:sz w:val="24"/>
          <w:szCs w:val="24"/>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40" w:type="dxa"/>
            <w:vAlign w:val="bottom"/>
          </w:tcPr>
          <w:p>
            <w:pPr>
              <w:ind w:left="1160"/>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40" w:type="dxa"/>
            <w:vAlign w:val="bottom"/>
          </w:tcPr>
          <w:p>
            <w:pPr>
              <w:ind w:left="1160"/>
              <w:spacing w:after="0"/>
              <w:rPr>
                <w:sz w:val="20"/>
                <w:szCs w:val="20"/>
                <w:color w:val="auto"/>
              </w:rPr>
            </w:pPr>
            <w:r>
              <w:rPr>
                <w:rFonts w:ascii="Wingdings" w:cs="Wingdings" w:eastAsia="Wingdings" w:hAnsi="Wingdings"/>
                <w:sz w:val="16"/>
                <w:szCs w:val="16"/>
                <w:b w:val="1"/>
                <w:bCs w:val="1"/>
                <w:color w:val="auto"/>
              </w:rPr>
              <w:t>o</w:t>
            </w: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rPr>
              <w:t>o</w:t>
            </w:r>
          </w:p>
        </w:tc>
      </w:tr>
      <w:tr>
        <w:trPr>
          <w:trHeight w:val="216"/>
        </w:trPr>
        <w:tc>
          <w:tcPr>
            <w:tcW w:w="2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6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100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154"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0" w:lineRule="exact"/>
        <w:rPr>
          <w:sz w:val="24"/>
          <w:szCs w:val="24"/>
          <w:color w:val="auto"/>
        </w:rPr>
      </w:pPr>
    </w:p>
    <w:p>
      <w:pPr>
        <w:spacing w:after="0"/>
        <w:tabs>
          <w:tab w:leader="none" w:pos="79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86" w:lineRule="exact"/>
        <w:rPr>
          <w:sz w:val="24"/>
          <w:szCs w:val="24"/>
          <w:color w:val="auto"/>
        </w:rPr>
      </w:pPr>
    </w:p>
    <w:p>
      <w:pPr>
        <w:ind w:right="360"/>
        <w:spacing w:after="0" w:line="280" w:lineRule="auto"/>
        <w:rPr>
          <w:sz w:val="20"/>
          <w:szCs w:val="20"/>
          <w:color w:val="auto"/>
        </w:rPr>
      </w:pPr>
      <w:r>
        <w:rPr>
          <w:rFonts w:ascii="Times New Roman" w:cs="Times New Roman" w:eastAsia="Times New Roman" w:hAnsi="Times New Roman"/>
          <w:sz w:val="16"/>
          <w:szCs w:val="16"/>
          <w:color w:val="auto"/>
        </w:rPr>
        <w:t>As of April 30, 2024, the registrant had 53,410,156 shares of Class A common stock, par value $0.0001 per share, and 40,795,985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1" w:name="page2"/>
    <w:bookmarkEnd w:id="1"/>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00" w:type="dxa"/>
            <w:vAlign w:val="bottom"/>
            <w:gridSpan w:val="2"/>
            <w:vMerge w:val="restart"/>
          </w:tcPr>
          <w:p>
            <w:pPr>
              <w:spacing w:after="0"/>
              <w:rPr>
                <w:sz w:val="2"/>
                <w:szCs w:val="2"/>
                <w:color w:val="auto"/>
              </w:rPr>
            </w:pPr>
          </w:p>
        </w:tc>
        <w:tc>
          <w:tcPr>
            <w:tcW w:w="24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920" w:type="dxa"/>
            <w:vAlign w:val="bottom"/>
            <w:gridSpan w:val="10"/>
            <w:vMerge w:val="restart"/>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40" w:type="dxa"/>
            <w:vAlign w:val="bottom"/>
            <w:tcBorders>
              <w:bottom w:val="single" w:sz="8" w:color="0000FF"/>
            </w:tcBorders>
            <w:gridSpan w:val="3"/>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2400" w:type="dxa"/>
            <w:vAlign w:val="bottom"/>
            <w:tcBorders>
              <w:bottom w:val="single" w:sz="8" w:color="0000FF"/>
            </w:tcBorders>
            <w:gridSpan w:val="8"/>
            <w:vMerge w:val="continue"/>
          </w:tcPr>
          <w:p>
            <w:pPr>
              <w:spacing w:after="0"/>
              <w:rPr>
                <w:sz w:val="17"/>
                <w:szCs w:val="17"/>
                <w:color w:val="auto"/>
              </w:rPr>
            </w:pPr>
          </w:p>
        </w:tc>
        <w:tc>
          <w:tcPr>
            <w:tcW w:w="5920" w:type="dxa"/>
            <w:vAlign w:val="bottom"/>
            <w:gridSpan w:val="10"/>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620" w:type="dxa"/>
            <w:vAlign w:val="bottom"/>
            <w:gridSpan w:val="4"/>
          </w:tcPr>
          <w:p>
            <w:pPr>
              <w:spacing w:after="0"/>
              <w:rPr>
                <w:sz w:val="22"/>
                <w:szCs w:val="22"/>
                <w:color w:val="auto"/>
              </w:rPr>
            </w:pP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900" w:type="dxa"/>
            <w:vAlign w:val="bottom"/>
            <w:gridSpan w:val="9"/>
          </w:tcPr>
          <w:p>
            <w:pPr>
              <w:spacing w:after="0"/>
              <w:rPr>
                <w:sz w:val="22"/>
                <w:szCs w:val="22"/>
                <w:color w:val="auto"/>
              </w:rPr>
            </w:pPr>
          </w:p>
        </w:tc>
        <w:tc>
          <w:tcPr>
            <w:tcW w:w="7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Condition as of March 31, 2024 and December 31, 2023</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9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for the Three Months Ended March 31,</w:t>
            </w:r>
          </w:p>
        </w:tc>
        <w:tc>
          <w:tcPr>
            <w:tcW w:w="360" w:type="dxa"/>
            <w:vAlign w:val="bottom"/>
            <w:gridSpan w:val="2"/>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7000" w:type="dxa"/>
            <w:vAlign w:val="bottom"/>
            <w:gridSpan w:val="14"/>
          </w:tcPr>
          <w:p>
            <w:pPr>
              <w:spacing w:after="0"/>
              <w:rPr>
                <w:sz w:val="18"/>
                <w:szCs w:val="18"/>
                <w:color w:val="auto"/>
              </w:rPr>
            </w:pPr>
          </w:p>
        </w:tc>
        <w:tc>
          <w:tcPr>
            <w:tcW w:w="7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for the Three Months Ended March 31, 2024 and 2023</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7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480" w:type="dxa"/>
            <w:vAlign w:val="bottom"/>
            <w:tcBorders>
              <w:top w:val="single" w:sz="8" w:color="0000FF"/>
            </w:tcBorders>
            <w:gridSpan w:val="2"/>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00" w:type="dxa"/>
            <w:vAlign w:val="bottom"/>
            <w:gridSpan w:val="3"/>
          </w:tcPr>
          <w:p>
            <w:pPr>
              <w:spacing w:after="0"/>
              <w:rPr>
                <w:sz w:val="22"/>
                <w:szCs w:val="22"/>
                <w:color w:val="auto"/>
              </w:rPr>
            </w:pPr>
          </w:p>
        </w:tc>
        <w:tc>
          <w:tcPr>
            <w:tcW w:w="64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860" w:type="dxa"/>
            <w:vAlign w:val="bottom"/>
            <w:gridSpan w:val="5"/>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2"/>
          </w:tcPr>
          <w:p>
            <w:pPr>
              <w:spacing w:after="0"/>
              <w:rPr>
                <w:sz w:val="22"/>
                <w:szCs w:val="22"/>
                <w:color w:val="auto"/>
              </w:rPr>
            </w:pPr>
          </w:p>
        </w:tc>
        <w:tc>
          <w:tcPr>
            <w:tcW w:w="1860" w:type="dxa"/>
            <w:vAlign w:val="bottom"/>
            <w:gridSpan w:val="5"/>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620" w:type="dxa"/>
            <w:vAlign w:val="bottom"/>
            <w:gridSpan w:val="4"/>
          </w:tcPr>
          <w:p>
            <w:pPr>
              <w:spacing w:after="0"/>
              <w:rPr>
                <w:sz w:val="22"/>
                <w:szCs w:val="22"/>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20" w:type="dxa"/>
            <w:vAlign w:val="bottom"/>
            <w:tcBorders>
              <w:top w:val="single" w:sz="8" w:color="0000FF"/>
            </w:tcBorders>
            <w:gridSpan w:val="2"/>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0" w:type="dxa"/>
            <w:vAlign w:val="bottom"/>
            <w:tcBorders>
              <w:top w:val="single" w:sz="8" w:color="0000FF"/>
            </w:tcBorders>
            <w:gridSpan w:val="2"/>
          </w:tcPr>
          <w:p>
            <w:pPr>
              <w:spacing w:after="0"/>
              <w:rPr>
                <w:sz w:val="22"/>
                <w:szCs w:val="22"/>
                <w:color w:val="auto"/>
              </w:rPr>
            </w:pPr>
          </w:p>
        </w:tc>
        <w:tc>
          <w:tcPr>
            <w:tcW w:w="6300" w:type="dxa"/>
            <w:vAlign w:val="bottom"/>
            <w:gridSpan w:val="12"/>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9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20" w:type="dxa"/>
            <w:vAlign w:val="bottom"/>
            <w:tcBorders>
              <w:top w:val="single" w:sz="8" w:color="0000FF"/>
            </w:tcBorders>
            <w:gridSpan w:val="2"/>
          </w:tcPr>
          <w:p>
            <w:pPr>
              <w:spacing w:after="0"/>
              <w:rPr>
                <w:sz w:val="22"/>
                <w:szCs w:val="22"/>
                <w:color w:val="auto"/>
              </w:rPr>
            </w:pPr>
          </w:p>
        </w:tc>
        <w:tc>
          <w:tcPr>
            <w:tcW w:w="380" w:type="dxa"/>
            <w:vAlign w:val="bottom"/>
          </w:tcPr>
          <w:p>
            <w:pPr>
              <w:spacing w:after="0"/>
              <w:rPr>
                <w:sz w:val="22"/>
                <w:szCs w:val="22"/>
                <w:color w:val="auto"/>
              </w:rPr>
            </w:pPr>
          </w:p>
        </w:tc>
        <w:tc>
          <w:tcPr>
            <w:tcW w:w="43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980" w:type="dxa"/>
            <w:vAlign w:val="bottom"/>
            <w:gridSpan w:val="8"/>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600" w:type="dxa"/>
            <w:vAlign w:val="bottom"/>
            <w:gridSpan w:val="3"/>
          </w:tcPr>
          <w:p>
            <w:pPr>
              <w:spacing w:after="0"/>
              <w:rPr>
                <w:sz w:val="22"/>
                <w:szCs w:val="22"/>
                <w:color w:val="auto"/>
              </w:rPr>
            </w:pP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000" w:type="dxa"/>
            <w:vAlign w:val="bottom"/>
            <w:gridSpan w:val="11"/>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560" w:type="dxa"/>
            <w:vAlign w:val="bottom"/>
            <w:gridSpan w:val="1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00" w:type="dxa"/>
            <w:vAlign w:val="bottom"/>
            <w:gridSpan w:val="3"/>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Pr>
          <w:p>
            <w:pPr>
              <w:spacing w:after="0"/>
              <w:rPr>
                <w:sz w:val="22"/>
                <w:szCs w:val="22"/>
                <w:color w:val="auto"/>
              </w:rPr>
            </w:pPr>
          </w:p>
        </w:tc>
        <w:tc>
          <w:tcPr>
            <w:tcW w:w="6560" w:type="dxa"/>
            <w:vAlign w:val="bottom"/>
            <w:gridSpan w:val="13"/>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00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00" w:type="dxa"/>
            <w:vAlign w:val="bottom"/>
            <w:gridSpan w:val="3"/>
          </w:tcPr>
          <w:p>
            <w:pPr>
              <w:spacing w:after="0"/>
              <w:rPr>
                <w:sz w:val="22"/>
                <w:szCs w:val="22"/>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3"/>
          </w:tcPr>
          <w:p>
            <w:pPr>
              <w:spacing w:after="0"/>
              <w:rPr>
                <w:sz w:val="22"/>
                <w:szCs w:val="22"/>
                <w:color w:val="auto"/>
              </w:rPr>
            </w:pPr>
          </w:p>
        </w:tc>
        <w:tc>
          <w:tcPr>
            <w:tcW w:w="7000" w:type="dxa"/>
            <w:vAlign w:val="bottom"/>
            <w:gridSpan w:val="14"/>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40" w:top="765" w:right="1279" w:bottom="1440" w:gutter="0" w:footer="0" w:header="0"/>
        </w:sectPr>
      </w:pPr>
    </w:p>
    <w:bookmarkStart w:id="2" w:name="page3"/>
    <w:bookmarkEnd w:id="2"/>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June 24, 2021 (the “Closing Date” or the “Closing”), Perella Weinberg Partners consummated a business combination pursuant to that certain Business Combination Agreement, dated as of December 29, 2020 (the “Business Combination Agreement”). Unless the context otherwise requires,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“PWP,” the “Company,” “we,” “us” or “our” refer to Perella Weinberg Partners and its consolidated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statements made in this Quarterly Report on Form 10-Q are “forward-looking statements” within the meaning of the federal securities laws,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the Private Securities Litigation Reform Act of 1995, Section 27A of the Securities Act of 1933, as amended (the “Securities Act”), and Section 21E of the Securities Exchange Act of 1934, as amended (the “Exchange Act”). Statements regarding the expectations regarding the combined business are “forward-looking statements.” In addition, words such as “estimates,” “projected,” “expects,” “estimated,” “anticipates,” “forecasts,” “plans,” “intends,”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important factors, many of which are outside the control of the parties, that could cause actual results or outcomes to differ materially from those discussed in the forward-looking statements.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Important factors, among others, that may affect actual results or outcomes include (but are not limited to): changing market conditions;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Company’s ability to execute on its growth initiatives, business strategies or operating plans; the Company’s ability to successfully identify, recruit, develop and retain talent; the Company's dependence on its fee-paying clients and fluctuating revenues from its non-exclusive, engagement-by-engagement business model; the high volatility of the Company’s revenue as a result of its reliance on advisory fees that are largely contingent on the completion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events which may be out of its control; the Company’s ability to appropriately manage conflicts of interest and tax and other regulatory factors relevant to the Company’s business, including actual, potential or perceived conflicts of interest and other factors that may damage its business and reputation; substantial litigation risks in the financial services industry; cybersecurity and other operational risks; extensive regulation of the corporate advisory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industry and U.S. and foreign regulatory developments relating to, among other things, financial institutions and markets, government oversight, fiscal and tax policy and laws; and other risks and uncertainties described under the section entitled “</w:t>
      </w:r>
      <w:r>
        <w:rPr>
          <w:rFonts w:ascii="Times New Roman" w:cs="Times New Roman" w:eastAsia="Times New Roman" w:hAnsi="Times New Roman"/>
          <w:sz w:val="18"/>
          <w:szCs w:val="18"/>
          <w:i w:val="1"/>
          <w:iCs w:val="1"/>
          <w:color w:val="auto"/>
        </w:rPr>
        <w:t>Part I—Item 1A. Risk Factors</w:t>
      </w:r>
      <w:r>
        <w:rPr>
          <w:rFonts w:ascii="Times New Roman" w:cs="Times New Roman" w:eastAsia="Times New Roman" w:hAnsi="Times New Roman"/>
          <w:sz w:val="18"/>
          <w:szCs w:val="18"/>
          <w:color w:val="auto"/>
        </w:rPr>
        <w:t>” included in our Annual Report on Form 10-K.</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future events or otherwise, except as may be required under applicable securities laws.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Securities and Exchange Commission (the “SEC”).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5"/>
        </w:trPr>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0"/>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Perella Weinberg Partners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7940" w:type="dxa"/>
            <w:vAlign w:val="bottom"/>
          </w:tcPr>
          <w:p>
            <w:pPr>
              <w:jc w:val="center"/>
              <w:ind w:left="323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7940" w:type="dxa"/>
            <w:vAlign w:val="bottom"/>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Per Share Amounts)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7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156,694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247,171</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short-term marketable debt securities</w:t>
            </w:r>
          </w:p>
        </w:tc>
        <w:tc>
          <w:tcPr>
            <w:tcW w:w="16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47,771</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 net of accumulated depreciation and amortization</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93,652</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30,871</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143,935</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r>
      <w:tr>
        <w:trPr>
          <w:trHeight w:val="277"/>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583,589</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34,367</w:t>
            </w:r>
          </w:p>
        </w:tc>
        <w:tc>
          <w:tcPr>
            <w:tcW w:w="1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233,927</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52,106</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176,263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175,901</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 due pursuant to tax receivable agreement</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304,568</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492,862</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$0.0001 per share (1,500,000,000 shares authorized, 65,991,492 issued</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8"/>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53,386,941 outstanding at March 31, 2024; 1,500,000,000 shares authorized, 57,361,073 issued and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4"/>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44,642,849 outstanding at December 31, 2023)</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common stock, par value $0.0001 per share (600,000,000 shares authorized, 40,795,985 issued and</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8"/>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 at March 31, 2024; 600,000,000 shares authorized, 41,589,339 issued and outstanding at</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1"/>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par value $0.0001 per share (100,000,000 shares authorized, no shares issued and</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312,523</w:t>
            </w:r>
          </w:p>
        </w:tc>
      </w:tr>
      <w:tr>
        <w:trPr>
          <w:trHeight w:val="25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(54,650)</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5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 at cost (12,604,551 and 12,718,224 shares of Class A common stock at March 31, 2024 and</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(100,747)</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Perella Weinberg Partners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152,656</w:t>
            </w:r>
          </w:p>
        </w:tc>
      </w:tr>
      <w:tr>
        <w:trPr>
          <w:trHeight w:val="256"/>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115,590</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268,246</w:t>
            </w:r>
          </w:p>
        </w:tc>
      </w:tr>
      <w:tr>
        <w:trPr>
          <w:trHeight w:val="277"/>
        </w:trPr>
        <w:tc>
          <w:tcPr>
            <w:tcW w:w="7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583,589</w:t>
            </w:r>
          </w:p>
        </w:tc>
        <w:tc>
          <w:tcPr>
            <w:tcW w:w="100" w:type="dxa"/>
            <w:vAlign w:val="bottom"/>
          </w:tcPr>
          <w:p>
            <w:pPr>
              <w:spacing w:after="0"/>
              <w:rPr>
                <w:sz w:val="24"/>
                <w:szCs w:val="24"/>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761,108</w:t>
            </w:r>
          </w:p>
        </w:tc>
      </w:tr>
      <w:tr>
        <w:trPr>
          <w:trHeight w:val="21"/>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40005</wp:posOffset>
            </wp:positionV>
            <wp:extent cx="20745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131,426</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69,963</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47,671</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117,634</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Travel and related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administrative and other expenses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155,690</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154,116</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(22,690)</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income</w:t>
            </w:r>
          </w:p>
        </w:tc>
        <w:tc>
          <w:tcPr>
            <w:tcW w:w="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7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non-operating income (expenses)</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(50,906)</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(22,134)</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(27,420)</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w:t>
            </w:r>
          </w:p>
        </w:tc>
      </w:tr>
      <w:tr>
        <w:trPr>
          <w:trHeight w:val="27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Class A common shareholders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Class A common stock outstanding</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49,200,283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42,317,827</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90,519,358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86,611,018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13335</wp:posOffset>
            </wp:positionV>
            <wp:extent cx="2074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w:t>
            </w: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(loss), net of tax</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(25,835)</w:t>
            </w:r>
          </w:p>
        </w:tc>
      </w:tr>
      <w:tr>
        <w:trPr>
          <w:trHeight w:val="28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(21,498)</w:t>
            </w: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Perella Weinberg Partners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40" w:type="dxa"/>
            <w:vAlign w:val="bottom"/>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Non-</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92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44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3"/>
                <w:szCs w:val="13"/>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10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2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80" w:type="dxa"/>
            <w:vAlign w:val="bottom"/>
          </w:tcPr>
          <w:p>
            <w:pPr>
              <w:spacing w:after="0"/>
              <w:rPr>
                <w:sz w:val="13"/>
                <w:szCs w:val="13"/>
                <w:color w:val="auto"/>
              </w:rPr>
            </w:pPr>
          </w:p>
        </w:tc>
        <w:tc>
          <w:tcPr>
            <w:tcW w:w="6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57,361,073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41,589,339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(12,718,224)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(100,747)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312,523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(54,650)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268,246</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(35,844)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33,371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13,942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47,313</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(2,867)</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2,086,273</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113,673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(1,143)</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9"/>
              </w:rPr>
              <w:t>Withholding payments on vested PWP Incentive Plan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(24,568)</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(5,115)</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645</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in public offering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(Note 9—Stockholders’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5,750,000</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65,986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65,987</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(Note 9—Stockholders’ Equity)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794,146</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(793,354)</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570</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6"/>
        </w:trPr>
        <w:tc>
          <w:tcPr>
            <w:tcW w:w="24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65,991,492</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40,795,985</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(12,604,551)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362,377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(95,980)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117,110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279,021</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40" w:type="dxa"/>
            <w:vAlign w:val="bottom"/>
          </w:tcPr>
          <w:p>
            <w:pPr>
              <w:spacing w:after="0"/>
              <w:rPr>
                <w:sz w:val="7"/>
                <w:szCs w:val="7"/>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8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Non-</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2"/>
              </w:rPr>
              <w:t>Treasury</w:t>
            </w: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72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74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9"/>
                <w:szCs w:val="9"/>
                <w:color w:val="auto"/>
              </w:rPr>
            </w:pPr>
          </w:p>
        </w:tc>
        <w:tc>
          <w:tcPr>
            <w:tcW w:w="6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Common</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920" w:type="dxa"/>
            <w:vAlign w:val="bottom"/>
            <w:gridSpan w:val="3"/>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Controlling</w:t>
            </w: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1"/>
              </w:rPr>
              <w:t>Stock</w:t>
            </w:r>
          </w:p>
        </w:tc>
        <w:tc>
          <w:tcPr>
            <w:tcW w:w="10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Deficit)</w:t>
            </w: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60" w:type="dxa"/>
            <w:vAlign w:val="bottom"/>
          </w:tcPr>
          <w:p>
            <w:pPr>
              <w:spacing w:after="0"/>
              <w:rPr>
                <w:sz w:val="13"/>
                <w:szCs w:val="13"/>
                <w:color w:val="auto"/>
              </w:rPr>
            </w:pPr>
          </w:p>
        </w:tc>
        <w:tc>
          <w:tcPr>
            <w:tcW w:w="6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9"/>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52,237,247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44,563,877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(10,492,286)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(80,067)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242,129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122,678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260,140</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income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(22,297)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(27,420)</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Equity-based awards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27,932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20,334</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48,266</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Distributions to partners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(3,119)</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Issuance of Class A common stock for vested PWP</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Incentive Plan Awards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1,250,162</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99,057</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9"/>
              </w:rPr>
              <w:t>Withholding payments on vested PWP Incentive Plan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Awards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(11,356)</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Dividends declared ($0.07 per share of Class A</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(4,756)</w:t>
            </w:r>
          </w:p>
        </w:tc>
        <w:tc>
          <w:tcPr>
            <w:tcW w:w="0" w:type="dxa"/>
            <w:vAlign w:val="bottom"/>
          </w:tcPr>
          <w:p>
            <w:pPr>
              <w:spacing w:after="0"/>
              <w:rPr>
                <w:sz w:val="1"/>
                <w:szCs w:val="1"/>
                <w:color w:val="auto"/>
              </w:rPr>
            </w:pPr>
          </w:p>
        </w:tc>
      </w:tr>
      <w:tr>
        <w:trPr>
          <w:trHeight w:val="153"/>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gain (loss)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1,585</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Exchange of PWP OpCo Units and corresponding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Class B common stock for Class A common 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(Note 9—Stockholders’ Equity)</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786,644</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(785,862)</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457</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Treasury stock purchase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(1,457,304)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(14,754)</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(14,754)</w:t>
            </w:r>
          </w:p>
        </w:tc>
        <w:tc>
          <w:tcPr>
            <w:tcW w:w="0" w:type="dxa"/>
            <w:vAlign w:val="bottom"/>
          </w:tcPr>
          <w:p>
            <w:pPr>
              <w:spacing w:after="0"/>
              <w:rPr>
                <w:sz w:val="1"/>
                <w:szCs w:val="1"/>
                <w:color w:val="auto"/>
              </w:rPr>
            </w:pPr>
          </w:p>
        </w:tc>
      </w:tr>
      <w:tr>
        <w:trPr>
          <w:trHeight w:val="167"/>
        </w:trPr>
        <w:tc>
          <w:tcPr>
            <w:tcW w:w="24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Change in ownership interests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2,678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 2023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54,274,053</w:t>
            </w: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43,778,015</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(11,850,533)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(93,632)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260,806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(28,119)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115,700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249,012</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 (unaudited)</w:t>
      </w:r>
    </w:p>
    <w:p>
      <w:pPr>
        <w:spacing w:after="0" w:line="2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(27,420)</w:t>
            </w:r>
          </w:p>
        </w:tc>
        <w:tc>
          <w:tcPr>
            <w:tcW w:w="0" w:type="dxa"/>
            <w:vAlign w:val="bottom"/>
          </w:tcPr>
          <w:p>
            <w:pPr>
              <w:spacing w:after="0"/>
              <w:rPr>
                <w:sz w:val="1"/>
                <w:szCs w:val="1"/>
                <w:color w:val="auto"/>
              </w:rPr>
            </w:pPr>
          </w:p>
        </w:tc>
      </w:tr>
      <w:tr>
        <w:trPr>
          <w:trHeight w:val="206"/>
        </w:trPr>
        <w:tc>
          <w:tcPr>
            <w:tcW w:w="79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Equity-based awards vesting expense</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47,313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48,266</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Foreign currency revaluation</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3,549</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taxes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Decrease (increase) in operating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22,812</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Due from related parties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(198,971)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(180,594)</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(3,885)</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Lease liabilities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(206,345)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(131,942)</w:t>
            </w:r>
          </w:p>
        </w:tc>
        <w:tc>
          <w:tcPr>
            <w:tcW w:w="0" w:type="dxa"/>
            <w:vAlign w:val="bottom"/>
          </w:tcPr>
          <w:p>
            <w:pPr>
              <w:spacing w:after="0"/>
              <w:rPr>
                <w:sz w:val="1"/>
                <w:szCs w:val="1"/>
                <w:color w:val="auto"/>
              </w:rPr>
            </w:pPr>
          </w:p>
        </w:tc>
      </w:tr>
      <w:tr>
        <w:trPr>
          <w:trHeight w:val="18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Purchases of fixed assets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(18,332)</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Purchases of investments in short-term marketable debt securities</w:t>
            </w:r>
          </w:p>
        </w:tc>
        <w:tc>
          <w:tcPr>
            <w:tcW w:w="9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(24,983)</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Maturities of investments in short-term marketable debt securities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91,188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140,551</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82,727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97,724</w:t>
            </w:r>
          </w:p>
        </w:tc>
        <w:tc>
          <w:tcPr>
            <w:tcW w:w="0" w:type="dxa"/>
            <w:vAlign w:val="bottom"/>
          </w:tcPr>
          <w:p>
            <w:pPr>
              <w:spacing w:after="0"/>
              <w:rPr>
                <w:sz w:val="1"/>
                <w:szCs w:val="1"/>
                <w:color w:val="auto"/>
              </w:rPr>
            </w:pPr>
          </w:p>
        </w:tc>
      </w:tr>
      <w:tr>
        <w:trPr>
          <w:trHeight w:val="18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Proceeds from issuance of Class A common stock in public offering, net of underwriting discount and offering costs</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Dividends paid on Class A and Class B common stock</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Withholding payments for vested PWP Incentive Plan Awards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(11,356)</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stock purchases</w:t>
            </w:r>
          </w:p>
        </w:tc>
        <w:tc>
          <w:tcPr>
            <w:tcW w:w="9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(14,754)</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Payments pursuant to tax receivable agreement</w:t>
            </w:r>
          </w:p>
        </w:tc>
        <w:tc>
          <w:tcPr>
            <w:tcW w:w="9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(33,230)</w:t>
            </w:r>
          </w:p>
        </w:tc>
        <w:tc>
          <w:tcPr>
            <w:tcW w:w="0" w:type="dxa"/>
            <w:vAlign w:val="bottom"/>
          </w:tcPr>
          <w:p>
            <w:pPr>
              <w:spacing w:after="0"/>
              <w:rPr>
                <w:sz w:val="1"/>
                <w:szCs w:val="1"/>
                <w:color w:val="auto"/>
              </w:rPr>
            </w:pP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(90,483)</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(66,585)</w:t>
            </w:r>
          </w:p>
        </w:tc>
        <w:tc>
          <w:tcPr>
            <w:tcW w:w="0" w:type="dxa"/>
            <w:vAlign w:val="bottom"/>
          </w:tcPr>
          <w:p>
            <w:pPr>
              <w:spacing w:after="0"/>
              <w:rPr>
                <w:sz w:val="1"/>
                <w:szCs w:val="1"/>
                <w:color w:val="auto"/>
              </w:rPr>
            </w:pPr>
          </w:p>
        </w:tc>
      </w:tr>
      <w:tr>
        <w:trPr>
          <w:trHeight w:val="206"/>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250,102</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174,166</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159,619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9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Lease liabilities arising from obtaining right-of-use lease assets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6,537</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dividends and dividend equivalent units on unvested PWP Incentive Plan Awards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Deferred tax effect resulting from exchanges of PWP OpCo Units, net of amounts payable under tax receivable agreement</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0" w:type="dxa"/>
            <w:vAlign w:val="bottom"/>
          </w:tcPr>
          <w:p>
            <w:pPr>
              <w:spacing w:after="0"/>
              <w:rPr>
                <w:sz w:val="1"/>
                <w:szCs w:val="1"/>
                <w:color w:val="auto"/>
              </w:rPr>
            </w:pPr>
          </w:p>
        </w:tc>
      </w:tr>
      <w:tr>
        <w:trPr>
          <w:trHeight w:val="37"/>
        </w:trPr>
        <w:tc>
          <w:tcPr>
            <w:tcW w:w="7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7"/>
                <w:szCs w:val="17"/>
                <w:color w:val="auto"/>
              </w:rPr>
            </w:pP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 (unaudited)</w:t>
      </w:r>
    </w:p>
    <w:p>
      <w:pPr>
        <w:spacing w:after="0" w:line="4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Nature of Business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Perella Weinberg Partners and its consolidated subsidiaries, including PWP Holdings LP (“PWP OpCo”) (collectively, “PWP” and the “Company”),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global independent advisory firm that provides strategic and financial advice to a wide range of clients. The Company’s activities as an investment banking advisory firm constitute a single business segment that provides a range of advisory services, including advice related to strategic and financial decisions, mergers and acquisitions (“M&amp;A”) execution, shareholder and defense advisory, financing and capital solutions advice with resources focused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restructuring and liability management, capital markets advisory, private capital placement, as well as specialized underwriting and research services primarily for the energy and related industries.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24, 2021, the Company consummated a business combination pursuant to a Business Combination Agreement that resulted in PWP OpCo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becoming jointly-owned by Perella Weinberg Partners, PWP Professional Partners LP (together with its successors (including pursuant to the Division and Merger (each as defined below)) and assigns, as applicable, “Professional Partners”) and certain existing partners of PWP OpCo as part of an umbrella limited partnership C-corporation (Up-C) structure (the “Business Combination”).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December 31, 2023, as part of an internal reorganization, Professional Partners was divided into three partnerships pursuant to a plan of division (the “Division”), which, among other things, provided that (i) all of its limited partnership interests in PWP OpCo were allocated to one of the divided partnerships, PWP AdCo Professionals LP (“AdCo Professionals”), (ii) all of its shares of Class B-1 common stock of the Company were allocated to</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another divided partnership, PWP VoteCo Professionals LP (“VoteCo Professionals”) and (iii) PWP Professional Partners LP changed its name to PWP AmCo Professionals LP. On April 1, 2024, as part of this internal reorganization, AdCo Professionals merged with and into PWP OpCo (the “Merger”). Refer to Note 18—Subsequent Events for additional information on the Merger. The principal purpose of the internal reorganization was to simplify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structure for the partners in Professional Partners with respect to their indirect interests in PWP OpCo. There was no consideration exchanged in connection with the Division or the Merger, and neither the Division nor the Merger are expected to affect the respective rights or economic interests of the Company, PWP GP LLC (“PWP GP”), or any limited partner with respect to PWP OpCo.</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operations of PWP OpCo are conducted through a wholly-owned subsidiary, Perella Weinberg Partners Group LP, and its subsidiaries which are consolidated in these financial statements. PWP GP is the general partner that controls PWP OpCo. The limited partner interests of PWP OpCo are held by the Company, an Investor Limited Partner (the “ILP”), and Professional Partners. The Company shareholders are entitled to receive a portion of PWP</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OpCo’s economics through their direct ownership interests in shares of Class A common stock of PWP. The non-controlling interest owners of PWP OpCo receive economics through ownership of PWP OpCo Class A partnership units (“PWP OpCo Units”). See Note 9—Stockholders’ Equity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in accordance with generally accepted accounting principles in the United States (“U.S. GAAP”) and all intercompany balances and transactions have been eliminated.</w:t>
      </w:r>
    </w:p>
    <w:p>
      <w:pPr>
        <w:spacing w:after="0" w:line="14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These condensed consolidated financial statements and notes thereto are unaudited, and as permitted by the interim reporting rules and regulations set forth by the SEC, exclude certain financial information and note disclosures normally included in annual audited financial statements prepared in</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accordance with U.S. GAAP. Accordingly, these condensed consolidated financial statements should be read in conjunction with the audited consolidated financial statements for the year ended December 31, 2023,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March 31, 2024 and December 31, 2023, the net assets of PWP OpCo were $274.2 million and $249.6 million, respectively. As of March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December 31, 2023, the Company did not consolidate any VIEs other than PWP OpCo.</w:t>
      </w:r>
    </w:p>
    <w:p>
      <w:pPr>
        <w:spacing w:after="0" w:line="200" w:lineRule="exact"/>
        <w:rPr>
          <w:sz w:val="20"/>
          <w:szCs w:val="20"/>
          <w:color w:val="auto"/>
        </w:rPr>
      </w:pPr>
    </w:p>
    <w:p>
      <w:pPr>
        <w:spacing w:after="0" w:line="35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preparation of the condensed consolidated financial statements and related disclosures in accordance with U.S. GAAP requires management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in which they are determined to be necessary.</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management makes certain estimates regarding the measurement of amounts due pursuant to the tax receivable agreement, measurement and timing of revenue recognition, assumptions used in the provision for income taxes,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measurement of equity-based compensation, expected insurance reimbursements related to litigation costs, evaluation of goodwill and intangible assets, fair value measurement of financial instruments, and other matters that affect the reported amounts and disclosures of contingencies in the condensed consolidated financial statements.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Cash and cash equivalents include cash held at banks, including interest-bearing money market accounts, and any highly liquid investments with original maturities of three months or less from the date of purchase. Cash account balances often exceed federally insured limits. Restricted cash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represents cash that is not readily available for general purpose cash needs. As of March 31, 2024 and December 31, 2023, the Company had no cash equivalents and had restricted cash of $2.9 million maintained as collateral for letters of credit related to certain office leases. The sum of Cash and cash equivalents and Restricted cash on the Condensed Consolidated Statements of Financial Condition corresponds to the total cash, cash equivalents,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presented on the Condensed Consolidated Statements of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normal course of business, the Company and its subsidiaries may enter into transactions denominated in a non-functional currency.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recognized net foreign exchange gains (losses) arising from such transactions of $0.5 million and $(1.1) million during the three months ended March 31, 2024 and 2023, respectively, which are included in Other income (expense) on the Condensed Consolidated Statements of Operations. In addition, the Company consolidates its foreign subsidiaries that have non-U.S. dollar functional currencies. Non-U.S. dollar denominated assets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liabilities are translated to U.S. dollars at the exchange rate prevailing at the reporting date and profit and loss activity is generally translated using the average exchange rate throughout the period. Cumulative translation adjustments arising from the translation of non-U.S. dollar denominated operations are included as a component of Accumulated other comprehensive income (loss) on the Condensed Consolidated Statements of Changes in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recently adopted accounting pronouncements that had a material effect on the Company’s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Accounting Pronouncements</w:t>
      </w:r>
    </w:p>
    <w:p>
      <w:pPr>
        <w:spacing w:after="0" w:line="200"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2023-07, </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which amends the guidance in Accounting Standards Codification (“ASC” or the “Codification”) Topic 280,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Reporting, to require enhanced disclosures about reportable segments on an annual and interim basis. The amendments will require disclosure of</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significant segment expenses, identification of the chief operating decision maker (“CODM”), and an explanation of how the CODM uses the reported measure(s) of segment profit or loss in assessing segment performance and deciding how to allocate resources. ASU 2023-07 clarifies that an entity that has a single reportable segment is subject to all the disclosures required by the amendments and all existing segment disclosures in Topic 280. The amendments in ASU 2023-07 are effective for the Company beginning with the annual period ended December 31, 2024 and interim periods within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year ended December 31, 2025. The amendments are required to be applied retrospectively to all period presented and early adoption is permitted. The Company does not expect the adoption of ASU 2023-07 to have a material impact on the consolidated financial statements.</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amends the guidance in ASC Topic 740, Income Taxes (“ASC 740”), to improve the transparency of income tax disclosures by requiring (1) consistent</w:t>
      </w:r>
    </w:p>
    <w:p>
      <w:pPr>
        <w:jc w:val="both"/>
        <w:spacing w:after="0" w:line="208" w:lineRule="auto"/>
        <w:rPr>
          <w:sz w:val="20"/>
          <w:szCs w:val="20"/>
          <w:color w:val="auto"/>
        </w:rPr>
      </w:pPr>
      <w:r>
        <w:rPr>
          <w:rFonts w:ascii="Times New Roman" w:cs="Times New Roman" w:eastAsia="Times New Roman" w:hAnsi="Times New Roman"/>
          <w:sz w:val="18"/>
          <w:szCs w:val="18"/>
          <w:color w:val="auto"/>
        </w:rPr>
        <w:t>categories and greater disaggregation of information in the rate reconciliation and (2) income taxes paid disaggregated by jurisdiction. The amendments in ASU 2023-09 are effective for the Company beginning with the annual period ended December 31, 2025. The amendments are to be applied prospectively with both retrospective application and early adoption permitted. The Company does not expect the adoption of ASU 2023-09 to have a material impact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 and Receivables from Contracts with Customers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between over time and point in time recognition:</w:t>
      </w:r>
    </w:p>
    <w:p>
      <w:pPr>
        <w:spacing w:after="0" w:line="26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22860</wp:posOffset>
            </wp:positionV>
            <wp:extent cx="20745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124,329</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Reimbursable expenses billed to clients were $1.9 million and $1.2 million for the three months ended March 31,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and Contract Balances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2024, the aggregate amount of the transaction price, as defined in the Codification, allocated to performance obligations yet to be satisfied was $1.4 million, and the Company generally expects to recognize this revenue within the next twelve months. Such amounts primarily relate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Company’s performance obligations of providing transaction-related advisory services. The Company recognized revenue of $58.2 million and $94.2 million during the three months ended March 31, 2024 and 2023, respectively, related to performance obligations that were satisfied or partially satisfied in prior periods. These amounts were recognized upon the resolution of revenue constraints and uncertainties in the respective periods and were generally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transaction-related advisory services.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2024 and December 31, 2023, the Company recorded $2.0 million and $0.9 million, respectively, for contract liabilities which are presented within Accounts payable, accrued expenses and other liabilities on the Condensed Consolidated Statements of Financial Condition.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recognized previously deferred revenue of $0.5 million and $2.9 million for the three months ended March 31, 2024 and 2023, respectively, which was primarily related to transaction-related advisory services that are recognized over time.</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and December 31, 2023, $5.3 million and $7.1 million, respectively, of accrued revenue was included in Accounts receivable,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net of allowance on the Condensed Consolidated Statements of Financial Condition. These amounts have been recognized as revenue in accordance with the Company’s revenue recognition policies but remain unbilled at the end of the period. As of March 31, 2024, certain accounts receivable in the aggregate amount of $22.8 million were individually greater than 10% of the Company’s gross accounts receivable and were concentrated with two clients.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Of that amount, all was subsequently received after March 31, 2024. As of December 31, 2023, certain accounts receivable in the aggregate amount of $17.3 million, were individually greater than 10% of the Company’s gross accounts receivable and were concentrated with two clients. Of that amount, all was subsequently received after year end.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allowance for credit losses activity for the three months ended March 31, 2024 and 2023 was as follows:</w:t>
      </w:r>
    </w:p>
    <w:p>
      <w:pPr>
        <w:spacing w:after="0" w:line="248"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22860</wp:posOffset>
            </wp:positionV>
            <wp:extent cx="20745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7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and other adjustments</w:t>
            </w: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79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4—Leases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leases office space and equipment under operating lease agreements. The following is information related to such operating leases: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4.7%</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60" w:type="dxa"/>
            <w:vAlign w:val="bottom"/>
          </w:tcPr>
          <w:p>
            <w:pPr>
              <w:spacing w:after="0"/>
              <w:rPr>
                <w:sz w:val="22"/>
                <w:szCs w:val="22"/>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14.1 years</w:t>
            </w:r>
          </w:p>
        </w:tc>
        <w:tc>
          <w:tcPr>
            <w:tcW w:w="380" w:type="dxa"/>
            <w:vAlign w:val="bottom"/>
          </w:tcPr>
          <w:p>
            <w:pPr>
              <w:spacing w:after="0"/>
              <w:rPr>
                <w:sz w:val="22"/>
                <w:szCs w:val="22"/>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14.3 years</w:t>
            </w:r>
          </w:p>
        </w:tc>
      </w:tr>
      <w:tr>
        <w:trPr>
          <w:trHeight w:val="585"/>
        </w:trPr>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 – operating leases</w:t>
            </w:r>
          </w:p>
        </w:tc>
        <w:tc>
          <w:tcPr>
            <w:tcW w:w="16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w:t>
            </w:r>
          </w:p>
        </w:tc>
      </w:tr>
      <w:tr>
        <w:trPr>
          <w:trHeight w:val="27"/>
        </w:trPr>
        <w:tc>
          <w:tcPr>
            <w:tcW w:w="7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3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outflows on operating leases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2"/>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net of lease incentives received, including landlord contributions to tenant improvements.</w:t>
      </w:r>
    </w:p>
    <w:p>
      <w:pPr>
        <w:spacing w:after="0" w:line="38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March 31, 2024, the maturities of undiscounted operating lease liabilities of the Company are as follows:</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7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2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19,126</w:t>
            </w:r>
          </w:p>
        </w:tc>
      </w:tr>
      <w:tr>
        <w:trPr>
          <w:trHeight w:val="27"/>
        </w:trPr>
        <w:tc>
          <w:tcPr>
            <w:tcW w:w="9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4"/>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56"/>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173,452</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7"/>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249,676</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(73,413)</w:t>
            </w:r>
          </w:p>
        </w:tc>
      </w:tr>
      <w:tr>
        <w:trPr>
          <w:trHeight w:val="27"/>
        </w:trPr>
        <w:tc>
          <w:tcPr>
            <w:tcW w:w="9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0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176,263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future lease payments are presented net of expected lease incentives, including landlord contributions to tenant improvements.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5—Intangible Assets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detail of the Company’s intangible assets: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4"/>
                <w:szCs w:val="14"/>
                <w:color w:val="auto"/>
              </w:rPr>
            </w:pPr>
          </w:p>
        </w:tc>
        <w:tc>
          <w:tcPr>
            <w:tcW w:w="132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0"/>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3"/>
                <w:szCs w:val="3"/>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66"/>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(34,760)</w:t>
            </w:r>
          </w:p>
        </w:tc>
        <w:tc>
          <w:tcPr>
            <w:tcW w:w="8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0" w:type="dxa"/>
            <w:vAlign w:val="bottom"/>
          </w:tcPr>
          <w:p>
            <w:pPr>
              <w:spacing w:after="0"/>
              <w:rPr>
                <w:sz w:val="1"/>
                <w:szCs w:val="1"/>
                <w:color w:val="auto"/>
              </w:rPr>
            </w:pPr>
          </w:p>
        </w:tc>
      </w:tr>
      <w:tr>
        <w:trPr>
          <w:trHeight w:val="283"/>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(13,493)</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30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6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5"/>
                <w:szCs w:val="15"/>
                <w:color w:val="auto"/>
              </w:rPr>
            </w:pPr>
          </w:p>
        </w:tc>
        <w:tc>
          <w:tcPr>
            <w:tcW w:w="1320" w:type="dxa"/>
            <w:vAlign w:val="bottom"/>
          </w:tcPr>
          <w:p>
            <w:pPr>
              <w:jc w:val="center"/>
              <w:ind w:right="190"/>
              <w:spacing w:after="0" w:line="174"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restart"/>
          </w:tcPr>
          <w:p>
            <w:pPr>
              <w:jc w:val="center"/>
              <w:ind w:right="190"/>
              <w:spacing w:after="0" w:line="18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40"/>
        </w:trPr>
        <w:tc>
          <w:tcPr>
            <w:tcW w:w="6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3"/>
                <w:szCs w:val="3"/>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80" w:type="dxa"/>
            <w:vAlign w:val="bottom"/>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57"/>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intangible assets are being amortized over an average useful life of 10 years and resulted in amortization expense of $1.6 million for each of the three months ended March 31, 2024 and 2023, all of which is included in Depreciation and amortization on the Condensed Consolidated Statements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Operations. Amortization of intangible assets held at March 31, 2024 is expected to be $6.6 million for each of the years ending December 31, 2024 and 2025 and $6.0 million for the year ending December 31, 2026. These intangible assets will be fully amortized by November 30,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6—Regulatory Requirements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has a number of consolidated subsidiaries registered as broker-dealers with regulatory agencies in their respective countries. None of the SEC-regulated subsidiaries hold funds or securities for, or owe money or securities to, clients or carry accounts of or for clients, and as such are all exempt from the SEC Customer Protection Rule (Rule 15c3-3). As of March 31, 2024 and December 31, 2023, all regulated subsidiaries had capital in excess of</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their applicable minimum capital requirements. As a result of the minimum capital requirements and various regulations on these broker dealers, a portion of the capital of each subsidiary of the Company is restricted and may be unavailable to pay its creditors.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7—Fixed Assets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Fixed assets are recorded at cost less accumulated depreciation and amortization and consist of the following as of March 31, 2024 and December 31,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120,439</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(26,787)</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related to fixed assets was $3.4 million and $1.1 million for the three months ended March 31, 2024 and 2023, respectively.</w:t>
      </w:r>
    </w:p>
    <w:p>
      <w:pPr>
        <w:spacing w:after="0"/>
        <w:rPr>
          <w:sz w:val="20"/>
          <w:szCs w:val="20"/>
          <w:color w:val="auto"/>
        </w:rPr>
      </w:pPr>
      <w:r>
        <w:rPr>
          <w:rFonts w:ascii="Times New Roman" w:cs="Times New Roman" w:eastAsia="Times New Roman" w:hAnsi="Times New Roman"/>
          <w:sz w:val="18"/>
          <w:szCs w:val="18"/>
          <w:color w:val="auto"/>
        </w:rPr>
        <w:t>Amortization expense related to software costs was immaterial for the three months ended March 31, 2024 and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tax position for the periods presented:</w:t>
      </w:r>
    </w:p>
    <w:p>
      <w:pPr>
        <w:spacing w:after="0" w:line="248"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22860</wp:posOffset>
            </wp:positionV>
            <wp:extent cx="22288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(50,906)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(22,134)</w:t>
            </w:r>
          </w:p>
        </w:tc>
      </w:tr>
      <w:tr>
        <w:trPr>
          <w:trHeight w:val="25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19,094</w:t>
            </w:r>
          </w:p>
        </w:tc>
        <w:tc>
          <w:tcPr>
            <w:tcW w:w="10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5,286</w:t>
            </w:r>
          </w:p>
        </w:tc>
      </w:tr>
      <w:tr>
        <w:trPr>
          <w:trHeight w:val="27"/>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77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Company’s overall effective tax rate in each of the periods presented above varies from the U.S. federal statutory rate primarily because (i) a portion of the Company’s income is allocated to non-controlling interests held in PWP OpCo in which the majority of any tax liability on such income is borne by the holders of such non-controlling interests and reported outside of the condensed consolidated financial statements and (ii) permanent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differences related to compensation expenses.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2024 and December 31, 2023, the Company recorded a liability for unrecognized tax benefits of $3.6 million and $3.7 million, respectively, primarily related to potential double taxation at certain of its foreign subsidiaries. The Company does not expect there to be any material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uncertain tax positions within 12 months of the reporting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Offering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 2024, the Company issued and sold 5,750,000 shares of Class A common stock at a price of $12.00 per share for net proceeds of $66.0 million after deducting underwriting discounts and offering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16, 2022, the Company’s Board of Directors initially approved a stock repurchase program and the authorized amount under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program was increased on February 8, 2023 such that the Company is authorized to repurchase up to $200.0 million of the Company’s Class A common stock. Since inception of the share repurchase program, 11,920,699 shares have been purchased at an average price per share of $7.65 through March 31, 2024. No purchases were made during the three months ended March 31,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Non-controlling interests represents the ownership interests in PWP OpCo held by holders other than Perella Weinberg Partners. As of March 31,</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2024, Professional Partners and the ILP collectively own 40,795,985 PWP OpCo Units which represent a 43.3% non-controlling ownership interest in PWP OpCo. These PWP OpCo Units are exchangeable into PWP Class A common stock on a one-for-one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PWP OpCo Units (other than the Company) may exchange their units for (i) shares of Class A common stock on a one-for-one basis or (ii)</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cash from an offering of shares of Class A common stock (at the Company’s option). Concurrently with an exchange, such PWP OpCo Unitholder is required to surrender shares of Class B common stock for additional shares of Class A common stock or cash (at the Company’s option) at a conversion rate of 0.001. Working partners are restricted in their ability to exchange PWP OpCo Units for a period between three to five years after the Closing. PWP</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GP may waive, and in certain cases has waived, the foregoing restrictions for any holder with respect to all or a portion of such holder’s units, with no obligation to do so for any other holder. During the three months ended March 31, 2024 and 2023, the Company settled exchanges of certain PWP OpCo Units and certain shares of Class B common stock for 794,146 and 786,644 shares of Class A common stock, respectively. The exchanges created a step-up</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tax basis for which the Company recorded an increase in Deferred tax assets, net, Amounts due pursuant to tax receivable agreement, and Additional paid-in-capital.</w:t>
      </w:r>
    </w:p>
    <w:p>
      <w:pPr>
        <w:spacing w:after="0" w:line="157"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Refer to Note 18—Subsequent Events for information on the impact of the Merger on the settlement of exchanges and the accounting for non-controlling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2024, and December 31, 2023, the Company had no outstanding debt. The Company has a revolving credit facility (the “Revolving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Credit Facility”) through a credit agreement with Cadence Bank, N.A. (“Cadence Bank”), dated November 30, 2016 (as amended, the “Credit Agreement”), with an available line of credit of $50.0 million with up to $20.0 million of available incremental revolving commitments, and a maturity date of July 1, 2025. The Company incurred $1.8 million in issuance costs related to the Credit Agreement, which are being amortized as interest expense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using the effective interest method over the life of the Revolving Credit Facility. The Company is also charged a quarterly commitment fee of 0.25% on any unused portion of the line of credit, which is recorded as interest expense. Interest expense related to the Revolving Credit Facility was immaterial during the three months ended March 31, 2024 and 2023 and is included within Other income (expense) on the Condensed Consolidated Statements of Operations.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Unamortized debt issuance costs of $0.2 million as of both March 31, 2024 and December 31, 2023 are reported within Prepaid expenses and other assets on the Condensed Consolidated Statements of Financial Position.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11—Equity-Based Compensation</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Further information regarding the Company’s equity-based compensation awards is described in Note 12—Equity-Based Compensation in the Notes to Consolidated Financial Statements in “Part II. Item 8. Financial Statements and Supplementary Data” in the Company’s Annual Report on Form 10-K for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Omnibus Incentive Plan Awards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Concurrent with the Business Combination, the Company adopted the Perella Weinberg Partners 2021 Omnibus Incentive Plan (the “PWP Incentive Plan”), which establishes a plan for the granting of various forms of incentive compensation awards, including restricted stock units (“RSUs”) and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performance restricted stock units (“PSUs”), measured by reference to PWP Class A common stock (“PWP Incentive Plan Awards”). The PWP Incentive Plan established a reserve for a one-time grant of awards in connection with the Business Combination as well as a reserve for general purpose grants (the “General Share Reserve”). Grantees have rights to dividends declared during the vesting period and receive such dividends only upon vesting in the form of cash or dividend equivalent units. The Company uses newly issued shares of Class A common stock to satisfy vested awards, with the exception of shares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issued out of treasury stock for vested awards (and related dividend equivalent units) held by French employees. Pursuant to the PWP Incentive Plan, the number of shares of Class A common stock reserved for issuance from the General Share Reserve increases each year.</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During the third quarter of 2021, in connection with the Business Combination, the Company granted awards (the “Business Combination Awards”) in the form of (a) RSUs that vest upon the achievement of service conditions (“Transaction RSUs”) and (b) PSUs that only vest upon the achievement of both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and market conditions, including certain long-term incentive awards granted to management (“Transaction PSUs”).</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grants units from the General Share Reserve from time to time in the ordinary course of business in the form of (a) RSUs that vest upon the achievement of service conditions (“General RSUs”) and (b) PSUs that only vest upon the achievement of both service and market conditions (“General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PSUs”). During the three months ended March 31, 2024 and 2023, the Company granted 6,125,742 and 6,793,265 General RSUs, respectively, from the General Share Reserve at a weighted average grant date fair value of $13.30 and $10.15 per award, respectively. Additionally, during the three months ended March 31, 2023, the Company granted 1,000,000 General PSUs from the General Share Reserve at a weighted average grant date fair value of $6.02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award. No General PSUs were granted during the three months ended March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Awards and Professional Partners Awards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Business Combination, Professional Partners granted certain equity-based awards to partners providing services to PWP OpCo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“Legacy Awards”). In connection with the Business Combination and a related internal reorganization of Professional Partners, existing Legacy Awards were canceled and replaced by converting each limited partner’s capital interests in Professional Partners attributable to PWP OpCo into original capital units (“OCUs”), value capital units (“VCUs”), and/or alignment capital units (“ACUs,” and collectively, the “Professional Partners Units”). The OCUs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requisite service period. Vested Professional Partners Units are exchangeable for PWP OpCo Units that allow for their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exchange into Class A common stock of PWP on a one-for-one basis. Holders of Professional Partners Units are entitled to participate in distributions made on the PWP OpCo Units underlying their Professional Partners Units during the vesting period.</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accounted for the cancellation of the Legacy Awards and concurrent grant of Professional Partners Awards as a modification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Legacy Awards. The $301.5 million incremental fair value of the Professional Partners Awards is being amortized over the requisite service period and was based on the closing price of PWP Class A common stock on the date of grant. The unrecognized cost associated with the Legacy Awards was amortized over its original vesting schedule and such awards were fully amortized as of September 30, 2023.</w:t>
      </w:r>
    </w:p>
    <w:p>
      <w:pPr>
        <w:spacing w:after="0" w:line="172" w:lineRule="exact"/>
        <w:rPr>
          <w:sz w:val="20"/>
          <w:szCs w:val="20"/>
          <w:color w:val="auto"/>
        </w:rPr>
      </w:pPr>
    </w:p>
    <w:p>
      <w:pPr>
        <w:jc w:val="both"/>
        <w:ind w:right="20" w:firstLine="324"/>
        <w:spacing w:after="0" w:line="216" w:lineRule="auto"/>
        <w:rPr>
          <w:sz w:val="20"/>
          <w:szCs w:val="20"/>
          <w:color w:val="auto"/>
        </w:rPr>
      </w:pPr>
      <w:r>
        <w:rPr>
          <w:rFonts w:ascii="Times New Roman" w:cs="Times New Roman" w:eastAsia="Times New Roman" w:hAnsi="Times New Roman"/>
          <w:sz w:val="18"/>
          <w:szCs w:val="18"/>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All of the compensation expense and corresponding capital contribution associated with the Professional Partners Awards and Legacy Awards (prior to being fully amortized on September 30,</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2023)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value attributable to the forfeited Professional Partners Award and does not result in an incremental grant.</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following table presents the expense related to equity-based awards that were recorded in Professional fees and components of Equity-based compensation included on the Condensed Consolidated Statements of Operations:</w:t>
      </w:r>
    </w:p>
    <w:p>
      <w:pPr>
        <w:spacing w:after="0" w:line="249"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40005</wp:posOffset>
            </wp:positionV>
            <wp:extent cx="20745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Professional fees</w:t>
            </w: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Equity-based compensation</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32,865</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Awards</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8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Partners Awards</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of equity-based awards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0" w:type="dxa"/>
            <w:vAlign w:val="bottom"/>
          </w:tcPr>
          <w:p>
            <w:pPr>
              <w:spacing w:after="0"/>
              <w:rPr>
                <w:sz w:val="1"/>
                <w:szCs w:val="1"/>
                <w:color w:val="auto"/>
              </w:rPr>
            </w:pPr>
          </w:p>
        </w:tc>
      </w:tr>
      <w:tr>
        <w:trPr>
          <w:trHeight w:val="28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40" w:right="540" w:hanging="332"/>
        <w:spacing w:after="0" w:line="24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8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2024, total unrecognized compensation expense related to all unvested equity-based awards was $305.2 million, which is expected to be recognized over a weighted average period of 2.1 years. Refer to Note 18—Subsequent Events for information on the impact of the Merger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Acceleration, as defined therein, on the accounting for the Professional Partners Awards.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12—Other Compensation and Benefits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Compensation and benefits expense consists of salaries, bonuses (discretionary awards and guaranteed amounts), severance, as well as payroll and related taxes and benefits for the Company’s employees. In all instances, compensation expense is accrued over the requisite service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employees participate in employee benefit plans, which consists of defined contribution plans including (i) profit-sharing plans qualified under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Section 401(k) of the Internal Revenue Code, (ii) a U.K. pension scheme for U.K. employees and (iii) a German pension plan for employees in Germany. For the three months ended March 31, 2024 and 2023, expenses related to the Company’s employee benefit plans were $1.8 million and $1.7 million, respectively, and are included in Compensation and benefits on the Condensed Consolidated Statements of Operations.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Realignment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second quarter of 2023, the Company began a review of the business, which resulted in headcount reductions in order to improve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compensation alignment and to provide greater flexibility to advance strategic opportunities (the “Business Realignment”). In conjunction with the Business Realignment and for the three months ended March 31, 2024, the Company incurred expenses related to separation and transition benefits of $1.8 million, and the acceleration of equity-based compensation amortization (net of forfeitures) of $1.5 million. Such amounts are presented in Compensation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benefits and Equity-based compensation on the Condensed Consolidated Statements of Operations, respectively. All of the expected Business Realignment costs have been incurred as of March 31, 2024.</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Activity within Accrued compensation and benefits on the Condensed Consolidated Statements of Financial Condition related to the Business Realignment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expenses</w:t>
            </w: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7"/>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expenses</w:t>
            </w: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5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(11,137)</w:t>
            </w:r>
          </w:p>
        </w:tc>
      </w:tr>
      <w:tr>
        <w:trPr>
          <w:trHeight w:val="27"/>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0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13—Net Income (Loss) Per Share Attributable to Class A Common Shareholders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of basic and diluted net income (loss) per share attributable to Class A common shareholders are presented below:</w:t>
      </w:r>
    </w:p>
    <w:p>
      <w:pPr>
        <w:spacing w:after="0" w:line="26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6"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36830</wp:posOffset>
            </wp:positionV>
            <wp:extent cx="20745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from assumed exchange of PWP OpCo Units, net of tax</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(26,878)</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Perella Weinberg Partners –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basic</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49,200,283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42,317,827</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incremental shares from assumed exchange of PWP OpCo Units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41,319,075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44,293,191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 – diluted</w:t>
            </w: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90,519,358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86,611,018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Class A common shareholders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57"/>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uses the treasury stock method to determine the potential dilutive effect of unvested PWP Incentive Plan Awards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between Class A common shareholders and non-controlling interests that result upon the assumed issuance of dilutive shares of Class A common stock as if the issuance occurred as of the beginning of the applicable period.</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presented:</w:t>
      </w:r>
    </w:p>
    <w:p>
      <w:pPr>
        <w:spacing w:after="0" w:line="242"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40005</wp:posOffset>
            </wp:positionV>
            <wp:extent cx="20745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PWP Incentive Plan Awards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5,278,079</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1,727,070</w:t>
            </w:r>
          </w:p>
        </w:tc>
      </w:tr>
      <w:tr>
        <w:trPr>
          <w:trHeight w:val="27"/>
        </w:trPr>
        <w:tc>
          <w:tcPr>
            <w:tcW w:w="79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 and Investments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quoted prices or for which fair value can be measured from actively quoted prices in an orderly market will generally have a higher degree of market price observability and a lesser degree of judgment used in measuring fair value.</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Financial instruments measured and reported at fair value are classified and disclosed in one of the following categories (from highest to lowest) based on inputs: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financial instruments as of the reporting date.</w:t>
      </w:r>
    </w:p>
    <w:p>
      <w:pPr>
        <w:spacing w:after="0" w:line="185"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Level 2—Pricing inputs are observable inputs other than quoted prices included in Level 1, such as quoted prices for similar assets or liabilities in active markets or quoted prices for identical assets or liabilities in inactive markets.</w:t>
      </w:r>
    </w:p>
    <w:p>
      <w:pPr>
        <w:spacing w:after="0" w:line="149"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color w:val="auto"/>
        </w:rPr>
        <w:t>Level 3—Pricing inputs are unobservable for the financial instruments and include situations where there is little, if any, market activity for the financial instrument. The inputs into the determination of fair value require significant management judgment or estimation.</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the determination of which level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considers factors specific to the instrument.</w:t>
      </w:r>
    </w:p>
    <w:p>
      <w:pPr>
        <w:spacing w:after="0" w:line="16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of March 31, 2024 and December 31, 2023, the fair values of cash, restricted cash, accounts receivable, due from related parties, accounts payable and certain accrued liabilities approximate their carrying amounts due to the short-term nature of these items.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following table summarizes the categorization and fair value estimate of the Company’s financial instruments that were measured on a recurring basis pursuant to the above fair value hierarchy levels as of December 31,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The Company held no financial instruments subject to fair value measurement as of March 31, 2024. The Company had no transfers between fair value levels during the three months ended March 31, 2024 and 2023.</w:t>
      </w: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December 31, 2023, the Company’s investment in U.S. Treasury securities is presented within Investments in short-term marketable debt securities on the Condensed Consolidated Statements of Financial Condition, and the aggregate cost basis of the investment was $89.3 million. These U.S.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Treasury securities matured in January 2024. The Company had net realized and unrealized gains (losses) on these investments of $0.3 million and $0.4 million for the three months ended March 31, 2024 and 2023,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PWP Capital Holdings LP</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holds the advisory business and (ii) PWP Capital Holdings LP (“Capital Holdings”), which holds the asset management business. In connection with the Separation, the Company entered into a transition services agreement (the “TSA”) with Capital Holdings under which the Company agreed to provide certain administrative services to Capital Holdings. The TSA was terminated as of January 1, 2024. The Company also subleased certain portions of its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office space to Capital Holdings through October 2023. Income earned from Capital Holdings related to the TSA and the sublease is presented within Related party income on the Condensed Consolidated Statements of Operations. Amounts due from Capital Holdings are reflected as Due from related parties on the Condensed Consolidated Statements of Financial Condition as of December 31, 2023, with no amounts due as of March 31, 2024.</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Separately, Capital Holdings entered into an arrangement with certain employees of the Company, including members of management, related to services provided directly to Capital Holdings. With respect to services provided to Capital Holdings, the amounts paid and payable to such employees now and in the future are recognized by Capital Holdings. All compensation related to services these employees provide to the Company are included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benefits on the Condensed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with PWP OpCo, Professional Partners and ILPs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March 31, 2024, the Company had an amount due of $34.2 million pursuant to the tax receivable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which represents management’s best estimate of the amounts currently expected to be owed in connection with the tax receivable agreement for the Business Combination and subsequent exchanges made to date and is reported within Amount due pursuant to tax receivable agreement on the Condensed Consolidated Statements of Financial Condition. The Company expects to make the following payments with respect to the tax receivable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which are exclusive of potential payments in respect of future exchanges and may differ significantly from actual payments made: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Payments Under</w:t>
            </w:r>
          </w:p>
        </w:tc>
        <w:tc>
          <w:tcPr>
            <w:tcW w:w="0" w:type="dxa"/>
            <w:vAlign w:val="bottom"/>
          </w:tcPr>
          <w:p>
            <w:pPr>
              <w:spacing w:after="0"/>
              <w:rPr>
                <w:sz w:val="1"/>
                <w:szCs w:val="1"/>
                <w:color w:val="auto"/>
              </w:rPr>
            </w:pPr>
          </w:p>
        </w:tc>
      </w:tr>
      <w:tr>
        <w:trPr>
          <w:trHeight w:val="25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5380" w:type="dxa"/>
            <w:vAlign w:val="bottom"/>
          </w:tcPr>
          <w:p>
            <w:pPr>
              <w:spacing w:after="0"/>
              <w:rPr>
                <w:sz w:val="21"/>
                <w:szCs w:val="21"/>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Tax Receivable Agreement</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626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626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bottom w:val="single" w:sz="8" w:color="CCEEFF"/>
            </w:tcBorders>
            <w:vMerge w:val="restart"/>
          </w:tcPr>
          <w:p>
            <w:pPr>
              <w:jc w:val="right"/>
              <w:ind w:right="289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364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6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 Promissory Notes and Other Partner Loans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loaned money pursuant to promissory note agreements (the “Partner Promissory Notes”) to certain partners. The Partner Promissory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Notes bear interest at a semi-annual rate equal to the Federal Mid-Term Rate. The Partner Promissory Notes are due on various dates or in the event a partner is terminated or leaves at will and are primarily secured by the partner’s equity interests in PWP OpCo or one of its affiliates. As the Partner Promissory Notes and associated interest receivable relate to equity transactions, they have been recognized as a reduction of equity on the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Financial Condition in the amounts of $2.1 million as of March 31, 2024 and December 31, 2023.</w:t>
      </w:r>
    </w:p>
    <w:p>
      <w:pPr>
        <w:spacing w:after="0" w:line="165"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November 2021, PWP OpCo agreed to provide loans to certain partners. As of March 31, 2024 and December 31, 2023, $3.6 million and $3.5 million, respectively, of outstanding loans to certain partners and related interest receivable are recognized in Due from related parties on the Condensed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Related Party Transactions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Company’s U.K. subsidiary, Perella Weinberg UK Limited, as well as Professional Partners and certain partners (including one partner who serves</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 a Company director and president) are party to a reimbursement agreement, pursuant to which such partners directed Professional Partners to pay distributions related to certain of their Professional Partners Awards first to a subsidiary of the Company, so that the subsidiary can make employment income tax payments on such distributions to the appropriate non-U.S. authorities.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enters into certain contracts that contain a variety of indemnification provisions. The Company’s maximum exposure under these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arrangements is unknown. As of March 31, 2024 and December 31, 2023, the Company expects no claims or losses pursuant to these contracts; therefore, no liability has been recorded related to these indemnification provisions.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proceedings or claims would individually or in the aggregate have a material adverse effect on the consolidated financial statements of the Company as of March 31, 2024 and December 31, 2023 and for the three months ended March 31, 2024 and 2023.</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2015, the Company filed a complaint against three former partners and one former employee which alleges they entered into a scheme while at PWP</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lift out the Company’s restructuring group to form a new competing firm that they were secretly forming in breach of their contractual and fiduciary duties. The complaint contains 14 causes of action and seeks declaratory relief as well as damages. Trial was set to commence on April 29, 2024. However, after an April 17, 2024 pre-trial conference, the trial was adjourned and the court has yet to provide new trial dates.</w:t>
      </w:r>
    </w:p>
    <w:p>
      <w:pPr>
        <w:spacing w:after="0" w:line="17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During the three months ended March 31, 2024, the Company incurred $2.3 million in legal and professional fees, net of expected insurance reimbursement, related to this litigation, with an immaterial amount incurred during the three months ended March 31, 2023. These litigation costs are included in Professional fees on the Condensed Consolidated Statements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17—Business Information</w:t>
      </w:r>
    </w:p>
    <w:p>
      <w:pPr>
        <w:spacing w:after="0" w:line="18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Company’s activities of providing advisory services for M&amp;A, private placements and financial advisory, as well as services for underwriting of securities offered for sale in public markets, and equity research constitute a single business segment. The Company is organized as one operating segment in order to maximize the value of advice to clients by drawing upon the diversified expertise and broad relationships of its senior professionals across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The Company has a single operating segment and therefore a single reportable segment.</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For the three months ended March 31, 2024, revenues of $15.0 million related to one individual client accounted for more than 10% of aggregate revenue, while no individual client accounted for more than 10% of aggregate revenue for the three months ended March 31, 2023. Since the financial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49"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40005</wp:posOffset>
            </wp:positionV>
            <wp:extent cx="20745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95,538</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35,888</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131,426</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569,332</w:t>
            </w:r>
          </w:p>
        </w:tc>
        <w:tc>
          <w:tcPr>
            <w:tcW w:w="0" w:type="dxa"/>
            <w:vAlign w:val="bottom"/>
          </w:tcPr>
          <w:p>
            <w:pPr>
              <w:spacing w:after="0"/>
              <w:rPr>
                <w:sz w:val="1"/>
                <w:szCs w:val="1"/>
                <w:color w:val="auto"/>
              </w:rPr>
            </w:pP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191,776</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583,589</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761,108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18—Subsequent Events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issuance date of these condensed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AdCo Professionals Merger with PWP OpCo</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April 1, 2024, as part of an internal reorganization, AdCo Professionals merged with and into PWP OpCo. As a result of the Merger, (i) the OCUs, VCUs and ACUs of AdCo Professionals were converted into an equivalent number of OCUs, VCUs and ACUs of PWP OpCo, (ii) the minimal net assets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AdCo Professionals became the net assets of PWP OpCo and (iii) PWP OpCo adopted an amended and restated limited partnership agreement that permits the Company to settle quarterly exchanges in cash or shares at the Company’s discretion.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time of the Merger, the Company entered into vesting acceleration agreements with certain holders of partnership units of AdCo Professionals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VoteCo Professionals to accelerate vesting for VCUs and ACUs (the “Accelerated Units”) on a day determined by PWP GP between April 2, 2024 and May 16, 2024 (the “Vesting Acceleration”). Accelerated Units generally will be subject to a lock-up period that is identical to the lockup period applicable to such units prior to the Vesting Acceleration. The Company also provided each holder of ACUs the ability to convert a portion of such holder’s ACUs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into cash on vesting in an aggregate amount up to such holder’s estimated tax liability, to the extent cash is available for such purpose. The principal purpose of the Vesting Acceleration is to facilitate the payment of taxes associated with ACU vesting to align with the treatment of restricted stock units of the Company. As of the issuance date of these condensed consolidated financial statements, the Vesting Acceleration has not occurred.</w:t>
      </w:r>
    </w:p>
    <w:p>
      <w:pPr>
        <w:spacing w:after="0" w:line="172" w:lineRule="exact"/>
        <w:rPr>
          <w:sz w:val="20"/>
          <w:szCs w:val="20"/>
          <w:color w:val="auto"/>
        </w:rPr>
      </w:pPr>
    </w:p>
    <w:p>
      <w:pPr>
        <w:jc w:val="both"/>
        <w:ind w:right="20" w:firstLine="324"/>
        <w:spacing w:after="0" w:line="226" w:lineRule="auto"/>
        <w:rPr>
          <w:sz w:val="20"/>
          <w:szCs w:val="20"/>
          <w:color w:val="auto"/>
        </w:rPr>
      </w:pPr>
      <w:r>
        <w:rPr>
          <w:rFonts w:ascii="Times New Roman" w:cs="Times New Roman" w:eastAsia="Times New Roman" w:hAnsi="Times New Roman"/>
          <w:sz w:val="18"/>
          <w:szCs w:val="18"/>
          <w:color w:val="auto"/>
        </w:rPr>
        <w:t>As a result of the Merger, Non-controlling interests on our Condensed Consolidated Statements of Financial Condition will be prospectively reclassified to Redeemable non-controlling interests and recorded at the current redemption value, with changes in the current redemption value in future periods recorded to Additional paid-in capital.</w:t>
      </w:r>
    </w:p>
    <w:p>
      <w:pPr>
        <w:spacing w:after="0" w:line="171"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At the time of the Merger, certain ACUs and VCUs will be modified from equity-classified to liability-classified awards with changes in fair value generally recorded as incremental equity-based compensation expense through the date of the Vesting Acceleration. At a minimum, during the second quarter of 2024, the Company will record $116.5 million of equity-based compensation expense related to the unvested ACUs and VCUs, before taking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account potential forfeitures and changes in fair value of liability-classified awards.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Perella Weinberg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1, 2024, the Company’s Board of Directors declared a cash dividend of $0.07 per outstanding share of Class A common stock. This dividend</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will be paid on June 10, 2024 to Class A common stockholders of record on May 28, 2024. Holders of Class B common stock will also receive dividends equal to the amount of dividends declared on 0.001 shares of Class A common stock.</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 leading global independent advisory firm that provides strategic and financial advice to clients across the most active industry sectors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further information regarding our business, refer to “Part I. Item 1. Business” and “Part I. Item1A. Risk Factors” in the Company’s Annual Report on Form 10-K for the year ended December 31, 2023 as filed with the SEC on February 23,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Economic and global financial market conditions impact our financial performance. The market environment for advisory services is improving, driving increased dialogue and activity levels across the traditional M&amp;A markets.</w:t>
      </w:r>
    </w:p>
    <w:p>
      <w:pPr>
        <w:spacing w:after="0" w:line="14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core advisory services benefit from macroeconomic changes that impact our client base and lead them to consider business combinations, acquisitions and divestitures, capital raises and restructurings. We continue to invest in our platform to achieve scale, accelerate growth, and deliver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anticipation of a rebound in activity levels.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“Risk Factors” included in our Annual Report on Form 10-K for a discussion of some of the factors that can affect our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operate in a highly competitive environment, and each revenue-generating engagement is separately solicited and negotiated. Our fee-paying client engagements are not predictable, and we may experience fluctuations in revenues from quarter to quarter. To develop new business, we maintain an active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business dialogue with existing and potential clients, and we expect to add new clients each year through expanding our relationships, hiring senior advisory professionals, and receiving introductions from our relationship network. However, we also lose clients each year due to various factors, such as sales or mergers, changes in clients’ senior management, and competition from other financial services firms.</w:t>
      </w:r>
    </w:p>
    <w:p>
      <w:pPr>
        <w:spacing w:after="0" w:line="17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Our revenue recognition is often tied to the completion of a transaction, which can be delayed or terminated due to various reasons, including failure to obtain regulatory or board approval, failure to secure financing, or adverse market conditions. Larger transactions may take longer to close, adding unpredictability to the timing of revenues. Despite our efforts, we may receive lower advisory fees or no fee at all if a transaction is not completed. Other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barriers to the completion of restructuring transactions include a lack of anticipated bidders, failure to obtain court approval, or a failure to reach an agreement with creditors. In such cases, our advisory fees may be limited to monthly retainer fees plus the reimbursement of expenses.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present our revenue by the type of advice we provide because of the complexity of the transactions on which we may earn revenue and our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holistic approach to client service. For instance, a traditional M&amp;A engagement may require additional advisory services, such as capital markets or capital solutions advice or a private capital raise, which may call for cross-functional expertise from our professionals. We focus on dedicating the necessary resources and expertise to each engagement, regardless of product lines, to achieve the desired outcome for our clients. Consequently, tracking the type of advisory service offered in each instance is not practical.</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operating expenses are classified as (i) total compensation and benefits expenses, including equity-based compensation, and (ii) non-compensation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compensation and benefits expenses consist of salaries, bonuses (discretionary awards and guaranteed amounts), severance, payroll and related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taxes, benefits, and the amortization of equity-based compensation awards that are subject to a service vesting condition, and in some cases, a market-based performance vesting condition. These expenses also include signing bonuses and compensation paid pursuant to guarantees for new hires.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is determined by management based on revenues earned, headcount, labor market conditions, and anticipated compensation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requirements for our employees. Such factors can fluctuate, including headcount and revenues earned, and as a result, our compensation expenses may fluctuate materially in any particular period.</w:t>
      </w:r>
    </w:p>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amortization expense for certain equity-based awards granted by Professional Partners is allocated fully to non-controlling interests as these awards have no economic impact on, and do not dilute, PWP shareholders relative to Professional Partners.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Non-Compensation Expenses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non-compensation expenses include the costs of professional fees, technology and infrastructure, rent and occupancy, travel and related expenses,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depreciation and amortization and general, administrative and other expenses. Our non-compensation expenses also include certain expenses reimbursed by our clients. Overall, our non-compensation expenses are subject to variability due to multiple factors, including headcount, business needs, and inflation.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202" w:lineRule="exact"/>
        <w:rPr>
          <w:sz w:val="20"/>
          <w:szCs w:val="20"/>
          <w:color w:val="auto"/>
        </w:rPr>
      </w:pPr>
    </w:p>
    <w:p>
      <w:pPr>
        <w:jc w:val="both"/>
        <w:ind w:right="20" w:firstLine="324"/>
        <w:spacing w:after="0" w:line="226" w:lineRule="auto"/>
        <w:rPr>
          <w:sz w:val="20"/>
          <w:szCs w:val="20"/>
          <w:color w:val="auto"/>
        </w:rPr>
      </w:pPr>
      <w:r>
        <w:rPr>
          <w:rFonts w:ascii="Times New Roman" w:cs="Times New Roman" w:eastAsia="Times New Roman" w:hAnsi="Times New Roman"/>
          <w:sz w:val="18"/>
          <w:szCs w:val="18"/>
          <w:color w:val="auto"/>
        </w:rPr>
        <w:t>Non-operating income (expenses) includes the impact of income and expense items that we consider to be non-operational in nature, which typically includes related party income, interest income and expense, and other non-operating gains (losses), including the impact of foreign exchange rate fluctuations.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Non-controlling interests represent the ownership interests in PWP OpCo held by holders other than Perella Weinberg Partners, which are Professional Partners and the ILP. In the notes to the condensed consolidated financial statements, refer to Note 9—Stockholders’ Equity, Note 11—Equity-Based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Note 18—Subsequent Events for further information regarding the current and prospective accounting for non-controlling interests.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is a discussion of our results of operations for the respective periods indicated: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8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21"/>
                <w:szCs w:val="21"/>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5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83"/>
        </w:trPr>
        <w:tc>
          <w:tcPr>
            <w:tcW w:w="6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83"/>
        </w:trPr>
        <w:tc>
          <w:tcPr>
            <w:tcW w:w="6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Non-compensation expenses</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155,690</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7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(136)%</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party income</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83"/>
        </w:trPr>
        <w:tc>
          <w:tcPr>
            <w:tcW w:w="6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839%</w:t>
            </w:r>
          </w:p>
        </w:tc>
        <w:tc>
          <w:tcPr>
            <w:tcW w:w="0" w:type="dxa"/>
            <w:vAlign w:val="bottom"/>
          </w:tcPr>
          <w:p>
            <w:pPr>
              <w:spacing w:after="0"/>
              <w:rPr>
                <w:sz w:val="1"/>
                <w:szCs w:val="1"/>
                <w:color w:val="auto"/>
              </w:rPr>
            </w:pPr>
          </w:p>
        </w:tc>
      </w:tr>
      <w:tr>
        <w:trPr>
          <w:trHeight w:val="277"/>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(expenses)</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378%</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(130)%</w:t>
            </w:r>
          </w:p>
        </w:tc>
        <w:tc>
          <w:tcPr>
            <w:tcW w:w="0" w:type="dxa"/>
            <w:vAlign w:val="bottom"/>
          </w:tcPr>
          <w:p>
            <w:pPr>
              <w:spacing w:after="0"/>
              <w:rPr>
                <w:sz w:val="1"/>
                <w:szCs w:val="1"/>
                <w:color w:val="auto"/>
              </w:rPr>
            </w:pPr>
          </w:p>
        </w:tc>
      </w:tr>
      <w:tr>
        <w:trPr>
          <w:trHeight w:val="283"/>
        </w:trPr>
        <w:tc>
          <w:tcPr>
            <w:tcW w:w="6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261%</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(155)%</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(53)%</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Perella Weinberg Partners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(600)%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revenue statistics for the three months ended March 31, 2024 and 2023: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0" w:type="dxa"/>
            <w:vAlign w:val="bottom"/>
          </w:tcPr>
          <w:p>
            <w:pPr>
              <w:spacing w:after="0"/>
              <w:rPr>
                <w:sz w:val="1"/>
                <w:szCs w:val="1"/>
                <w:color w:val="auto"/>
              </w:rPr>
            </w:pPr>
          </w:p>
        </w:tc>
      </w:tr>
      <w:tr>
        <w:trPr>
          <w:trHeight w:val="26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Advisory Clients</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8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Clients with Fees Greater than $1.0 million</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Revenues were $102.1 million for the three months ended March 31, 2024 as compared with $131.4 million for the three months ended March 31, 2023, representing a decrease of 22%. The decrease in revenues was driven by a reduction in the number of clients and a moderately lower average fee per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client. Revenues attributed to financing and capital solutions activity were relatively flat year-over-year, while mergers and acquisition revenues were down, primarily due to elongated transaction closing timelines in the current year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 Expenses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For the three months ended March 31, 2024, total compensation and benefits expenses were $115.4 million, a decrease of 2% compared with $117.6 million for the three months ended March 31, 2023. The slight decrease in total compensation and benefits expenses was the result of a lower bonus accrual in the current year period, partially offset by a year-over-year increase in equity-based compensation amortization. Furthermore, headcount reductions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associated with the Business Realignment, which began during the second quarter of 2023 and was completed as of March 31, 2024, resulted in $3.2 million of costs, including separation and transition benefits and the acceleration of equity-based compensation amortization (net of forfeitures) for separated employees.</w:t>
      </w:r>
    </w:p>
    <w:p>
      <w:pPr>
        <w:sectPr>
          <w:pgSz w:w="11900" w:h="16838" w:orient="portrait"/>
          <w:cols w:equalWidth="0" w:num="1">
            <w:col w:w="11240"/>
          </w:cols>
          <w:pgMar w:left="320" w:top="134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Non-Compensation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three months ended March 31, 2024, total non-compensation expenses were $40.3 million, an increase of 10% compared with $36.5 million for</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three months ended March 31, 2023. The increase in non-compensation expenses was primarily the result of increased legal spend as well as higher depreciation expense due to new assets being placed in service subsequent to the first quarter of 2023 related to the renovation of the New York office space. These increases were partially offset by lower rent costs and reduced D&amp;O insurance costs.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For the three months ended March 31, 2024, non-operating income was $2.7 million compared with non-operating income of $0.6 million for the three months ended March 31, 2023. In the current period, non-operating income included a net gain from foreign exchange rate fluctuations and interest income,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increased from the prior year due to higher interest rates and additional investments in U.S. Treasury securities that matured in the first quarter of 2024. In the prior year period, non-operating income included lower interest income, which was also offset by a net loss from foreign exchange rate fluctuations. For both periods, the impact of foreign exchange rate fluctuations was largely related to U.S. dollar-denominated cash and intercompany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held by our foreign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income tax expense and effective tax rate were $19.1 million and (37.5)%, respectively, for the three months ended March 31, 2024</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compared to income tax expense and an effective tax rate of $5.3 million and (23.9)%, respectively, for the three months ended March 31, 2023. The change in the effective tax rate was primarily due to the relative size of our permanent differences in relation to the pre-tax loss in the respective periods, which was partially offset by the recognition of tax benefits associated with the appreciation in our share price upon vesting of RSUs above the original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price during the three months ended March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regularly monitor our liquidity position, including cash and cash equivalents, working capital assets and liabilities, commitments and other liquidity requirements. Our primary sources of liquidity are generally our cash balances, investments in short-term marketable debt securities, the net cash generated from operations, and the available borrowing capacity under our Revolving Credit Facility. Our primary cash needs are for working capital,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operating expenses (including cash compensation for our employees), repurchasing shares of the Company’s Class A common stock, withholding tax payments for vested PWP Incentive Plan Awards, income taxes, dividends and distributions, capital expenditures, making payments pursuant to the tax receivable agreement, commitments, and strategic investments. We generally pay a significant portion of our annual cash incentive compensation during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first quarter of each calendar year with respect to the prior year’s results. Therefore, levels of cash and/or investments in short-term marketable debt securities generally decline during the first quarter and build over the remainder of the year.</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assets are primarily composed of cash, receivables related to fees earned from providing advisory services, certain prepaid expenses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certain amounts due from related parties. Our current liabilities are primarily composed of accrued employee compensation, accounts payable and other accrued expenses. Cash includes cash held at banks, including interest-bearing money market accounts. As of March 31, 2024 and December 31, 2023, the Company had cash balances of $156.7 million and $247.2 million, respectively, and as of December 31, 2023, investments in short-term marketable 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consisting entirely of U.S. Treasury securities, of $91.2 million.</w:t>
      </w:r>
    </w:p>
    <w:p>
      <w:pPr>
        <w:spacing w:after="0" w:line="165"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Our liquidity is highly dependent upon cash receipts from clients, which generally require the successful completion of transactions. Accounts receivable typically have net terms of 30 days. Accounts receivable were $57.9 million, net of a $2.7 million allowance for credit losses balance as of March 31, 2024. Accounts receivable were $47.8 million, net of a $2.2 million allowance for credit losses balance as of December 31, 2023.</w:t>
      </w:r>
    </w:p>
    <w:p>
      <w:pPr>
        <w:spacing w:after="0" w:line="171"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March 1, 2024, the Company issued and sold 5,750,000 shares of Class A common stock at a price of $12.00 per share for net proceeds of $66.0 million after deducting underwriting discounts and offering costs. In connection with the Vesting Acceleration, we expect to use some or all of such proceeds to settle the conversion of certain ACUs of PWP OpCo into cash in an aggregate amount up to the converting unitholders’ estimated tax liability.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Refer to Note 18—Subsequent Events in the notes to the condensed consolidated financial statements for further information regarding the Vesting Acceleration.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 Revolving Credit Facility with Cadence Bank with an available line of credit of $50.0 million. Additionally, up to $20.0 million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incremental revolving commitments above the $50.0 million commitment amount may be incurred under the Credit Agreement. As of March 31, 2024, the Company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8" w:name="page29"/>
    <w:bookmarkEnd w:id="28"/>
    <w:p>
      <w:pPr>
        <w:ind w:firstLine="324"/>
        <w:spacing w:after="0" w:line="222" w:lineRule="auto"/>
        <w:rPr>
          <w:sz w:val="20"/>
          <w:szCs w:val="20"/>
          <w:color w:val="auto"/>
        </w:rPr>
      </w:pPr>
      <w:r>
        <w:rPr>
          <w:rFonts w:ascii="Times New Roman" w:cs="Times New Roman" w:eastAsia="Times New Roman" w:hAnsi="Times New Roman"/>
          <w:sz w:val="18"/>
          <w:szCs w:val="18"/>
          <w:color w:val="auto"/>
        </w:rPr>
        <w:t>Based on current market conditions, we believe that our cash on hand, net cash generated from operations and the available borrowing capacity under our Revolving Credit Facility will be sufficient to meet our operating needs and commitments for the next twelve months; however, if these sources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are not sufficient, we may seek additional debt or equity financing.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our operating, investing and financing cash flows is as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60" w:type="dxa"/>
            <w:vAlign w:val="bottom"/>
          </w:tcPr>
          <w:p>
            <w:pPr>
              <w:spacing w:after="0"/>
              <w:rPr>
                <w:sz w:val="22"/>
                <w:szCs w:val="22"/>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75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40" w:type="dxa"/>
            <w:vAlign w:val="bottom"/>
          </w:tcPr>
          <w:p>
            <w:pPr>
              <w:spacing w:after="0"/>
              <w:rPr>
                <w:sz w:val="24"/>
                <w:szCs w:val="24"/>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(27,420)</w:t>
            </w: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charges and other operating activity adjustments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55,547</w:t>
            </w: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(193,840)</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(160,069)</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7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(206,345)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(131,942)</w:t>
            </w: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97,724</w:t>
            </w: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(33,230)</w:t>
            </w: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(90,483)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(66,585)</w:t>
            </w: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250,102</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174,166</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159,619</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107,581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2024</w:t>
      </w:r>
    </w:p>
    <w:p>
      <w:pPr>
        <w:spacing w:after="0" w:line="200"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Operating activities resulted in a net cash outflow of $206.3 million primarily attributable to an increase in client receivables and cash operating expense outflows, including discretionary bonuses paid during the first quarter of 2024 with respect to prior year compensation expense.</w:t>
      </w:r>
    </w:p>
    <w:p>
      <w:pPr>
        <w:spacing w:after="0" w:line="158"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Investing activities resulted in a net cash inflow of $82.7 million attributable to the maturation of investments in U.S. Treasury securities partially offset by capital expenditures related to our office space renovations.</w:t>
      </w:r>
    </w:p>
    <w:p>
      <w:pPr>
        <w:spacing w:after="0" w:line="149" w:lineRule="exact"/>
        <w:rPr>
          <w:sz w:val="20"/>
          <w:szCs w:val="20"/>
          <w:color w:val="auto"/>
        </w:rPr>
      </w:pPr>
    </w:p>
    <w:p>
      <w:pPr>
        <w:ind w:firstLine="324"/>
        <w:spacing w:after="0" w:line="222" w:lineRule="auto"/>
        <w:rPr>
          <w:sz w:val="20"/>
          <w:szCs w:val="20"/>
          <w:color w:val="auto"/>
        </w:rPr>
      </w:pPr>
      <w:r>
        <w:rPr>
          <w:rFonts w:ascii="Times New Roman" w:cs="Times New Roman" w:eastAsia="Times New Roman" w:hAnsi="Times New Roman"/>
          <w:sz w:val="18"/>
          <w:szCs w:val="18"/>
          <w:color w:val="auto"/>
        </w:rPr>
        <w:t>Financing activities resulted in a net cash inflow of $33.8 million primarily due to the issuance of 5,750,000 shares of Class A common stock for net proceeds of $66.0 million, partially offset by distributions to partners, withholding tax payments for vested PWP Incentive Plan Awards, and dividend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2023</w:t>
      </w:r>
    </w:p>
    <w:p>
      <w:pPr>
        <w:spacing w:after="0" w:line="187"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Operating activities resulted in a net cash outflow of $131.9 million primarily attributable to cash operating expense outflows, including discretionary bonuses paid during the first quarter of 2023 with respect to prior year compensation expense, partially offset by cash collections from clients.</w:t>
      </w:r>
    </w:p>
    <w:p>
      <w:pPr>
        <w:spacing w:after="0" w:line="149" w:lineRule="exact"/>
        <w:rPr>
          <w:sz w:val="20"/>
          <w:szCs w:val="20"/>
          <w:color w:val="auto"/>
        </w:rPr>
      </w:pPr>
    </w:p>
    <w:p>
      <w:pPr>
        <w:ind w:firstLine="324"/>
        <w:spacing w:after="0" w:line="222" w:lineRule="auto"/>
        <w:rPr>
          <w:sz w:val="20"/>
          <w:szCs w:val="20"/>
          <w:color w:val="auto"/>
        </w:rPr>
      </w:pPr>
      <w:r>
        <w:rPr>
          <w:rFonts w:ascii="Times New Roman" w:cs="Times New Roman" w:eastAsia="Times New Roman" w:hAnsi="Times New Roman"/>
          <w:sz w:val="18"/>
          <w:szCs w:val="18"/>
          <w:color w:val="auto"/>
        </w:rPr>
        <w:t>Investing activities resulted in a net cash inflow of $97.7 million largely attributable to the maturation of investments in U.S. Treasury securities, net of additional investments in U.S. Treasury securities as well as capital expenditures associated with the renovation of the New York office space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relocation of the London office space.</w:t>
      </w:r>
    </w:p>
    <w:p>
      <w:pPr>
        <w:spacing w:after="0" w:line="165"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Financing activities resulted in a net cash outflow of $33.2 million primarily related to the repurchase of shares pursuant to the stock repurchase program, withholding tax payments for vested PWP Incentive Plan Awards, distributions to partners, and dividend payments.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ind w:firstLine="324"/>
        <w:spacing w:after="0" w:line="222" w:lineRule="auto"/>
        <w:rPr>
          <w:sz w:val="20"/>
          <w:szCs w:val="20"/>
          <w:color w:val="auto"/>
        </w:rPr>
      </w:pPr>
      <w:r>
        <w:rPr>
          <w:rFonts w:ascii="Times New Roman" w:cs="Times New Roman" w:eastAsia="Times New Roman" w:hAnsi="Times New Roman"/>
          <w:sz w:val="18"/>
          <w:szCs w:val="18"/>
          <w:color w:val="auto"/>
        </w:rPr>
        <w:t>The Company’s board of directors approved a stock repurchase program under which the Company is authorized to repurchase up to $200.0 million of the Company’s Class A common stock with no requirement to purchase any minimum number of shares. No shares were repurchased during the three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March 31, 2024. As of March 31, 2024, $108.8 million remains of the combined $200.0 million share repurchase authorization.</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the limited partnership agreement of PWP OpCo, holders of PWP OpCo Units (other than the Company) may exchange these units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 (i) shares of Class A common stock on a one-for-one basis or (ii) cash from an offering of shares of Class A common stock with the form of consideration determined by the Company. See Note 9—Stockholders’ Equity in the notes to the condensed consolidated financial statements included elsewhere in the Form 10-Q for further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keeping, reporting procedures, experience and training requirements for employees and certain other requirements and procedures. These regulatory requirements may restrict the flow of funds to and from affiliates. Refer to Note 6—Regulatory Requirements in the notes to condensed consolidated financial statements included elsewhere in this Form 10-Q for further information. These regulations differ in the United States, United Kingdom, Canada,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Contractual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Share Surrender and Share Restriction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result of the Business Combination and related agreements, the Company has the right to purchase up to 1,000,000 founder shares of PWP at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purchase price of $15.00 per share if the Company’s Class A common stock reaches a closing share price of greater than $15.00 per share for a specified number of trading days. See Note 11—Stockholders’ Equity in the notes to the audited consolidated financial statements for the year ended December 31, 2023 included in the Company’s Annual Report on Form 10-K for further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8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 of March 31, 2024, we had an amount due of $34.2 million pursuant to the tax receivable agreement, which represents management’s best estimate of the amounts currently expected to be owed in connection with the tax receivable agreement for the Business Combination and subsequent exchanges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made to date. See Note 15—Related Party Transactions in the notes to the condensed consolidated financial statements included elsewhere in the Form 10-Q for further information as well as the expected timing of payments.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have various non-cancelable operating leases in connection with the leases of our office spaces and equipment. As of March 31, 2024, we had $176.3 million of operating lease liabilities. See Note 4—Leases in the notes to condensed consolidated financial statements included elsewhere in this Form 10-Q for further information as well as the expected timing of payments.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Credit Risk</w:t>
      </w:r>
    </w:p>
    <w:p>
      <w:pPr>
        <w:spacing w:after="0" w:line="189"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Cash and Cash Equivalents</w:t>
      </w:r>
    </w:p>
    <w:p>
      <w:pPr>
        <w:spacing w:after="0" w:line="18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account balances exceed U.S. Federal Deposit Insurance Corporation (FDIC) coverage limits or the coverage limits of the relevant foreign deposit insurance system,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We believe our cash and cash equivalents are not subject to any material interest rate risk, equity price risk, credit risk or other market risk.</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regularly review our accounts receivable and allowance for credit losses by considering factors such as historical experience, credit quality, age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2—Summary of Significant Accounting Policies in the notes to condensed consolidated financial statements included elsewhere in this Form 10-Q for further information.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we invest our excess cash, we manage our credit risk exposure by holding investments primarily with investment grade credit quality.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exposed to exchange rate risk as a result of having foreign subsidiaries with non-U.S. dollar functional currencies as well as from</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entering into transactions and holding monetary assets and liabilities that are not denominated in the functional currency of its operating subsidiaries. Specifically, the reported amounts in our consolidated financial statements may be affected by movements in the rate of exchange between the pound</w:t>
      </w:r>
    </w:p>
    <w:p>
      <w:pPr>
        <w:jc w:val="both"/>
        <w:ind w:right="20"/>
        <w:spacing w:after="0" w:line="232" w:lineRule="auto"/>
        <w:rPr>
          <w:sz w:val="20"/>
          <w:szCs w:val="20"/>
          <w:color w:val="auto"/>
        </w:rPr>
      </w:pPr>
      <w:r>
        <w:rPr>
          <w:rFonts w:ascii="Times New Roman" w:cs="Times New Roman" w:eastAsia="Times New Roman" w:hAnsi="Times New Roman"/>
          <w:sz w:val="17"/>
          <w:szCs w:val="17"/>
          <w:color w:val="auto"/>
        </w:rPr>
        <w:t>sterling, euro, and Canadian dollar and our reporting currency, the U.S. dollar. For the three months ended March 31, 2024 and 2023, the net impact of non-functional currency related transaction gains (losses) recorded in Other income (expense) on our Condensed Consolidated Statements of Operations was</w:t>
      </w:r>
    </w:p>
    <w:p>
      <w:pPr>
        <w:jc w:val="both"/>
        <w:spacing w:after="0" w:line="208" w:lineRule="auto"/>
        <w:rPr>
          <w:sz w:val="20"/>
          <w:szCs w:val="20"/>
          <w:color w:val="auto"/>
        </w:rPr>
      </w:pPr>
      <w:r>
        <w:rPr>
          <w:rFonts w:ascii="Times New Roman" w:cs="Times New Roman" w:eastAsia="Times New Roman" w:hAnsi="Times New Roman"/>
          <w:sz w:val="18"/>
          <w:szCs w:val="18"/>
          <w:color w:val="auto"/>
        </w:rPr>
        <w:t>$0.5 million and $(1.1) million, respectively, primarily related to U.S. dollar-denominated cash and intercompany receivables held by our foreign subsidiaries as the strength of the U.S. dollar fluctuated. For the three months ended March 31, 2024 and 2023, the net impact of the fluctuation of foreign currencies recorded in Foreign currency translation gain (loss) within our Condensed Consolidated Statements of Comprehensive Income (Loss) was $(1.2)</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million and $1.6 million, respectively. We have not entered into any transactions to hedge our exposure to these foreign currency fluctuations using derivative instruments or other methods but may do so if we deem appropriate in the future. As of March 31, 2024, we held cash balances of $22.0 million in non-U.S. dollar currencies, composed of pound sterling, euros, and Canadian dollars.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This Quarterly Report on Form 10-Q should be read together with the section entitled “Management’s Discussion and Analysis of Financial Condition and Results of Operations” contained in the Company’s Annual Report on Form 10-K filed on February 23, 2024 regarding these critical accounting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estimates. For changes to our critical accounting estimates during the three months ended March 31, 2024, refer to Note 2—Summary of Significant Accounting Policies in the notes to condensed consolidated financial statements included elsewhere in this Form 10-Q.</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Quantitative and qualitative disclosures about market risk are set forth above in “Management’s Discussion and Analysis of Financial Condition and Results of Operations – Market Risk and Credit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jc w:val="both"/>
        <w:ind w:right="20" w:firstLine="324"/>
        <w:spacing w:after="0" w:line="226" w:lineRule="auto"/>
        <w:rPr>
          <w:sz w:val="20"/>
          <w:szCs w:val="20"/>
          <w:color w:val="auto"/>
        </w:rPr>
      </w:pPr>
      <w:r>
        <w:rPr>
          <w:rFonts w:ascii="Times New Roman" w:cs="Times New Roman" w:eastAsia="Times New Roman" w:hAnsi="Times New Roman"/>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89"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specified in SEC rules and forms, and that such information is accumulated and communicated to management to allow timely decisions regarding required disclosures.</w:t>
      </w:r>
    </w:p>
    <w:p>
      <w:pPr>
        <w:spacing w:after="0" w:line="157"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of March 31, 2024.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ensure that it is recorded, processed, summarized and reported within the time periods specified in the SEC’s rules and forms.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March 31, 2024 that materially affected, or are reasonably likely to materially affect, our internal control over financial reporting.</w:t>
      </w: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71"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For details on the current legal proceedings, refer to Note 16—Commitments and Contingencies in the notes to condensed consolidated financial statements included elsewhere in this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20" w:firstLine="324"/>
        <w:spacing w:after="0" w:line="237" w:lineRule="auto"/>
        <w:rPr>
          <w:sz w:val="20"/>
          <w:szCs w:val="20"/>
          <w:color w:val="auto"/>
        </w:rPr>
      </w:pPr>
      <w:r>
        <w:rPr>
          <w:rFonts w:ascii="Times New Roman" w:cs="Times New Roman" w:eastAsia="Times New Roman" w:hAnsi="Times New Roman"/>
          <w:sz w:val="18"/>
          <w:szCs w:val="18"/>
          <w:color w:val="auto"/>
        </w:rPr>
        <w:t>There have been no material changes or updates to our risk factors that were previously disclosed in “Part I. Item 1A. Risk Factors” in the Company’s Annual Report on Form 10-K for the year ended December 31, 2023 as filed with the SEC on February 23,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Equity Securities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repurchase of equity securities during the three months ended March 31, 2024:</w:t>
      </w:r>
    </w:p>
    <w:p>
      <w:pPr>
        <w:sectPr>
          <w:pgSz w:w="11900" w:h="16838" w:orient="portrait"/>
          <w:cols w:equalWidth="0" w:num="1">
            <w:col w:w="11240"/>
          </w:cols>
          <w:pgMar w:left="320" w:top="13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 2024 - February 28,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r>
      <w:tr>
        <w:trPr>
          <w:trHeight w:val="230"/>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9"/>
                <w:szCs w:val="19"/>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yet to be Purchased Under</w:t>
            </w:r>
          </w:p>
        </w:tc>
      </w:tr>
      <w:tr>
        <w:trPr>
          <w:trHeight w:val="243"/>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1"/>
                <w:szCs w:val="21"/>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21"/>
                <w:szCs w:val="21"/>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Publicly Announced Plans or</w:t>
            </w:r>
          </w:p>
        </w:tc>
      </w:tr>
      <w:tr>
        <w:trPr>
          <w:trHeight w:val="238"/>
        </w:trPr>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7"/>
        </w:trPr>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77"/>
        </w:trPr>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108,823,525</w:t>
            </w:r>
          </w:p>
        </w:tc>
      </w:tr>
      <w:tr>
        <w:trPr>
          <w:trHeight w:val="283"/>
        </w:trPr>
        <w:tc>
          <w:tcPr>
            <w:tcW w:w="14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108,823,525</w:t>
            </w:r>
          </w:p>
        </w:tc>
      </w:tr>
      <w:tr>
        <w:trPr>
          <w:trHeight w:val="283"/>
        </w:trPr>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108,823,525</w:t>
            </w:r>
          </w:p>
        </w:tc>
      </w:tr>
      <w:tr>
        <w:trPr>
          <w:trHeight w:val="277"/>
        </w:trPr>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-402590</wp:posOffset>
            </wp:positionV>
            <wp:extent cx="7132320"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-770890</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50" w:lineRule="exact"/>
        <w:rPr>
          <w:sz w:val="20"/>
          <w:szCs w:val="20"/>
          <w:color w:val="auto"/>
        </w:rPr>
      </w:pPr>
    </w:p>
    <w:p>
      <w:pPr>
        <w:sectPr>
          <w:pgSz w:w="11900" w:h="16838" w:orient="portrait"/>
          <w:cols w:equalWidth="0" w:num="2">
            <w:col w:w="3180" w:space="720"/>
            <w:col w:w="7340"/>
          </w:cols>
          <w:pgMar w:left="320" w:top="1346" w:right="339" w:bottom="1440" w:gutter="0" w:footer="0" w:header="0"/>
          <w:type w:val="continuous"/>
        </w:sect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8572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6206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88"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ind w:right="60"/>
        <w:spacing w:after="0" w:line="313"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313"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ind w:right="60"/>
        <w:spacing w:after="0" w:line="305"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ind w:right="560"/>
        <w:spacing w:after="0" w:line="305"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 w:lineRule="exact"/>
        <w:rPr>
          <w:sz w:val="20"/>
          <w:szCs w:val="20"/>
          <w:color w:val="auto"/>
        </w:rPr>
      </w:pPr>
    </w:p>
    <w:p>
      <w:pPr>
        <w:sectPr>
          <w:pgSz w:w="11900" w:h="16838" w:orient="portrait"/>
          <w:cols w:equalWidth="0" w:num="2">
            <w:col w:w="1280" w:space="200"/>
            <w:col w:w="9620"/>
          </w:cols>
          <w:pgMar w:left="320" w:top="1346" w:right="479" w:bottom="1440" w:gutter="0" w:footer="0" w:header="0"/>
        </w:sectPr>
      </w:pPr>
    </w:p>
    <w:tbl>
      <w:tblPr>
        <w:tblLayout w:type="fixed"/>
        <w:tblInd w:w="2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49" w:lineRule="exact"/>
        <w:rPr>
          <w:sz w:val="20"/>
          <w:szCs w:val="20"/>
          <w:color w:val="auto"/>
        </w:rPr>
      </w:pPr>
    </w:p>
    <w:p>
      <w:pPr>
        <w:ind w:left="1480" w:hanging="1454"/>
        <w:spacing w:after="0"/>
        <w:tabs>
          <w:tab w:leader="none" w:pos="14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ind w:left="240" w:hanging="232"/>
        <w:spacing w:after="0"/>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46" w:right="479" w:bottom="1440" w:gutter="0" w:footer="0" w:header="0"/>
          <w:type w:val="continuous"/>
        </w:sectPr>
      </w:pPr>
    </w:p>
    <w:bookmarkStart w:id="34" w:name="page35"/>
    <w:bookmarkEnd w:id="34"/>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9" w:lineRule="exact"/>
        <w:rPr>
          <w:sz w:val="20"/>
          <w:szCs w:val="20"/>
          <w:color w:val="auto"/>
        </w:rPr>
      </w:pPr>
    </w:p>
    <w:p>
      <w:pPr>
        <w:ind w:left="20"/>
        <w:spacing w:after="0"/>
        <w:tabs>
          <w:tab w:leader="none" w:pos="6720" w:val="left"/>
          <w:tab w:leader="none" w:pos="742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34290</wp:posOffset>
            </wp:positionV>
            <wp:extent cx="2425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2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600"/>
          </w:cols>
          <w:pgMar w:left="320" w:top="1346" w:right="9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Bednar, certify that:</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Alexandra Gottschalk, certify that:</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Perella Weinberg Partners;</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8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100" w:hanging="324"/>
        <w:spacing w:after="0" w:line="266"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2024,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BEDNAR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Andrew Bednar</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2024,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May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ALEXANDRA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Alexandra Gottschalk</w:t>
      </w:r>
    </w:p>
    <w:p>
      <w:pPr>
        <w:spacing w:after="0" w:line="3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lvl w:ilvl="1">
      <w:lvlJc w:val="left"/>
      <w:lvlText w:val="%2"/>
      <w:numFmt w:val="decimal"/>
      <w:start w:val="104"/>
    </w:lvl>
  </w:abstractNum>
  <w:abstractNum w:abstractNumId="6">
    <w:nsid w:val="5BD062C2"/>
    <w:multiLevelType w:val="hybridMultilevel"/>
    <w:lvl w:ilvl="0">
      <w:lvlJc w:val="left"/>
      <w:lvlText w:val="**"/>
      <w:numFmt w:val="bullet"/>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2024-05-03T16:05:21Z</dcterms:created>
  <dcterms:modified xsi:type="dcterms:W3CDTF">2024-05-03T16:05:21Z</dcterms:modified>
</cp:coreProperties>
</file>