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 2025</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 2025, Perella Weinberg Partners (the “Company”) issued a press release announcing its financial results for the first quarter ended March 31, 2025.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May 2, 2025</w:t>
            </w:r>
          </w:p>
        </w:tc>
        <w:tc>
          <w:tcPr>
            <w:tcW w:w="574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7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 2025</w:t>
      </w:r>
    </w:p>
    <w:p>
      <w:pPr>
        <w:sectPr>
          <w:pgSz w:w="11900" w:h="16838" w:orient="portrait"/>
          <w:cols w:equalWidth="0" w:num="1">
            <w:col w:w="10920"/>
          </w:cols>
          <w:pgMar w:left="320" w:top="779"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89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308610"/>
                    </a:xfrm>
                    <a:prstGeom prst="rect">
                      <a:avLst/>
                    </a:prstGeom>
                    <a:noFill/>
                  </pic:spPr>
                </pic:pic>
              </a:graphicData>
            </a:graphic>
          </wp:anchor>
        </w:drawing>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29"/>
          <w:szCs w:val="29"/>
          <w:color w:val="auto"/>
        </w:rPr>
        <w:t>Perella Weinberg Reports First Quarter 2025 Results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w:t>
      </w:r>
    </w:p>
    <w:p>
      <w:pPr>
        <w:spacing w:after="0" w:line="191" w:lineRule="exact"/>
        <w:rPr>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Revenues of $212 Million, Up 107% From a Year Ago</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Pre-Tax Income of $21 Million, GAAP Pre-Tax Income of $12 Million</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EPS of $0.28; GAAP Diluted EPS of $0.24</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Talent Investment</w:t>
      </w:r>
    </w:p>
    <w:p>
      <w:pPr>
        <w:spacing w:after="0" w:line="191" w:lineRule="exact"/>
        <w:rPr>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Year-to-Date Added Four Managing Directors</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Two Additional Partners and Two Additional Managing Directors to Join Firm in Coming Months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Capital Management</w:t>
      </w:r>
    </w:p>
    <w:p>
      <w:pPr>
        <w:spacing w:after="0" w:line="191" w:lineRule="exact"/>
        <w:rPr>
          <w:sz w:val="20"/>
          <w:szCs w:val="20"/>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Strong Balance Sheet with $111 Million of Cash and No Debt</w:t>
      </w:r>
    </w:p>
    <w:p>
      <w:pPr>
        <w:spacing w:after="0" w:line="188" w:lineRule="exact"/>
        <w:rPr>
          <w:rFonts w:ascii="Arial" w:cs="Arial" w:eastAsia="Arial" w:hAnsi="Arial"/>
          <w:sz w:val="20"/>
          <w:szCs w:val="20"/>
          <w:i w:val="1"/>
          <w:iCs w:val="1"/>
          <w:color w:val="auto"/>
        </w:rPr>
      </w:pPr>
    </w:p>
    <w:p>
      <w:pPr>
        <w:ind w:left="560" w:hanging="309"/>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Retired More Than Five Million Shares and Share Equivalents through Purchase, Exchange and Net Settlement</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Returned $121 Million in Aggregate to Equity Holders</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Declared Quarterly Dividend of $0.07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8890" cy="788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240" w:right="140"/>
        <w:spacing w:after="0" w:line="320" w:lineRule="auto"/>
        <w:rPr>
          <w:sz w:val="20"/>
          <w:szCs w:val="20"/>
          <w:color w:val="auto"/>
        </w:rPr>
      </w:pPr>
      <w:r>
        <w:rPr>
          <w:rFonts w:ascii="Arial" w:cs="Arial" w:eastAsia="Arial" w:hAnsi="Arial"/>
          <w:sz w:val="20"/>
          <w:szCs w:val="20"/>
          <w:color w:val="auto"/>
        </w:rPr>
        <w:t>“Our first quarter revenues represented our highest Q1 on record and demonstrate the strength of our brand across industries and geographies. During this period of market volatility and against a rapidly changing geopolitical backdrop, we continue to help our clients achieve their strategic and financial objectives and invest in talent in attractive industry sectors to accelerate growth for our shareholders,” stated Andrew Bednar, Chief Executive Officer.</w:t>
      </w:r>
    </w:p>
    <w:p>
      <w:pPr>
        <w:spacing w:after="0" w:line="200" w:lineRule="exact"/>
        <w:rPr>
          <w:sz w:val="20"/>
          <w:szCs w:val="20"/>
          <w:color w:val="auto"/>
        </w:rPr>
      </w:pPr>
    </w:p>
    <w:p>
      <w:pPr>
        <w:spacing w:after="0" w:line="232" w:lineRule="exact"/>
        <w:rPr>
          <w:sz w:val="20"/>
          <w:szCs w:val="20"/>
          <w:color w:val="auto"/>
        </w:rPr>
      </w:pPr>
    </w:p>
    <w:p>
      <w:pPr>
        <w:ind w:right="480"/>
        <w:spacing w:after="0" w:line="344" w:lineRule="auto"/>
        <w:rPr>
          <w:sz w:val="20"/>
          <w:szCs w:val="20"/>
          <w:color w:val="auto"/>
        </w:rPr>
      </w:pPr>
      <w:r>
        <w:rPr>
          <w:rFonts w:ascii="Arial" w:cs="Arial" w:eastAsia="Arial" w:hAnsi="Arial"/>
          <w:sz w:val="20"/>
          <w:szCs w:val="20"/>
          <w:b w:val="1"/>
          <w:bCs w:val="1"/>
          <w:color w:val="auto"/>
        </w:rPr>
        <w:t xml:space="preserve">NEW YORK, NY, May 2, 2025 </w:t>
      </w:r>
      <w:r>
        <w:rPr>
          <w:rFonts w:ascii="Arial" w:cs="Arial" w:eastAsia="Arial" w:hAnsi="Arial"/>
          <w:sz w:val="20"/>
          <w:szCs w:val="20"/>
          <w:color w:val="auto"/>
        </w:rPr>
        <w:t>– Perella Weinberg Partners (the “Firm” or “PWP”) (NASDAQ:PWP) today reported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first quarter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5"/>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8" w:right="339" w:bottom="1440" w:gutter="0" w:footer="0" w:header="0"/>
        </w:sectPr>
      </w:pPr>
    </w:p>
    <w:bookmarkStart w:id="4" w:name="page5"/>
    <w:bookmarkEnd w:id="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Revenues</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For the first quarter of 2025, revenues were $211.8 million, an increase of 107% from $102.1 million for the first quarter of 2024. Revenues were higher across product lines, sectors, and geographies, the result of larger transactions and related fee events compared to the prior year period.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Expenses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60" w:type="dxa"/>
            <w:vAlign w:val="bottom"/>
          </w:tcPr>
          <w:p>
            <w:pPr>
              <w:spacing w:after="0"/>
              <w:rPr>
                <w:sz w:val="20"/>
                <w:szCs w:val="20"/>
                <w:color w:val="auto"/>
              </w:rPr>
            </w:pPr>
          </w:p>
        </w:tc>
        <w:tc>
          <w:tcPr>
            <w:tcW w:w="260" w:type="dxa"/>
            <w:vAlign w:val="bottom"/>
            <w:tcBorders>
              <w:bottom w:val="single" w:sz="8" w:color="B6B6B6"/>
            </w:tcBorders>
          </w:tcPr>
          <w:p>
            <w:pPr>
              <w:spacing w:after="0"/>
              <w:rPr>
                <w:sz w:val="20"/>
                <w:szCs w:val="20"/>
                <w:color w:val="auto"/>
              </w:rPr>
            </w:pPr>
          </w:p>
        </w:tc>
        <w:tc>
          <w:tcPr>
            <w:tcW w:w="900" w:type="dxa"/>
            <w:vAlign w:val="bottom"/>
            <w:tcBorders>
              <w:bottom w:val="single" w:sz="8" w:color="B6B6B6"/>
            </w:tcBorders>
          </w:tcPr>
          <w:p>
            <w:pPr>
              <w:spacing w:after="0"/>
              <w:rPr>
                <w:sz w:val="20"/>
                <w:szCs w:val="20"/>
                <w:color w:val="auto"/>
              </w:rPr>
            </w:pPr>
          </w:p>
        </w:tc>
        <w:tc>
          <w:tcPr>
            <w:tcW w:w="2660" w:type="dxa"/>
            <w:vAlign w:val="bottom"/>
            <w:tcBorders>
              <w:bottom w:val="single" w:sz="8" w:color="B6B6B6"/>
            </w:tcBorders>
            <w:gridSpan w:val="4"/>
          </w:tcPr>
          <w:p>
            <w:pPr>
              <w:jc w:val="right"/>
              <w:spacing w:after="0"/>
              <w:rPr>
                <w:sz w:val="20"/>
                <w:szCs w:val="20"/>
                <w:color w:val="auto"/>
              </w:rPr>
            </w:pPr>
            <w:r>
              <w:rPr>
                <w:rFonts w:ascii="Arial" w:cs="Arial" w:eastAsia="Arial" w:hAnsi="Arial"/>
                <w:sz w:val="18"/>
                <w:szCs w:val="18"/>
                <w:b w:val="1"/>
                <w:bCs w:val="1"/>
                <w:color w:val="503C64"/>
                <w:w w:val="99"/>
              </w:rPr>
              <w:t>Three Months Ended March 31,</w:t>
            </w:r>
          </w:p>
        </w:tc>
        <w:tc>
          <w:tcPr>
            <w:tcW w:w="200" w:type="dxa"/>
            <w:vAlign w:val="bottom"/>
            <w:tcBorders>
              <w:bottom w:val="single" w:sz="8" w:color="B6B6B6"/>
            </w:tcBorders>
          </w:tcPr>
          <w:p>
            <w:pPr>
              <w:spacing w:after="0"/>
              <w:rPr>
                <w:sz w:val="20"/>
                <w:szCs w:val="20"/>
                <w:color w:val="auto"/>
              </w:rPr>
            </w:pPr>
          </w:p>
        </w:tc>
        <w:tc>
          <w:tcPr>
            <w:tcW w:w="96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60" w:type="dxa"/>
            <w:vAlign w:val="bottom"/>
            <w:tcBorders>
              <w:bottom w:val="single" w:sz="8" w:color="B6B6B6"/>
            </w:tcBorders>
          </w:tcPr>
          <w:p>
            <w:pPr>
              <w:spacing w:after="0"/>
              <w:rPr>
                <w:sz w:val="19"/>
                <w:szCs w:val="19"/>
                <w:color w:val="auto"/>
              </w:rPr>
            </w:pPr>
          </w:p>
        </w:tc>
        <w:tc>
          <w:tcPr>
            <w:tcW w:w="260" w:type="dxa"/>
            <w:vAlign w:val="bottom"/>
            <w:tcBorders>
              <w:bottom w:val="single" w:sz="8" w:color="B6B6B6"/>
            </w:tcBorders>
          </w:tcPr>
          <w:p>
            <w:pPr>
              <w:spacing w:after="0"/>
              <w:rPr>
                <w:sz w:val="19"/>
                <w:szCs w:val="19"/>
                <w:color w:val="auto"/>
              </w:rPr>
            </w:pPr>
          </w:p>
        </w:tc>
        <w:tc>
          <w:tcPr>
            <w:tcW w:w="124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2025</w:t>
            </w:r>
          </w:p>
        </w:tc>
        <w:tc>
          <w:tcPr>
            <w:tcW w:w="1000" w:type="dxa"/>
            <w:vAlign w:val="bottom"/>
            <w:tcBorders>
              <w:bottom w:val="single" w:sz="8" w:color="B6B6B6"/>
            </w:tcBorders>
          </w:tcPr>
          <w:p>
            <w:pPr>
              <w:spacing w:after="0"/>
              <w:rPr>
                <w:sz w:val="19"/>
                <w:szCs w:val="19"/>
                <w:color w:val="auto"/>
              </w:rPr>
            </w:pPr>
          </w:p>
        </w:tc>
        <w:tc>
          <w:tcPr>
            <w:tcW w:w="280" w:type="dxa"/>
            <w:vAlign w:val="bottom"/>
            <w:tcBorders>
              <w:bottom w:val="single" w:sz="8" w:color="B6B6B6"/>
            </w:tcBorders>
          </w:tcPr>
          <w:p>
            <w:pPr>
              <w:spacing w:after="0"/>
              <w:rPr>
                <w:sz w:val="19"/>
                <w:szCs w:val="19"/>
                <w:color w:val="auto"/>
              </w:rPr>
            </w:pPr>
          </w:p>
        </w:tc>
        <w:tc>
          <w:tcPr>
            <w:tcW w:w="124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2024</w:t>
            </w:r>
          </w:p>
        </w:tc>
        <w:tc>
          <w:tcPr>
            <w:tcW w:w="960" w:type="dxa"/>
            <w:vAlign w:val="bottom"/>
            <w:tcBorders>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60" w:type="dxa"/>
            <w:vAlign w:val="bottom"/>
            <w:vMerge w:val="restart"/>
          </w:tcPr>
          <w:p>
            <w:pPr>
              <w:jc w:val="center"/>
              <w:ind w:right="4410"/>
              <w:spacing w:after="0"/>
              <w:rPr>
                <w:sz w:val="20"/>
                <w:szCs w:val="20"/>
                <w:color w:val="auto"/>
              </w:rPr>
            </w:pPr>
            <w:r>
              <w:rPr>
                <w:rFonts w:ascii="Arial" w:cs="Arial" w:eastAsia="Arial" w:hAnsi="Arial"/>
                <w:sz w:val="18"/>
                <w:szCs w:val="18"/>
                <w:b w:val="1"/>
                <w:bCs w:val="1"/>
                <w:color w:val="auto"/>
                <w:w w:val="99"/>
              </w:rPr>
              <w:t>Operating expenses</w:t>
            </w:r>
          </w:p>
        </w:tc>
        <w:tc>
          <w:tcPr>
            <w:tcW w:w="26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273"/>
              <w:spacing w:after="0"/>
              <w:rPr>
                <w:sz w:val="20"/>
                <w:szCs w:val="20"/>
                <w:color w:val="auto"/>
              </w:rPr>
            </w:pPr>
            <w:r>
              <w:rPr>
                <w:rFonts w:ascii="Arial" w:cs="Arial" w:eastAsia="Arial" w:hAnsi="Arial"/>
                <w:sz w:val="14"/>
                <w:szCs w:val="14"/>
                <w:b w:val="1"/>
                <w:bCs w:val="1"/>
                <w:color w:val="503C64"/>
              </w:rPr>
              <w:t>GAAP</w:t>
            </w:r>
          </w:p>
        </w:tc>
        <w:tc>
          <w:tcPr>
            <w:tcW w:w="340" w:type="dxa"/>
            <w:vAlign w:val="bottom"/>
            <w:tcBorders>
              <w:bottom w:val="single" w:sz="8" w:color="B6B6B6"/>
            </w:tcBorders>
          </w:tcPr>
          <w:p>
            <w:pPr>
              <w:spacing w:after="0"/>
              <w:rPr>
                <w:sz w:val="16"/>
                <w:szCs w:val="16"/>
                <w:color w:val="auto"/>
              </w:rPr>
            </w:pPr>
          </w:p>
        </w:tc>
        <w:tc>
          <w:tcPr>
            <w:tcW w:w="1000" w:type="dxa"/>
            <w:vAlign w:val="bottom"/>
            <w:tcBorders>
              <w:bottom w:val="single" w:sz="8" w:color="B6B6B6"/>
            </w:tcBorders>
          </w:tcPr>
          <w:p>
            <w:pPr>
              <w:jc w:val="right"/>
              <w:ind w:right="256"/>
              <w:spacing w:after="0"/>
              <w:rPr>
                <w:sz w:val="20"/>
                <w:szCs w:val="20"/>
                <w:color w:val="auto"/>
              </w:rPr>
            </w:pPr>
            <w:r>
              <w:rPr>
                <w:rFonts w:ascii="Arial" w:cs="Arial" w:eastAsia="Arial" w:hAnsi="Arial"/>
                <w:sz w:val="14"/>
                <w:szCs w:val="14"/>
                <w:b w:val="1"/>
                <w:bCs w:val="1"/>
                <w:color w:val="503C64"/>
              </w:rPr>
              <w:t>Adjusted</w:t>
            </w:r>
          </w:p>
        </w:tc>
        <w:tc>
          <w:tcPr>
            <w:tcW w:w="28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tcPr>
          <w:p>
            <w:pPr>
              <w:jc w:val="right"/>
              <w:ind w:right="393"/>
              <w:spacing w:after="0"/>
              <w:rPr>
                <w:sz w:val="20"/>
                <w:szCs w:val="20"/>
                <w:color w:val="auto"/>
              </w:rPr>
            </w:pPr>
            <w:r>
              <w:rPr>
                <w:rFonts w:ascii="Arial" w:cs="Arial" w:eastAsia="Arial" w:hAnsi="Arial"/>
                <w:sz w:val="14"/>
                <w:szCs w:val="14"/>
                <w:b w:val="1"/>
                <w:bCs w:val="1"/>
                <w:color w:val="503C64"/>
              </w:rPr>
              <w:t>GAAP</w:t>
            </w:r>
          </w:p>
        </w:tc>
        <w:tc>
          <w:tcPr>
            <w:tcW w:w="20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194"/>
              <w:spacing w:after="0"/>
              <w:rPr>
                <w:sz w:val="20"/>
                <w:szCs w:val="20"/>
                <w:color w:val="auto"/>
              </w:rPr>
            </w:pPr>
            <w:r>
              <w:rPr>
                <w:rFonts w:ascii="Arial" w:cs="Arial" w:eastAsia="Arial" w:hAnsi="Arial"/>
                <w:sz w:val="14"/>
                <w:szCs w:val="14"/>
                <w:b w:val="1"/>
                <w:bCs w:val="1"/>
                <w:color w:val="503C64"/>
              </w:rPr>
              <w:t>Adjusted</w:t>
            </w:r>
          </w:p>
        </w:tc>
        <w:tc>
          <w:tcPr>
            <w:tcW w:w="0" w:type="dxa"/>
            <w:vAlign w:val="bottom"/>
          </w:tcPr>
          <w:p>
            <w:pPr>
              <w:spacing w:after="0"/>
              <w:rPr>
                <w:sz w:val="1"/>
                <w:szCs w:val="1"/>
                <w:color w:val="auto"/>
              </w:rPr>
            </w:pPr>
          </w:p>
        </w:tc>
      </w:tr>
      <w:tr>
        <w:trPr>
          <w:trHeight w:val="205"/>
        </w:trPr>
        <w:tc>
          <w:tcPr>
            <w:tcW w:w="6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503C64"/>
              </w:rPr>
              <w:t>(Dollars in Millions)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260" w:type="dxa"/>
            <w:vAlign w:val="bottom"/>
          </w:tcPr>
          <w:p>
            <w:pPr>
              <w:ind w:left="120"/>
              <w:spacing w:after="0"/>
              <w:rPr>
                <w:sz w:val="20"/>
                <w:szCs w:val="20"/>
                <w:color w:val="auto"/>
              </w:rPr>
            </w:pPr>
            <w:r>
              <w:rPr>
                <w:rFonts w:ascii="Arial" w:cs="Arial" w:eastAsia="Arial" w:hAnsi="Arial"/>
                <w:sz w:val="18"/>
                <w:szCs w:val="18"/>
                <w:color w:val="auto"/>
              </w:rPr>
              <w:t>Total compensation and benefits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149.2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141.9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3"/>
              <w:spacing w:after="0"/>
              <w:rPr>
                <w:sz w:val="20"/>
                <w:szCs w:val="20"/>
                <w:color w:val="auto"/>
              </w:rPr>
            </w:pPr>
            <w:r>
              <w:rPr>
                <w:rFonts w:ascii="Arial" w:cs="Arial" w:eastAsia="Arial" w:hAnsi="Arial"/>
                <w:sz w:val="18"/>
                <w:szCs w:val="18"/>
                <w:color w:val="auto"/>
              </w:rPr>
              <w:t>115.4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7"/>
        </w:trPr>
        <w:tc>
          <w:tcPr>
            <w:tcW w:w="6260" w:type="dxa"/>
            <w:vAlign w:val="bottom"/>
          </w:tcPr>
          <w:p>
            <w:pPr>
              <w:jc w:val="center"/>
              <w:ind w:right="4390"/>
              <w:spacing w:after="0"/>
              <w:rPr>
                <w:sz w:val="20"/>
                <w:szCs w:val="20"/>
                <w:color w:val="auto"/>
              </w:rPr>
            </w:pPr>
            <w:r>
              <w:rPr>
                <w:rFonts w:ascii="Arial" w:cs="Arial" w:eastAsia="Arial" w:hAnsi="Arial"/>
                <w:sz w:val="18"/>
                <w:szCs w:val="18"/>
                <w:i w:val="1"/>
                <w:iCs w:val="1"/>
                <w:color w:val="auto"/>
                <w:w w:val="99"/>
              </w:rPr>
              <w:t>% of Revenues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70 %</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67 %</w:t>
            </w:r>
          </w:p>
        </w:tc>
        <w:tc>
          <w:tcPr>
            <w:tcW w:w="28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i w:val="1"/>
                <w:iCs w:val="1"/>
                <w:color w:val="auto"/>
              </w:rPr>
              <w:t>113 %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84 %</w:t>
            </w:r>
          </w:p>
        </w:tc>
        <w:tc>
          <w:tcPr>
            <w:tcW w:w="0" w:type="dxa"/>
            <w:vAlign w:val="bottom"/>
          </w:tcPr>
          <w:p>
            <w:pPr>
              <w:spacing w:after="0"/>
              <w:rPr>
                <w:sz w:val="1"/>
                <w:szCs w:val="1"/>
                <w:color w:val="auto"/>
              </w:rPr>
            </w:pPr>
          </w:p>
        </w:tc>
      </w:tr>
      <w:tr>
        <w:trPr>
          <w:trHeight w:val="232"/>
        </w:trPr>
        <w:tc>
          <w:tcPr>
            <w:tcW w:w="6260" w:type="dxa"/>
            <w:vAlign w:val="bottom"/>
          </w:tcPr>
          <w:p>
            <w:pPr>
              <w:ind w:left="120"/>
              <w:spacing w:after="0"/>
              <w:rPr>
                <w:sz w:val="20"/>
                <w:szCs w:val="20"/>
                <w:color w:val="auto"/>
              </w:rPr>
            </w:pPr>
            <w:r>
              <w:rPr>
                <w:rFonts w:ascii="Arial" w:cs="Arial" w:eastAsia="Arial" w:hAnsi="Arial"/>
                <w:sz w:val="18"/>
                <w:szCs w:val="18"/>
                <w:color w:val="auto"/>
              </w:rPr>
              <w:t>Non-compensation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50.9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49.3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3"/>
              <w:spacing w:after="0"/>
              <w:rPr>
                <w:sz w:val="20"/>
                <w:szCs w:val="20"/>
                <w:color w:val="auto"/>
              </w:rPr>
            </w:pPr>
            <w:r>
              <w:rPr>
                <w:rFonts w:ascii="Arial" w:cs="Arial" w:eastAsia="Arial" w:hAnsi="Arial"/>
                <w:sz w:val="18"/>
                <w:szCs w:val="18"/>
                <w:color w:val="auto"/>
              </w:rPr>
              <w:t>40.3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7"/>
        </w:trPr>
        <w:tc>
          <w:tcPr>
            <w:tcW w:w="6260" w:type="dxa"/>
            <w:vAlign w:val="bottom"/>
          </w:tcPr>
          <w:p>
            <w:pPr>
              <w:jc w:val="center"/>
              <w:ind w:right="4390"/>
              <w:spacing w:after="0"/>
              <w:rPr>
                <w:sz w:val="20"/>
                <w:szCs w:val="20"/>
                <w:color w:val="auto"/>
              </w:rPr>
            </w:pPr>
            <w:r>
              <w:rPr>
                <w:rFonts w:ascii="Arial" w:cs="Arial" w:eastAsia="Arial" w:hAnsi="Arial"/>
                <w:sz w:val="18"/>
                <w:szCs w:val="18"/>
                <w:i w:val="1"/>
                <w:iCs w:val="1"/>
                <w:color w:val="auto"/>
                <w:w w:val="99"/>
              </w:rPr>
              <w:t>% of Revenues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24 %</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28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i w:val="1"/>
                <w:iCs w:val="1"/>
                <w:color w:val="auto"/>
              </w:rPr>
              <w:t>39 %</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36 %</w:t>
            </w:r>
          </w:p>
        </w:tc>
        <w:tc>
          <w:tcPr>
            <w:tcW w:w="0" w:type="dxa"/>
            <w:vAlign w:val="bottom"/>
          </w:tcPr>
          <w:p>
            <w:pPr>
              <w:spacing w:after="0"/>
              <w:rPr>
                <w:sz w:val="1"/>
                <w:szCs w:val="1"/>
                <w:color w:val="auto"/>
              </w:rPr>
            </w:pPr>
          </w:p>
        </w:tc>
      </w:tr>
    </w:tbl>
    <w:p>
      <w:pPr>
        <w:spacing w:after="0" w:line="35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GAAP total compensation and benefits were $149.2 million for the first quarter of 2025, compared to $115.4 million for the first quarter of 2024. Adjusted total compensation and benefits were $141.9 million for the first quarter of 2025, compared to $86.1 million for the same period a year ago. The increase in total compensation and benefits was due to a larger bonus accrual on an absolute dollar basis associated with higher revenues, partially offset by a lower compensation margin. On a GAAP basis, the increase was also offset by lower equity-based compensation due to the vesting of certain transaction-related incentive and partnership unit awards in 2024.</w:t>
      </w:r>
    </w:p>
    <w:p>
      <w:pPr>
        <w:spacing w:after="0" w:line="208"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GAAP non-compensation expenses were $50.9 million for the first quarter of 2025, compared to $40.3 million for the first quarter of 2024. Adjusted non-compensation expenses were $49.3 million for the first quarter of 2025, compared to $37.0 million for the same period a year ago. The increase in non-compensation expenses was largely driven by higher professional fees tied to litigation spend and an increase in the cost of travel and related expenses. On a GAAP basis, the increase was partially offset by non-recurring partnership reorganization costs which were incurred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8"/>
        <w:spacing w:after="0" w:line="259"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Provision for Income Taxes</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Perella Weinberg Partners currently owns 70.4% of the operating partnership (“PWP OpCo”) and is subject to U.S. federal and state corporate income tax on its allocable share of earnings. Income earned by the operating partnership is subject to certain state, local, and foreign income taxes.</w:t>
      </w:r>
    </w:p>
    <w:p>
      <w:pPr>
        <w:spacing w:after="0" w:line="197"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For purposes of calculating adjusted if-converted net income (loss), we have presented our results as if all partnership units had been converted to shares of Class A common stock, and as if all of our adjusted results for the period were subject to U.S. corporate income tax. For the three months ended March 31, 2025, the effective tax rate for adjusted if-converted net income was (40)%. This tax rate includes $14.5 million of benefit from the vesting of restricted stock units at a share price higher than the grant price. The adjusted effective tax rate excluding this benefit would have been 29.5%.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Balance Sheet and Capital Management</w:t>
      </w:r>
    </w:p>
    <w:p>
      <w:pPr>
        <w:spacing w:after="0" w:line="31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As of March 31, 2025, PWP had $111.2 million of cash with no outstanding indebtedness and an undrawn revolving credit facility.</w:t>
      </w:r>
    </w:p>
    <w:p>
      <w:pPr>
        <w:spacing w:after="0" w:line="182"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During the three months ended March 31, 2025, PWP returned $121.3 million in aggregate to our equity holders through: (i) the net settlement of 2,989,044 share equivalents at an average price per share of $23.33; (ii) the settlement of exchanges of 1,270,086 PWP OpCo units for cash at $22.65 per unit and the repurchase of 749,432 shares at an average price per share of $19.27 in open market transactions pursuant to PWP’s Class A common stock repurchase program; and (iii) the payment of aggregate dividends of $8.3 million to Class A common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At March 31, 2025, there were 62.2 million shares of Class A common stock and 26.2 million partnership units outstanding.</w:t>
      </w:r>
    </w:p>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The Board of Directors has declared a quarterly dividend of $0.07 per share of Class A common stock. The dividend will be paid on May 30, 2025 to Class A common stockholders of record on May 14,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8"/>
        <w:spacing w:after="0" w:line="259"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Conference Call and Webcast</w:t>
      </w:r>
    </w:p>
    <w:p>
      <w:pPr>
        <w:spacing w:after="0" w:line="312"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Management will host a webcast and conference call on Friday, May 2, 2025 at 9:00 am ET to discuss Perella Weinberg’s financial results for the first quarter ended March 31, 2025.</w:t>
      </w:r>
    </w:p>
    <w:p>
      <w:pPr>
        <w:spacing w:after="0" w:line="182"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A webcast of the conference call will be made available in the Investors section of Perella Weinberg’s website at https://investors.pwpartners.com/.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can also be accessed by the following dial-in information:</w:t>
      </w:r>
    </w:p>
    <w:p>
      <w:pPr>
        <w:spacing w:after="0" w:line="310" w:lineRule="exact"/>
        <w:rPr>
          <w:sz w:val="20"/>
          <w:szCs w:val="20"/>
          <w:color w:val="auto"/>
        </w:rPr>
      </w:pPr>
    </w:p>
    <w:p>
      <w:pPr>
        <w:ind w:left="880" w:hanging="386"/>
        <w:spacing w:after="0"/>
        <w:tabs>
          <w:tab w:leader="none" w:pos="880" w:val="left"/>
        </w:tabs>
        <w:numPr>
          <w:ilvl w:val="0"/>
          <w:numId w:val="8"/>
        </w:numPr>
        <w:rPr>
          <w:rFonts w:ascii="Arial" w:cs="Arial" w:eastAsia="Arial" w:hAnsi="Arial"/>
          <w:sz w:val="20"/>
          <w:szCs w:val="20"/>
          <w:color w:val="auto"/>
        </w:rPr>
      </w:pPr>
      <w:r>
        <w:rPr>
          <w:rFonts w:ascii="Arial" w:cs="Arial" w:eastAsia="Arial" w:hAnsi="Arial"/>
          <w:sz w:val="20"/>
          <w:szCs w:val="20"/>
          <w:color w:val="auto"/>
        </w:rPr>
        <w:t>Domestic: (800) 267-6316</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International: (203) 518-9783</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Conference ID: PWPQ125</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Replay</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A replay of the call will also be available two hours after the live call through May 9, 2025. To access the replay, dial (800) 756-0554 (Domestic) or (402) 220-7213 (International). The replay can also be accessed on the Investors section of the Company’s website at https://investors.pwpartners.com/.</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20"/>
          <w:szCs w:val="20"/>
          <w:color w:val="auto"/>
        </w:rPr>
        <w:t>For those who listen to the rebroadcast of the call, we remind you that the remarks made are as of May 2, 2025, and have not been updated subsequent to the initial earnings call.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About Perella Weinberg</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Perella Weinberg is a leading global independent advisory firm, providing strategic and financial advice to a broad client base, including corporations, financial sponsors, governments, and sovereign wealth funds. The Firm offers a wide range of advisory services to clients in some of the most active industry sectors and global markets. With approximately 700 employees, Perella Weinberg currently maintains offices in New York, London, Houston, Los Angeles, San Francisco, Paris, Chicago, Munich, Denver, and Calgary. The financial information of Perella Weinberg herein refers to the business operations of PWP Holdings LP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Contacts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Investor Relations: investors@pwpartners.com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Media: media@pwpartners.com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9" w:lineRule="auto"/>
        <w:tabs>
          <w:tab w:leader="none" w:pos="9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Non-GAAP Financial Measures</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0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09"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Cautionary Statement Regarding Forward Looking Statements</w:t>
      </w:r>
    </w:p>
    <w:p>
      <w:pPr>
        <w:spacing w:after="0" w:line="312"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200" w:lineRule="exact"/>
        <w:rPr>
          <w:sz w:val="20"/>
          <w:szCs w:val="20"/>
          <w:color w:val="auto"/>
        </w:rPr>
      </w:pPr>
    </w:p>
    <w:p>
      <w:pPr>
        <w:spacing w:after="0" w:line="296" w:lineRule="exact"/>
        <w:rPr>
          <w:sz w:val="20"/>
          <w:szCs w:val="20"/>
          <w:color w:val="auto"/>
        </w:rPr>
      </w:pPr>
    </w:p>
    <w:p>
      <w:pPr>
        <w:jc w:val="both"/>
        <w:ind w:firstLine="8"/>
        <w:spacing w:after="0" w:line="259" w:lineRule="auto"/>
        <w:tabs>
          <w:tab w:leader="none" w:pos="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20"/>
          <w:szCs w:val="20"/>
          <w:color w:val="auto"/>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rFonts w:ascii="Arial" w:cs="Arial" w:eastAsia="Arial" w:hAnsi="Arial"/>
          <w:sz w:val="20"/>
          <w:szCs w:val="20"/>
          <w:i w:val="1"/>
          <w:iCs w:val="1"/>
          <w:color w:val="auto"/>
        </w:rPr>
        <w:t>“Part I—Item 1A. Risk Factors”</w:t>
      </w:r>
      <w:r>
        <w:rPr>
          <w:rFonts w:ascii="Arial" w:cs="Arial" w:eastAsia="Arial" w:hAnsi="Arial"/>
          <w:sz w:val="20"/>
          <w:szCs w:val="20"/>
          <w:color w:val="auto"/>
        </w:rPr>
        <w:t xml:space="preserve"> in our Annual Report on Form 10-K.</w:t>
      </w:r>
    </w:p>
    <w:p>
      <w:pPr>
        <w:spacing w:after="0" w:line="215"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U.S. Securities and Exchange Commission (the “SEC”) on February 27, 2025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8"/>
        <w:spacing w:after="0" w:line="259" w:lineRule="auto"/>
        <w:tabs>
          <w:tab w:leader="none" w:pos="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Consolidated Statements of Operations (Unaudited)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503C64"/>
        </w:rPr>
        <w:t>Three Months Ended</w:t>
      </w:r>
    </w:p>
    <w:p>
      <w:pPr>
        <w:spacing w:after="0" w:line="21"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503C64"/>
        </w:rPr>
        <w:t>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60" w:type="dxa"/>
            <w:vAlign w:val="bottom"/>
            <w:tcBorders>
              <w:bottom w:val="single" w:sz="8" w:color="B6B6B6"/>
            </w:tcBorders>
          </w:tcPr>
          <w:p>
            <w:pPr>
              <w:spacing w:after="0"/>
              <w:rPr>
                <w:sz w:val="18"/>
                <w:szCs w:val="18"/>
                <w:color w:val="auto"/>
              </w:rPr>
            </w:pPr>
          </w:p>
        </w:tc>
        <w:tc>
          <w:tcPr>
            <w:tcW w:w="80" w:type="dxa"/>
            <w:vAlign w:val="bottom"/>
            <w:tcBorders>
              <w:bottom w:val="single" w:sz="8" w:color="B6B6B6"/>
            </w:tcBorders>
          </w:tcPr>
          <w:p>
            <w:pPr>
              <w:spacing w:after="0"/>
              <w:rPr>
                <w:sz w:val="18"/>
                <w:szCs w:val="18"/>
                <w:color w:val="auto"/>
              </w:rPr>
            </w:pPr>
          </w:p>
        </w:tc>
        <w:tc>
          <w:tcPr>
            <w:tcW w:w="120" w:type="dxa"/>
            <w:vAlign w:val="bottom"/>
            <w:tcBorders>
              <w:top w:val="single" w:sz="8" w:color="B6B6B6"/>
              <w:bottom w:val="single" w:sz="8" w:color="B6B6B6"/>
            </w:tcBorders>
          </w:tcPr>
          <w:p>
            <w:pPr>
              <w:spacing w:after="0"/>
              <w:rPr>
                <w:sz w:val="18"/>
                <w:szCs w:val="18"/>
                <w:color w:val="auto"/>
              </w:rPr>
            </w:pPr>
          </w:p>
        </w:tc>
        <w:tc>
          <w:tcPr>
            <w:tcW w:w="1080" w:type="dxa"/>
            <w:vAlign w:val="bottom"/>
            <w:tcBorders>
              <w:top w:val="single" w:sz="8" w:color="B6B6B6"/>
              <w:bottom w:val="single" w:sz="8" w:color="B6B6B6"/>
            </w:tcBorders>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B6B6B6"/>
              <w:bottom w:val="single" w:sz="8" w:color="B6B6B6"/>
            </w:tcBorders>
          </w:tcPr>
          <w:p>
            <w:pPr>
              <w:spacing w:after="0"/>
              <w:rPr>
                <w:sz w:val="18"/>
                <w:szCs w:val="18"/>
                <w:color w:val="auto"/>
              </w:rPr>
            </w:pPr>
          </w:p>
        </w:tc>
        <w:tc>
          <w:tcPr>
            <w:tcW w:w="960" w:type="dxa"/>
            <w:vAlign w:val="bottom"/>
            <w:tcBorders>
              <w:top w:val="single" w:sz="8" w:color="B6B6B6"/>
              <w:bottom w:val="single" w:sz="8" w:color="B6B6B6"/>
            </w:tcBorders>
          </w:tcPr>
          <w:p>
            <w:pPr>
              <w:jc w:val="right"/>
              <w:ind w:right="339"/>
              <w:spacing w:after="0"/>
              <w:rPr>
                <w:sz w:val="20"/>
                <w:szCs w:val="20"/>
                <w:color w:val="auto"/>
              </w:rPr>
            </w:pPr>
            <w:r>
              <w:rPr>
                <w:rFonts w:ascii="Arial" w:cs="Arial" w:eastAsia="Arial" w:hAnsi="Arial"/>
                <w:sz w:val="14"/>
                <w:szCs w:val="14"/>
                <w:b w:val="1"/>
                <w:bCs w:val="1"/>
                <w:color w:val="auto"/>
              </w:rPr>
              <w:t>2024</w:t>
            </w:r>
          </w:p>
        </w:tc>
      </w:tr>
      <w:tr>
        <w:trPr>
          <w:trHeight w:val="211"/>
        </w:trPr>
        <w:tc>
          <w:tcPr>
            <w:tcW w:w="87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211,831</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102,127</w:t>
            </w:r>
          </w:p>
        </w:tc>
      </w:tr>
      <w:tr>
        <w:trPr>
          <w:trHeight w:val="215"/>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8760" w:type="dxa"/>
            <w:vAlign w:val="bottom"/>
          </w:tcPr>
          <w:p>
            <w:pPr>
              <w:ind w:left="180"/>
              <w:spacing w:after="0"/>
              <w:rPr>
                <w:sz w:val="20"/>
                <w:szCs w:val="20"/>
                <w:color w:val="auto"/>
              </w:rPr>
            </w:pPr>
            <w:r>
              <w:rPr>
                <w:rFonts w:ascii="Arial" w:cs="Arial" w:eastAsia="Arial" w:hAnsi="Arial"/>
                <w:sz w:val="16"/>
                <w:szCs w:val="16"/>
                <w:color w:val="auto"/>
              </w:rPr>
              <w:t>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122,999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68,590</w:t>
            </w:r>
          </w:p>
        </w:tc>
      </w:tr>
      <w:tr>
        <w:trPr>
          <w:trHeight w:val="216"/>
        </w:trPr>
        <w:tc>
          <w:tcPr>
            <w:tcW w:w="876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26,245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46,807</w:t>
            </w:r>
          </w:p>
        </w:tc>
      </w:tr>
      <w:tr>
        <w:trPr>
          <w:trHeight w:val="216"/>
        </w:trPr>
        <w:tc>
          <w:tcPr>
            <w:tcW w:w="8760" w:type="dxa"/>
            <w:vAlign w:val="bottom"/>
          </w:tcPr>
          <w:p>
            <w:pPr>
              <w:ind w:left="360"/>
              <w:spacing w:after="0"/>
              <w:rPr>
                <w:sz w:val="20"/>
                <w:szCs w:val="20"/>
                <w:color w:val="auto"/>
              </w:rPr>
            </w:pPr>
            <w:r>
              <w:rPr>
                <w:rFonts w:ascii="Arial" w:cs="Arial" w:eastAsia="Arial" w:hAnsi="Arial"/>
                <w:sz w:val="16"/>
                <w:szCs w:val="16"/>
                <w:color w:val="auto"/>
              </w:rPr>
              <w:t>Total 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149,244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115,397</w:t>
            </w:r>
          </w:p>
        </w:tc>
      </w:tr>
      <w:tr>
        <w:trPr>
          <w:trHeight w:val="216"/>
        </w:trPr>
        <w:tc>
          <w:tcPr>
            <w:tcW w:w="87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19,196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11,060</w:t>
            </w:r>
          </w:p>
        </w:tc>
      </w:tr>
      <w:tr>
        <w:trPr>
          <w:trHeight w:val="216"/>
        </w:trPr>
        <w:tc>
          <w:tcPr>
            <w:tcW w:w="8760" w:type="dxa"/>
            <w:vAlign w:val="bottom"/>
          </w:tcPr>
          <w:p>
            <w:pPr>
              <w:ind w:left="180"/>
              <w:spacing w:after="0"/>
              <w:rPr>
                <w:sz w:val="20"/>
                <w:szCs w:val="20"/>
                <w:color w:val="auto"/>
              </w:rPr>
            </w:pPr>
            <w:r>
              <w:rPr>
                <w:rFonts w:ascii="Arial" w:cs="Arial" w:eastAsia="Arial" w:hAnsi="Arial"/>
                <w:sz w:val="16"/>
                <w:szCs w:val="16"/>
                <w:color w:val="auto"/>
              </w:rPr>
              <w:t>Technology and infrastructure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9,289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8,772</w:t>
            </w:r>
          </w:p>
        </w:tc>
      </w:tr>
      <w:tr>
        <w:trPr>
          <w:trHeight w:val="216"/>
        </w:trPr>
        <w:tc>
          <w:tcPr>
            <w:tcW w:w="8760" w:type="dxa"/>
            <w:vAlign w:val="bottom"/>
          </w:tcPr>
          <w:p>
            <w:pPr>
              <w:ind w:left="180"/>
              <w:spacing w:after="0"/>
              <w:rPr>
                <w:sz w:val="20"/>
                <w:szCs w:val="20"/>
                <w:color w:val="auto"/>
              </w:rPr>
            </w:pPr>
            <w:r>
              <w:rPr>
                <w:rFonts w:ascii="Arial" w:cs="Arial" w:eastAsia="Arial" w:hAnsi="Arial"/>
                <w:sz w:val="16"/>
                <w:szCs w:val="16"/>
                <w:color w:val="auto"/>
              </w:rPr>
              <w:t>Rent and occupancy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6,326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6,277</w:t>
            </w:r>
          </w:p>
        </w:tc>
      </w:tr>
      <w:tr>
        <w:trPr>
          <w:trHeight w:val="216"/>
        </w:trPr>
        <w:tc>
          <w:tcPr>
            <w:tcW w:w="8760" w:type="dxa"/>
            <w:vAlign w:val="bottom"/>
          </w:tcPr>
          <w:p>
            <w:pPr>
              <w:ind w:left="180"/>
              <w:spacing w:after="0"/>
              <w:rPr>
                <w:sz w:val="20"/>
                <w:szCs w:val="20"/>
                <w:color w:val="auto"/>
              </w:rPr>
            </w:pPr>
            <w:r>
              <w:rPr>
                <w:rFonts w:ascii="Arial" w:cs="Arial" w:eastAsia="Arial" w:hAnsi="Arial"/>
                <w:sz w:val="16"/>
                <w:szCs w:val="16"/>
                <w:color w:val="auto"/>
              </w:rPr>
              <w:t>Travel and related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5,644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4,585</w:t>
            </w:r>
          </w:p>
        </w:tc>
      </w:tr>
      <w:tr>
        <w:trPr>
          <w:trHeight w:val="216"/>
        </w:trPr>
        <w:tc>
          <w:tcPr>
            <w:tcW w:w="8760" w:type="dxa"/>
            <w:vAlign w:val="bottom"/>
          </w:tcPr>
          <w:p>
            <w:pPr>
              <w:ind w:left="180"/>
              <w:spacing w:after="0"/>
              <w:rPr>
                <w:sz w:val="20"/>
                <w:szCs w:val="20"/>
                <w:color w:val="auto"/>
              </w:rPr>
            </w:pPr>
            <w:r>
              <w:rPr>
                <w:rFonts w:ascii="Arial" w:cs="Arial" w:eastAsia="Arial" w:hAnsi="Arial"/>
                <w:sz w:val="16"/>
                <w:szCs w:val="16"/>
                <w:color w:val="auto"/>
              </w:rPr>
              <w:t>General, administrative and other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5,463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4,519</w:t>
            </w:r>
          </w:p>
        </w:tc>
      </w:tr>
      <w:tr>
        <w:trPr>
          <w:trHeight w:val="217"/>
        </w:trPr>
        <w:tc>
          <w:tcPr>
            <w:tcW w:w="87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5,001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5,080</w:t>
            </w:r>
          </w:p>
        </w:tc>
      </w:tr>
      <w:tr>
        <w:trPr>
          <w:trHeight w:val="217"/>
        </w:trPr>
        <w:tc>
          <w:tcPr>
            <w:tcW w:w="8760" w:type="dxa"/>
            <w:vAlign w:val="bottom"/>
            <w:shd w:val="clear" w:color="auto" w:fill="E3E1E9"/>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200,163</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155,690</w:t>
            </w:r>
          </w:p>
        </w:tc>
      </w:tr>
      <w:tr>
        <w:trPr>
          <w:trHeight w:val="215"/>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11,668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(53,563)</w:t>
            </w:r>
          </w:p>
        </w:tc>
      </w:tr>
      <w:tr>
        <w:trPr>
          <w:trHeight w:val="216"/>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876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2,657</w:t>
            </w:r>
          </w:p>
        </w:tc>
      </w:tr>
      <w:tr>
        <w:trPr>
          <w:trHeight w:val="216"/>
        </w:trPr>
        <w:tc>
          <w:tcPr>
            <w:tcW w:w="8760" w:type="dxa"/>
            <w:vAlign w:val="bottom"/>
          </w:tcPr>
          <w:p>
            <w:pPr>
              <w:ind w:left="360"/>
              <w:spacing w:after="0"/>
              <w:rPr>
                <w:sz w:val="20"/>
                <w:szCs w:val="20"/>
                <w:color w:val="auto"/>
              </w:rPr>
            </w:pPr>
            <w:r>
              <w:rPr>
                <w:rFonts w:ascii="Arial" w:cs="Arial" w:eastAsia="Arial" w:hAnsi="Arial"/>
                <w:sz w:val="16"/>
                <w:szCs w:val="16"/>
                <w:color w:val="auto"/>
              </w:rPr>
              <w:t>Total 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2,657</w:t>
            </w:r>
          </w:p>
        </w:tc>
      </w:tr>
      <w:tr>
        <w:trPr>
          <w:trHeight w:val="217"/>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11,899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(50,906)</w:t>
            </w:r>
          </w:p>
        </w:tc>
      </w:tr>
      <w:tr>
        <w:trPr>
          <w:trHeight w:val="216"/>
        </w:trPr>
        <w:tc>
          <w:tcPr>
            <w:tcW w:w="8760" w:type="dxa"/>
            <w:vAlign w:val="bottom"/>
            <w:tcBorders>
              <w:bottom w:val="single" w:sz="8" w:color="B6B6B6"/>
            </w:tcBorders>
          </w:tcPr>
          <w:p>
            <w:pPr>
              <w:ind w:left="180"/>
              <w:spacing w:after="0"/>
              <w:rPr>
                <w:sz w:val="20"/>
                <w:szCs w:val="20"/>
                <w:color w:val="auto"/>
              </w:rPr>
            </w:pPr>
            <w:r>
              <w:rPr>
                <w:rFonts w:ascii="Arial" w:cs="Arial" w:eastAsia="Arial" w:hAnsi="Arial"/>
                <w:sz w:val="16"/>
                <w:szCs w:val="16"/>
                <w:color w:val="auto"/>
              </w:rPr>
              <w:t>Income tax expense (benefit)</w:t>
            </w:r>
          </w:p>
        </w:tc>
        <w:tc>
          <w:tcPr>
            <w:tcW w:w="80" w:type="dxa"/>
            <w:vAlign w:val="bottom"/>
            <w:tcBorders>
              <w:bottom w:val="single" w:sz="8" w:color="B6B6B6"/>
            </w:tcBorders>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(9,474)</w:t>
            </w:r>
          </w:p>
        </w:tc>
        <w:tc>
          <w:tcPr>
            <w:tcW w:w="24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19,094</w:t>
            </w:r>
          </w:p>
        </w:tc>
      </w:tr>
      <w:tr>
        <w:trPr>
          <w:trHeight w:val="210"/>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21,373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(70,000)</w:t>
            </w:r>
          </w:p>
        </w:tc>
      </w:tr>
      <w:tr>
        <w:trPr>
          <w:trHeight w:val="217"/>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Less: Net income (loss) attributable to non-controlling interests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4,034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(34,156)</w:t>
            </w:r>
          </w:p>
        </w:tc>
      </w:tr>
      <w:tr>
        <w:trPr>
          <w:trHeight w:val="216"/>
        </w:trPr>
        <w:tc>
          <w:tcPr>
            <w:tcW w:w="87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17,339</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(35,844)</w:t>
            </w:r>
          </w:p>
        </w:tc>
      </w:tr>
      <w:tr>
        <w:trPr>
          <w:trHeight w:val="216"/>
        </w:trPr>
        <w:tc>
          <w:tcPr>
            <w:tcW w:w="87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per share attributable to Class A common shareholders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87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0.28</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(0.73)</w:t>
            </w:r>
          </w:p>
        </w:tc>
      </w:tr>
      <w:tr>
        <w:trPr>
          <w:trHeight w:val="215"/>
        </w:trPr>
        <w:tc>
          <w:tcPr>
            <w:tcW w:w="87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0.24</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(0.91)</w:t>
            </w:r>
          </w:p>
        </w:tc>
      </w:tr>
      <w:tr>
        <w:trPr>
          <w:trHeight w:val="218"/>
        </w:trPr>
        <w:tc>
          <w:tcPr>
            <w:tcW w:w="87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Weighted-average shares of Class A common stock outstanding</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87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62,138,123</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49,200,283</w:t>
            </w:r>
          </w:p>
        </w:tc>
      </w:tr>
      <w:tr>
        <w:trPr>
          <w:trHeight w:val="217"/>
        </w:trPr>
        <w:tc>
          <w:tcPr>
            <w:tcW w:w="87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75,839,577</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90,519,358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2" w:right="339" w:bottom="1440" w:gutter="0" w:footer="0" w:header="0"/>
        </w:sectPr>
      </w:pPr>
    </w:p>
    <w:bookmarkStart w:id="10" w:name="page11"/>
    <w:bookmarkEnd w:id="10"/>
    <w:p>
      <w:pPr>
        <w:jc w:val="center"/>
        <w:ind w:right="-1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503C64"/>
        </w:rPr>
        <w:t>Three Months Ended</w:t>
      </w:r>
    </w:p>
    <w:p>
      <w:pPr>
        <w:spacing w:after="0" w:line="21"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503C64"/>
        </w:rPr>
        <w:t>March 31,</w:t>
      </w:r>
    </w:p>
    <w:p>
      <w:pPr>
        <w:spacing w:after="0" w:line="24" w:lineRule="exact"/>
        <w:rPr>
          <w:sz w:val="20"/>
          <w:szCs w:val="20"/>
          <w:color w:val="auto"/>
        </w:rPr>
      </w:pPr>
    </w:p>
    <w:tbl>
      <w:tblPr>
        <w:tblLayout w:type="fixed"/>
        <w:tblInd w:w="352" w:type="dxa"/>
        <w:tblCellMar>
          <w:top w:w="0" w:type="dxa"/>
          <w:left w:w="0" w:type="dxa"/>
          <w:bottom w:w="0" w:type="dxa"/>
          <w:right w:w="0" w:type="dxa"/>
        </w:tblCellMar>
      </w:tblPr>
      <w:tr>
        <w:trPr>
          <w:trHeight w:val="215"/>
        </w:trPr>
        <w:tc>
          <w:tcPr>
            <w:tcW w:w="8140" w:type="dxa"/>
            <w:vAlign w:val="bottom"/>
            <w:tcBorders>
              <w:bottom w:val="single" w:sz="8" w:color="B6B6B6"/>
            </w:tcBorders>
          </w:tcPr>
          <w:p>
            <w:pPr>
              <w:spacing w:after="0"/>
              <w:rPr>
                <w:sz w:val="18"/>
                <w:szCs w:val="18"/>
                <w:color w:val="auto"/>
              </w:rPr>
            </w:pPr>
          </w:p>
        </w:tc>
        <w:tc>
          <w:tcPr>
            <w:tcW w:w="260" w:type="dxa"/>
            <w:vAlign w:val="bottom"/>
            <w:tcBorders>
              <w:top w:val="single" w:sz="8" w:color="B6B6B6"/>
              <w:bottom w:val="single" w:sz="8" w:color="B6B6B6"/>
            </w:tcBorders>
          </w:tcPr>
          <w:p>
            <w:pPr>
              <w:spacing w:after="0"/>
              <w:rPr>
                <w:sz w:val="18"/>
                <w:szCs w:val="18"/>
                <w:color w:val="auto"/>
              </w:rPr>
            </w:pPr>
          </w:p>
        </w:tc>
        <w:tc>
          <w:tcPr>
            <w:tcW w:w="920" w:type="dxa"/>
            <w:vAlign w:val="bottom"/>
            <w:tcBorders>
              <w:top w:val="single" w:sz="8" w:color="B6B6B6"/>
              <w:bottom w:val="single" w:sz="8" w:color="B6B6B6"/>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B6B6B6"/>
              <w:bottom w:val="single" w:sz="8" w:color="B6B6B6"/>
            </w:tcBorders>
          </w:tcPr>
          <w:p>
            <w:pPr>
              <w:spacing w:after="0"/>
              <w:rPr>
                <w:sz w:val="18"/>
                <w:szCs w:val="18"/>
                <w:color w:val="auto"/>
              </w:rPr>
            </w:pPr>
          </w:p>
        </w:tc>
        <w:tc>
          <w:tcPr>
            <w:tcW w:w="880" w:type="dxa"/>
            <w:vAlign w:val="bottom"/>
            <w:tcBorders>
              <w:top w:val="single" w:sz="8" w:color="B6B6B6"/>
              <w:bottom w:val="single" w:sz="8" w:color="B6B6B6"/>
            </w:tcBorders>
          </w:tcPr>
          <w:p>
            <w:pPr>
              <w:jc w:val="right"/>
              <w:ind w:right="328"/>
              <w:spacing w:after="0"/>
              <w:rPr>
                <w:sz w:val="20"/>
                <w:szCs w:val="20"/>
                <w:color w:val="auto"/>
              </w:rPr>
            </w:pPr>
            <w:r>
              <w:rPr>
                <w:rFonts w:ascii="Arial" w:cs="Arial" w:eastAsia="Arial" w:hAnsi="Arial"/>
                <w:sz w:val="14"/>
                <w:szCs w:val="14"/>
                <w:b w:val="1"/>
                <w:bCs w:val="1"/>
                <w:color w:val="auto"/>
              </w:rPr>
              <w:t>2024</w:t>
            </w:r>
          </w:p>
        </w:tc>
      </w:tr>
      <w:tr>
        <w:trPr>
          <w:trHeight w:val="195"/>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149,244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115,397</w:t>
            </w:r>
          </w:p>
        </w:tc>
      </w:tr>
      <w:tr>
        <w:trPr>
          <w:trHeight w:val="206"/>
        </w:trPr>
        <w:tc>
          <w:tcPr>
            <w:tcW w:w="814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(13,675)</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(7,318)</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(12,350)</w:t>
            </w:r>
          </w:p>
        </w:tc>
      </w:tr>
      <w:tr>
        <w:trPr>
          <w:trHeight w:val="201"/>
        </w:trPr>
        <w:tc>
          <w:tcPr>
            <w:tcW w:w="814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(3,249)</w:t>
            </w:r>
          </w:p>
        </w:tc>
      </w:tr>
      <w:tr>
        <w:trPr>
          <w:trHeight w:val="196"/>
        </w:trPr>
        <w:tc>
          <w:tcPr>
            <w:tcW w:w="814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total compensation and benefits</w:t>
            </w: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141,926</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86,123</w:t>
            </w:r>
          </w:p>
        </w:tc>
      </w:tr>
      <w:tr>
        <w:trPr>
          <w:trHeight w:val="254"/>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50,919</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40,293</w:t>
            </w:r>
          </w:p>
        </w:tc>
      </w:tr>
      <w:tr>
        <w:trPr>
          <w:trHeight w:val="206"/>
        </w:trPr>
        <w:tc>
          <w:tcPr>
            <w:tcW w:w="8140" w:type="dxa"/>
            <w:vAlign w:val="bottom"/>
          </w:tcPr>
          <w:p>
            <w:pPr>
              <w:ind w:left="20"/>
              <w:spacing w:after="0"/>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(1,645)</w:t>
            </w:r>
          </w:p>
        </w:tc>
      </w:tr>
      <w:tr>
        <w:trPr>
          <w:trHeight w:val="201"/>
        </w:trPr>
        <w:tc>
          <w:tcPr>
            <w:tcW w:w="8140" w:type="dxa"/>
            <w:vAlign w:val="bottom"/>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(1,622)</w:t>
            </w:r>
          </w:p>
        </w:tc>
      </w:tr>
      <w:tr>
        <w:trPr>
          <w:trHeight w:val="203"/>
        </w:trPr>
        <w:tc>
          <w:tcPr>
            <w:tcW w:w="8140" w:type="dxa"/>
            <w:vAlign w:val="bottom"/>
            <w:shd w:val="clear" w:color="auto" w:fill="E3E1E9"/>
          </w:tcPr>
          <w:p>
            <w:pPr>
              <w:ind w:left="20"/>
              <w:spacing w:after="0" w:line="202" w:lineRule="exact"/>
              <w:rPr>
                <w:sz w:val="20"/>
                <w:szCs w:val="20"/>
                <w:color w:val="auto"/>
              </w:rPr>
            </w:pPr>
            <w:r>
              <w:rPr>
                <w:rFonts w:ascii="Arial" w:cs="Arial" w:eastAsia="Arial" w:hAnsi="Arial"/>
                <w:sz w:val="14"/>
                <w:szCs w:val="14"/>
                <w:color w:val="auto"/>
              </w:rPr>
              <w:t>Adjusted non-compensation expense</w:t>
            </w:r>
            <w:r>
              <w:rPr>
                <w:rFonts w:ascii="Arial" w:cs="Arial" w:eastAsia="Arial" w:hAnsi="Arial"/>
                <w:sz w:val="18"/>
                <w:szCs w:val="18"/>
                <w:color w:val="auto"/>
                <w:vertAlign w:val="superscript"/>
              </w:rPr>
              <w:t>(6)</w:t>
            </w: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49,274</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37,026</w:t>
            </w:r>
          </w:p>
        </w:tc>
      </w:tr>
      <w:tr>
        <w:trPr>
          <w:trHeight w:val="254"/>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11,668</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(53,563)</w:t>
            </w:r>
          </w:p>
        </w:tc>
      </w:tr>
      <w:tr>
        <w:trPr>
          <w:trHeight w:val="206"/>
        </w:trPr>
        <w:tc>
          <w:tcPr>
            <w:tcW w:w="814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13,675</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7,318</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12,350</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3,249</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1,645</w:t>
            </w:r>
          </w:p>
        </w:tc>
      </w:tr>
      <w:tr>
        <w:trPr>
          <w:trHeight w:val="201"/>
        </w:trPr>
        <w:tc>
          <w:tcPr>
            <w:tcW w:w="8140" w:type="dxa"/>
            <w:vAlign w:val="bottom"/>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1,622</w:t>
            </w:r>
          </w:p>
        </w:tc>
      </w:tr>
      <w:tr>
        <w:trPr>
          <w:trHeight w:val="203"/>
        </w:trPr>
        <w:tc>
          <w:tcPr>
            <w:tcW w:w="814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operating income (loss)</w:t>
            </w: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20,631</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(21,022)</w:t>
            </w:r>
          </w:p>
        </w:tc>
      </w:tr>
      <w:tr>
        <w:trPr>
          <w:trHeight w:val="254"/>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11,899</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(50,906)</w:t>
            </w:r>
          </w:p>
        </w:tc>
      </w:tr>
      <w:tr>
        <w:trPr>
          <w:trHeight w:val="206"/>
        </w:trPr>
        <w:tc>
          <w:tcPr>
            <w:tcW w:w="814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13,675</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7,318</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12,350</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3,249</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1,645</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1,622</w:t>
            </w:r>
          </w:p>
        </w:tc>
      </w:tr>
      <w:tr>
        <w:trPr>
          <w:trHeight w:val="201"/>
        </w:trPr>
        <w:tc>
          <w:tcPr>
            <w:tcW w:w="814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16</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814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(loss) before income taxes</w:t>
            </w: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20,878</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(18,328)</w:t>
            </w:r>
          </w:p>
        </w:tc>
      </w:tr>
      <w:tr>
        <w:trPr>
          <w:trHeight w:val="255"/>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Income tax expense (benefit)—GAAP</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(9,474)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19,094</w:t>
            </w:r>
          </w:p>
        </w:tc>
      </w:tr>
      <w:tr>
        <w:trPr>
          <w:trHeight w:val="205"/>
        </w:trPr>
        <w:tc>
          <w:tcPr>
            <w:tcW w:w="8140" w:type="dxa"/>
            <w:vAlign w:val="bottom"/>
            <w:tcBorders>
              <w:bottom w:val="single" w:sz="8" w:color="B6B6B6"/>
            </w:tcBorders>
          </w:tcPr>
          <w:p>
            <w:pPr>
              <w:ind w:left="20"/>
              <w:spacing w:after="0" w:line="205"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3,815</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(24,327)</w:t>
            </w:r>
          </w:p>
        </w:tc>
      </w:tr>
      <w:tr>
        <w:trPr>
          <w:trHeight w:val="196"/>
        </w:trPr>
        <w:tc>
          <w:tcPr>
            <w:tcW w:w="814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tax expense (benefit)</w:t>
            </w: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(5,659)</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(5,233)</w:t>
            </w:r>
          </w:p>
        </w:tc>
      </w:tr>
      <w:tr>
        <w:trPr>
          <w:trHeight w:val="255"/>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Net income (loss)—GAAP</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21,373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(70,000)</w:t>
            </w:r>
          </w:p>
        </w:tc>
      </w:tr>
      <w:tr>
        <w:trPr>
          <w:trHeight w:val="206"/>
        </w:trPr>
        <w:tc>
          <w:tcPr>
            <w:tcW w:w="814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13,675</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7,318</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12,350</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3,249</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1,645</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1,622</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1"/>
        </w:trPr>
        <w:tc>
          <w:tcPr>
            <w:tcW w:w="814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(3,815)</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24,327</w:t>
            </w:r>
          </w:p>
        </w:tc>
      </w:tr>
      <w:tr>
        <w:trPr>
          <w:trHeight w:val="196"/>
        </w:trPr>
        <w:tc>
          <w:tcPr>
            <w:tcW w:w="814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w:t>
            </w: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26,537</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(13,095)</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8" w:firstLine="8"/>
        <w:spacing w:after="0" w:line="259" w:lineRule="auto"/>
        <w:tabs>
          <w:tab w:leader="none" w:pos="88"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32"/>
          </w:cols>
          <w:pgMar w:left="328" w:top="14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p>
      <w:pPr>
        <w:jc w:val="center"/>
        <w:ind w:left="7880"/>
        <w:spacing w:after="0"/>
        <w:rPr>
          <w:sz w:val="20"/>
          <w:szCs w:val="20"/>
          <w:color w:val="auto"/>
        </w:rPr>
      </w:pPr>
      <w:r>
        <w:rPr>
          <w:rFonts w:ascii="Arial" w:cs="Arial" w:eastAsia="Arial" w:hAnsi="Arial"/>
          <w:sz w:val="16"/>
          <w:szCs w:val="16"/>
          <w:b w:val="1"/>
          <w:bCs w:val="1"/>
          <w:color w:val="503C64"/>
        </w:rPr>
        <w:t>Three Months Ended</w:t>
      </w:r>
    </w:p>
    <w:p>
      <w:pPr>
        <w:spacing w:after="0" w:line="21" w:lineRule="exact"/>
        <w:rPr>
          <w:sz w:val="20"/>
          <w:szCs w:val="20"/>
          <w:color w:val="auto"/>
        </w:rPr>
      </w:pPr>
    </w:p>
    <w:p>
      <w:pPr>
        <w:jc w:val="center"/>
        <w:ind w:left="7880"/>
        <w:spacing w:after="0"/>
        <w:rPr>
          <w:sz w:val="20"/>
          <w:szCs w:val="20"/>
          <w:color w:val="auto"/>
        </w:rPr>
      </w:pPr>
      <w:r>
        <w:rPr>
          <w:rFonts w:ascii="Arial" w:cs="Arial" w:eastAsia="Arial" w:hAnsi="Arial"/>
          <w:sz w:val="16"/>
          <w:szCs w:val="16"/>
          <w:b w:val="1"/>
          <w:bCs w:val="1"/>
          <w:color w:val="503C64"/>
        </w:rPr>
        <w:t>March 31,</w:t>
      </w:r>
    </w:p>
    <w:p>
      <w:pPr>
        <w:spacing w:after="0" w:line="24"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7900" w:type="dxa"/>
            <w:vAlign w:val="bottom"/>
            <w:tcBorders>
              <w:bottom w:val="single" w:sz="8" w:color="B6B6B6"/>
            </w:tcBorders>
          </w:tcPr>
          <w:p>
            <w:pPr>
              <w:spacing w:after="0"/>
              <w:rPr>
                <w:sz w:val="18"/>
                <w:szCs w:val="18"/>
                <w:color w:val="auto"/>
              </w:rPr>
            </w:pPr>
          </w:p>
        </w:tc>
        <w:tc>
          <w:tcPr>
            <w:tcW w:w="180" w:type="dxa"/>
            <w:vAlign w:val="bottom"/>
            <w:tcBorders>
              <w:top w:val="single" w:sz="8" w:color="B6B6B6"/>
              <w:bottom w:val="single" w:sz="8" w:color="B6B6B6"/>
            </w:tcBorders>
          </w:tcPr>
          <w:p>
            <w:pPr>
              <w:spacing w:after="0"/>
              <w:rPr>
                <w:sz w:val="18"/>
                <w:szCs w:val="18"/>
                <w:color w:val="auto"/>
              </w:rPr>
            </w:pPr>
          </w:p>
        </w:tc>
        <w:tc>
          <w:tcPr>
            <w:tcW w:w="1060" w:type="dxa"/>
            <w:vAlign w:val="bottom"/>
            <w:tcBorders>
              <w:top w:val="single" w:sz="8" w:color="B6B6B6"/>
              <w:bottom w:val="single" w:sz="8" w:color="B6B6B6"/>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B6B6B6"/>
              <w:bottom w:val="single" w:sz="8" w:color="B6B6B6"/>
            </w:tcBorders>
          </w:tcPr>
          <w:p>
            <w:pPr>
              <w:spacing w:after="0"/>
              <w:rPr>
                <w:sz w:val="18"/>
                <w:szCs w:val="18"/>
                <w:color w:val="auto"/>
              </w:rPr>
            </w:pPr>
          </w:p>
        </w:tc>
        <w:tc>
          <w:tcPr>
            <w:tcW w:w="1040" w:type="dxa"/>
            <w:vAlign w:val="bottom"/>
            <w:tcBorders>
              <w:top w:val="single" w:sz="8" w:color="B6B6B6"/>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2024</w:t>
            </w:r>
          </w:p>
        </w:tc>
      </w:tr>
      <w:tr>
        <w:trPr>
          <w:trHeight w:val="197"/>
        </w:trPr>
        <w:tc>
          <w:tcPr>
            <w:tcW w:w="79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w:t>
            </w: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26,537</w:t>
            </w:r>
          </w:p>
        </w:tc>
        <w:tc>
          <w:tcPr>
            <w:tcW w:w="3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(13,095)</w:t>
            </w:r>
          </w:p>
        </w:tc>
      </w:tr>
      <w:tr>
        <w:trPr>
          <w:trHeight w:val="194"/>
        </w:trPr>
        <w:tc>
          <w:tcPr>
            <w:tcW w:w="7900" w:type="dxa"/>
            <w:vAlign w:val="bottom"/>
          </w:tcPr>
          <w:p>
            <w:pPr>
              <w:ind w:left="20"/>
              <w:spacing w:after="0"/>
              <w:rPr>
                <w:sz w:val="20"/>
                <w:szCs w:val="20"/>
                <w:color w:val="auto"/>
              </w:rPr>
            </w:pPr>
            <w:r>
              <w:rPr>
                <w:rFonts w:ascii="Arial" w:cs="Arial" w:eastAsia="Arial" w:hAnsi="Arial"/>
                <w:sz w:val="14"/>
                <w:szCs w:val="14"/>
                <w:color w:val="auto"/>
              </w:rPr>
              <w:t>Less: Adjusted income tax expense (benefit)</w:t>
            </w:r>
          </w:p>
        </w:tc>
        <w:tc>
          <w:tcPr>
            <w:tcW w:w="18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5,659</w:t>
            </w:r>
          </w:p>
        </w:tc>
        <w:tc>
          <w:tcPr>
            <w:tcW w:w="3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5,233</w:t>
            </w:r>
          </w:p>
        </w:tc>
      </w:tr>
      <w:tr>
        <w:trPr>
          <w:trHeight w:val="211"/>
        </w:trPr>
        <w:tc>
          <w:tcPr>
            <w:tcW w:w="790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Add: If-converted income tax expense (benefit)</w:t>
            </w:r>
            <w:r>
              <w:rPr>
                <w:rFonts w:ascii="Arial" w:cs="Arial" w:eastAsia="Arial" w:hAnsi="Arial"/>
                <w:sz w:val="18"/>
                <w:szCs w:val="18"/>
                <w:color w:val="auto"/>
                <w:vertAlign w:val="superscript"/>
              </w:rPr>
              <w:t>(9)</w:t>
            </w:r>
          </w:p>
        </w:tc>
        <w:tc>
          <w:tcPr>
            <w:tcW w:w="180" w:type="dxa"/>
            <w:vAlign w:val="bottom"/>
            <w:tcBorders>
              <w:bottom w:val="single" w:sz="8" w:color="B6B6B6"/>
            </w:tcBorders>
          </w:tcPr>
          <w:p>
            <w:pPr>
              <w:spacing w:after="0"/>
              <w:rPr>
                <w:sz w:val="18"/>
                <w:szCs w:val="18"/>
                <w:color w:val="auto"/>
              </w:rPr>
            </w:pPr>
          </w:p>
        </w:tc>
        <w:tc>
          <w:tcPr>
            <w:tcW w:w="1060" w:type="dxa"/>
            <w:vAlign w:val="bottom"/>
            <w:tcBorders>
              <w:bottom w:val="single" w:sz="8" w:color="B6B6B6"/>
            </w:tcBorders>
          </w:tcPr>
          <w:p>
            <w:pPr>
              <w:jc w:val="right"/>
              <w:ind w:right="48"/>
              <w:spacing w:after="0"/>
              <w:rPr>
                <w:sz w:val="20"/>
                <w:szCs w:val="20"/>
                <w:color w:val="auto"/>
              </w:rPr>
            </w:pPr>
            <w:r>
              <w:rPr>
                <w:rFonts w:ascii="Arial" w:cs="Arial" w:eastAsia="Arial" w:hAnsi="Arial"/>
                <w:sz w:val="14"/>
                <w:szCs w:val="14"/>
                <w:color w:val="auto"/>
              </w:rPr>
              <w:t>(8,382)</w:t>
            </w:r>
          </w:p>
        </w:tc>
        <w:tc>
          <w:tcPr>
            <w:tcW w:w="340" w:type="dxa"/>
            <w:vAlign w:val="bottom"/>
            <w:tcBorders>
              <w:bottom w:val="single" w:sz="8" w:color="B6B6B6"/>
            </w:tcBorders>
          </w:tcPr>
          <w:p>
            <w:pPr>
              <w:spacing w:after="0"/>
              <w:rPr>
                <w:sz w:val="18"/>
                <w:szCs w:val="18"/>
                <w:color w:val="auto"/>
              </w:rPr>
            </w:pPr>
          </w:p>
        </w:tc>
        <w:tc>
          <w:tcPr>
            <w:tcW w:w="104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(8,879)</w:t>
            </w:r>
          </w:p>
        </w:tc>
      </w:tr>
      <w:tr>
        <w:trPr>
          <w:trHeight w:val="196"/>
        </w:trPr>
        <w:tc>
          <w:tcPr>
            <w:tcW w:w="79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if-converted net income (loss)</w:t>
            </w: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29,260</w:t>
            </w:r>
          </w:p>
        </w:tc>
        <w:tc>
          <w:tcPr>
            <w:tcW w:w="3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(9,449)</w:t>
            </w:r>
          </w:p>
        </w:tc>
      </w:tr>
      <w:tr>
        <w:trPr>
          <w:trHeight w:val="356"/>
        </w:trPr>
        <w:tc>
          <w:tcPr>
            <w:tcW w:w="7900" w:type="dxa"/>
            <w:vAlign w:val="bottom"/>
          </w:tcPr>
          <w:p>
            <w:pPr>
              <w:ind w:left="20"/>
              <w:spacing w:after="0"/>
              <w:rPr>
                <w:sz w:val="20"/>
                <w:szCs w:val="20"/>
                <w:color w:val="auto"/>
              </w:rPr>
            </w:pPr>
            <w:r>
              <w:rPr>
                <w:rFonts w:ascii="Arial" w:cs="Arial" w:eastAsia="Arial" w:hAnsi="Arial"/>
                <w:sz w:val="14"/>
                <w:szCs w:val="14"/>
                <w:color w:val="auto"/>
              </w:rPr>
              <w:t>Weighted-average diluted shares of Class A common stock outstanding</w:t>
            </w:r>
          </w:p>
        </w:tc>
        <w:tc>
          <w:tcPr>
            <w:tcW w:w="18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75,839,577</w:t>
            </w:r>
          </w:p>
        </w:tc>
        <w:tc>
          <w:tcPr>
            <w:tcW w:w="34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90,519,358</w:t>
            </w:r>
          </w:p>
        </w:tc>
      </w:tr>
      <w:tr>
        <w:trPr>
          <w:trHeight w:val="211"/>
        </w:trPr>
        <w:tc>
          <w:tcPr>
            <w:tcW w:w="790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Weighted average number of incremental shares from if-converted PWP OpCo units</w:t>
            </w:r>
            <w:r>
              <w:rPr>
                <w:rFonts w:ascii="Arial" w:cs="Arial" w:eastAsia="Arial" w:hAnsi="Arial"/>
                <w:sz w:val="18"/>
                <w:szCs w:val="18"/>
                <w:color w:val="auto"/>
                <w:vertAlign w:val="superscript"/>
              </w:rPr>
              <w:t>(10)</w:t>
            </w:r>
          </w:p>
        </w:tc>
        <w:tc>
          <w:tcPr>
            <w:tcW w:w="180" w:type="dxa"/>
            <w:vAlign w:val="bottom"/>
            <w:tcBorders>
              <w:bottom w:val="single" w:sz="8" w:color="B6B6B6"/>
            </w:tcBorders>
          </w:tcPr>
          <w:p>
            <w:pPr>
              <w:spacing w:after="0"/>
              <w:rPr>
                <w:sz w:val="18"/>
                <w:szCs w:val="18"/>
                <w:color w:val="auto"/>
              </w:rPr>
            </w:pPr>
          </w:p>
        </w:tc>
        <w:tc>
          <w:tcPr>
            <w:tcW w:w="1060" w:type="dxa"/>
            <w:vAlign w:val="bottom"/>
            <w:tcBorders>
              <w:bottom w:val="single" w:sz="8" w:color="B6B6B6"/>
            </w:tcBorders>
          </w:tcPr>
          <w:p>
            <w:pPr>
              <w:jc w:val="right"/>
              <w:ind w:right="88"/>
              <w:spacing w:after="0"/>
              <w:rPr>
                <w:sz w:val="20"/>
                <w:szCs w:val="20"/>
                <w:color w:val="auto"/>
              </w:rPr>
            </w:pPr>
            <w:r>
              <w:rPr>
                <w:rFonts w:ascii="Arial" w:cs="Arial" w:eastAsia="Arial" w:hAnsi="Arial"/>
                <w:sz w:val="14"/>
                <w:szCs w:val="14"/>
                <w:color w:val="auto"/>
              </w:rPr>
              <w:t>27,051,350</w:t>
            </w:r>
          </w:p>
        </w:tc>
        <w:tc>
          <w:tcPr>
            <w:tcW w:w="340" w:type="dxa"/>
            <w:vAlign w:val="bottom"/>
            <w:tcBorders>
              <w:bottom w:val="single" w:sz="8" w:color="B6B6B6"/>
            </w:tcBorders>
          </w:tcPr>
          <w:p>
            <w:pPr>
              <w:spacing w:after="0"/>
              <w:rPr>
                <w:sz w:val="18"/>
                <w:szCs w:val="18"/>
                <w:color w:val="auto"/>
              </w:rPr>
            </w:pPr>
          </w:p>
        </w:tc>
        <w:tc>
          <w:tcPr>
            <w:tcW w:w="104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7900" w:type="dxa"/>
            <w:vAlign w:val="bottom"/>
            <w:shd w:val="clear" w:color="auto" w:fill="E3E1E9"/>
          </w:tcPr>
          <w:p>
            <w:pPr>
              <w:ind w:left="20"/>
              <w:spacing w:after="0" w:line="196" w:lineRule="exact"/>
              <w:rPr>
                <w:sz w:val="20"/>
                <w:szCs w:val="20"/>
                <w:color w:val="auto"/>
              </w:rPr>
            </w:pPr>
            <w:r>
              <w:rPr>
                <w:rFonts w:ascii="Arial" w:cs="Arial" w:eastAsia="Arial" w:hAnsi="Arial"/>
                <w:sz w:val="14"/>
                <w:szCs w:val="14"/>
                <w:color w:val="auto"/>
              </w:rPr>
              <w:t>Weighted-average adjusted diluted shares of Class A common stock outstanding</w:t>
            </w:r>
            <w:r>
              <w:rPr>
                <w:rFonts w:ascii="Arial" w:cs="Arial" w:eastAsia="Arial" w:hAnsi="Arial"/>
                <w:sz w:val="18"/>
                <w:szCs w:val="18"/>
                <w:color w:val="auto"/>
                <w:vertAlign w:val="superscript"/>
              </w:rPr>
              <w:t>(11)</w:t>
            </w:r>
          </w:p>
        </w:tc>
        <w:tc>
          <w:tcPr>
            <w:tcW w:w="180" w:type="dxa"/>
            <w:vAlign w:val="bottom"/>
            <w:shd w:val="clear" w:color="auto" w:fill="E3E1E9"/>
          </w:tcPr>
          <w:p>
            <w:pPr>
              <w:spacing w:after="0"/>
              <w:rPr>
                <w:sz w:val="17"/>
                <w:szCs w:val="17"/>
                <w:color w:val="auto"/>
              </w:rPr>
            </w:pPr>
          </w:p>
        </w:tc>
        <w:tc>
          <w:tcPr>
            <w:tcW w:w="10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102,890,927</w:t>
            </w:r>
          </w:p>
        </w:tc>
        <w:tc>
          <w:tcPr>
            <w:tcW w:w="340" w:type="dxa"/>
            <w:vAlign w:val="bottom"/>
            <w:shd w:val="clear" w:color="auto" w:fill="E3E1E9"/>
          </w:tcPr>
          <w:p>
            <w:pPr>
              <w:spacing w:after="0"/>
              <w:rPr>
                <w:sz w:val="17"/>
                <w:szCs w:val="17"/>
                <w:color w:val="auto"/>
              </w:rPr>
            </w:pPr>
          </w:p>
        </w:tc>
        <w:tc>
          <w:tcPr>
            <w:tcW w:w="104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90,519,358</w:t>
            </w:r>
          </w:p>
        </w:tc>
      </w:tr>
      <w:tr>
        <w:trPr>
          <w:trHeight w:val="162"/>
        </w:trPr>
        <w:tc>
          <w:tcPr>
            <w:tcW w:w="7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3"/>
        </w:trPr>
        <w:tc>
          <w:tcPr>
            <w:tcW w:w="79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 per Class A share—diluted, if-converted</w:t>
            </w: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0.28</w:t>
            </w:r>
          </w:p>
        </w:tc>
        <w:tc>
          <w:tcPr>
            <w:tcW w:w="3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(0.10)</w:t>
            </w:r>
          </w:p>
        </w:tc>
      </w:tr>
    </w:tbl>
    <w:p>
      <w:pPr>
        <w:spacing w:after="0" w:line="162"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5660" w:type="dxa"/>
            <w:vAlign w:val="bottom"/>
          </w:tcPr>
          <w:p>
            <w:pPr>
              <w:spacing w:after="0"/>
              <w:rPr>
                <w:sz w:val="20"/>
                <w:szCs w:val="20"/>
                <w:color w:val="auto"/>
              </w:rPr>
            </w:pPr>
            <w:r>
              <w:rPr>
                <w:rFonts w:ascii="Arial" w:cs="Arial" w:eastAsia="Arial" w:hAnsi="Arial"/>
                <w:sz w:val="14"/>
                <w:szCs w:val="14"/>
                <w:b w:val="1"/>
                <w:bCs w:val="1"/>
                <w:color w:val="auto"/>
              </w:rPr>
              <w:t xml:space="preserve">Key metrics: </w:t>
            </w:r>
            <w:r>
              <w:rPr>
                <w:rFonts w:ascii="Arial" w:cs="Arial" w:eastAsia="Arial" w:hAnsi="Arial"/>
                <w:sz w:val="18"/>
                <w:szCs w:val="18"/>
                <w:b w:val="1"/>
                <w:bCs w:val="1"/>
                <w:color w:val="auto"/>
                <w:vertAlign w:val="superscript"/>
              </w:rPr>
              <w:t>(12)</w:t>
            </w: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0"/>
        </w:trPr>
        <w:tc>
          <w:tcPr>
            <w:tcW w:w="5660" w:type="dxa"/>
            <w:vAlign w:val="bottom"/>
          </w:tcPr>
          <w:p>
            <w:pPr>
              <w:spacing w:after="0"/>
              <w:rPr>
                <w:sz w:val="20"/>
                <w:szCs w:val="20"/>
                <w:color w:val="auto"/>
              </w:rPr>
            </w:pPr>
            <w:r>
              <w:rPr>
                <w:rFonts w:ascii="Arial" w:cs="Arial" w:eastAsia="Arial" w:hAnsi="Arial"/>
                <w:sz w:val="14"/>
                <w:szCs w:val="14"/>
                <w:color w:val="auto"/>
              </w:rPr>
              <w:t>GAAP operating income (loss) margin</w:t>
            </w:r>
          </w:p>
        </w:tc>
        <w:tc>
          <w:tcPr>
            <w:tcW w:w="3900" w:type="dxa"/>
            <w:vAlign w:val="bottom"/>
          </w:tcPr>
          <w:p>
            <w:pPr>
              <w:jc w:val="right"/>
              <w:ind w:right="368"/>
              <w:spacing w:after="0"/>
              <w:rPr>
                <w:sz w:val="20"/>
                <w:szCs w:val="20"/>
                <w:color w:val="auto"/>
              </w:rPr>
            </w:pPr>
            <w:r>
              <w:rPr>
                <w:rFonts w:ascii="Arial" w:cs="Arial" w:eastAsia="Arial" w:hAnsi="Arial"/>
                <w:sz w:val="14"/>
                <w:szCs w:val="14"/>
                <w:color w:val="auto"/>
              </w:rPr>
              <w:t>5.5 %</w:t>
            </w:r>
          </w:p>
        </w:tc>
        <w:tc>
          <w:tcPr>
            <w:tcW w:w="940" w:type="dxa"/>
            <w:vAlign w:val="bottom"/>
          </w:tcPr>
          <w:p>
            <w:pPr>
              <w:jc w:val="right"/>
              <w:spacing w:after="0"/>
              <w:rPr>
                <w:sz w:val="20"/>
                <w:szCs w:val="20"/>
                <w:color w:val="auto"/>
              </w:rPr>
            </w:pPr>
            <w:r>
              <w:rPr>
                <w:rFonts w:ascii="Arial" w:cs="Arial" w:eastAsia="Arial" w:hAnsi="Arial"/>
                <w:sz w:val="14"/>
                <w:szCs w:val="14"/>
                <w:color w:val="auto"/>
              </w:rPr>
              <w:t>(52.4)%</w:t>
            </w:r>
          </w:p>
        </w:tc>
      </w:tr>
      <w:tr>
        <w:trPr>
          <w:trHeight w:val="203"/>
        </w:trPr>
        <w:tc>
          <w:tcPr>
            <w:tcW w:w="5660" w:type="dxa"/>
            <w:vAlign w:val="bottom"/>
          </w:tcPr>
          <w:p>
            <w:pPr>
              <w:spacing w:after="0"/>
              <w:rPr>
                <w:sz w:val="20"/>
                <w:szCs w:val="20"/>
                <w:color w:val="auto"/>
              </w:rPr>
            </w:pPr>
            <w:r>
              <w:rPr>
                <w:rFonts w:ascii="Arial" w:cs="Arial" w:eastAsia="Arial" w:hAnsi="Arial"/>
                <w:sz w:val="14"/>
                <w:szCs w:val="14"/>
                <w:color w:val="auto"/>
              </w:rPr>
              <w:t>Adjusted operating income (loss) margin</w:t>
            </w:r>
          </w:p>
        </w:tc>
        <w:tc>
          <w:tcPr>
            <w:tcW w:w="3900" w:type="dxa"/>
            <w:vAlign w:val="bottom"/>
          </w:tcPr>
          <w:p>
            <w:pPr>
              <w:jc w:val="right"/>
              <w:ind w:right="368"/>
              <w:spacing w:after="0"/>
              <w:rPr>
                <w:sz w:val="20"/>
                <w:szCs w:val="20"/>
                <w:color w:val="auto"/>
              </w:rPr>
            </w:pPr>
            <w:r>
              <w:rPr>
                <w:rFonts w:ascii="Arial" w:cs="Arial" w:eastAsia="Arial" w:hAnsi="Arial"/>
                <w:sz w:val="14"/>
                <w:szCs w:val="14"/>
                <w:color w:val="auto"/>
              </w:rPr>
              <w:t>9.7 %</w:t>
            </w:r>
          </w:p>
        </w:tc>
        <w:tc>
          <w:tcPr>
            <w:tcW w:w="94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203"/>
        </w:trPr>
        <w:tc>
          <w:tcPr>
            <w:tcW w:w="5660" w:type="dxa"/>
            <w:vAlign w:val="bottom"/>
          </w:tcPr>
          <w:p>
            <w:pPr>
              <w:spacing w:after="0"/>
              <w:rPr>
                <w:sz w:val="20"/>
                <w:szCs w:val="20"/>
                <w:color w:val="auto"/>
              </w:rPr>
            </w:pPr>
            <w:r>
              <w:rPr>
                <w:rFonts w:ascii="Arial" w:cs="Arial" w:eastAsia="Arial" w:hAnsi="Arial"/>
                <w:sz w:val="14"/>
                <w:szCs w:val="14"/>
                <w:color w:val="auto"/>
              </w:rPr>
              <w:t>GAAP compensation ratio</w:t>
            </w:r>
          </w:p>
        </w:tc>
        <w:tc>
          <w:tcPr>
            <w:tcW w:w="3900" w:type="dxa"/>
            <w:vAlign w:val="bottom"/>
          </w:tcPr>
          <w:p>
            <w:pPr>
              <w:jc w:val="right"/>
              <w:ind w:right="368"/>
              <w:spacing w:after="0"/>
              <w:rPr>
                <w:sz w:val="20"/>
                <w:szCs w:val="20"/>
                <w:color w:val="auto"/>
              </w:rPr>
            </w:pPr>
            <w:r>
              <w:rPr>
                <w:rFonts w:ascii="Arial" w:cs="Arial" w:eastAsia="Arial" w:hAnsi="Arial"/>
                <w:sz w:val="14"/>
                <w:szCs w:val="14"/>
                <w:color w:val="auto"/>
              </w:rPr>
              <w:t>70 %</w:t>
            </w:r>
          </w:p>
        </w:tc>
        <w:tc>
          <w:tcPr>
            <w:tcW w:w="940" w:type="dxa"/>
            <w:vAlign w:val="bottom"/>
          </w:tcPr>
          <w:p>
            <w:pPr>
              <w:jc w:val="right"/>
              <w:spacing w:after="0"/>
              <w:rPr>
                <w:sz w:val="20"/>
                <w:szCs w:val="20"/>
                <w:color w:val="auto"/>
              </w:rPr>
            </w:pPr>
            <w:r>
              <w:rPr>
                <w:rFonts w:ascii="Arial" w:cs="Arial" w:eastAsia="Arial" w:hAnsi="Arial"/>
                <w:sz w:val="14"/>
                <w:szCs w:val="14"/>
                <w:color w:val="auto"/>
              </w:rPr>
              <w:t>113 %</w:t>
            </w:r>
          </w:p>
        </w:tc>
      </w:tr>
      <w:tr>
        <w:trPr>
          <w:trHeight w:val="203"/>
        </w:trPr>
        <w:tc>
          <w:tcPr>
            <w:tcW w:w="5660" w:type="dxa"/>
            <w:vAlign w:val="bottom"/>
          </w:tcPr>
          <w:p>
            <w:pPr>
              <w:spacing w:after="0"/>
              <w:rPr>
                <w:sz w:val="20"/>
                <w:szCs w:val="20"/>
                <w:color w:val="auto"/>
              </w:rPr>
            </w:pPr>
            <w:r>
              <w:rPr>
                <w:rFonts w:ascii="Arial" w:cs="Arial" w:eastAsia="Arial" w:hAnsi="Arial"/>
                <w:sz w:val="14"/>
                <w:szCs w:val="14"/>
                <w:color w:val="auto"/>
              </w:rPr>
              <w:t>Adjusted compensation ratio</w:t>
            </w:r>
          </w:p>
        </w:tc>
        <w:tc>
          <w:tcPr>
            <w:tcW w:w="3900" w:type="dxa"/>
            <w:vAlign w:val="bottom"/>
          </w:tcPr>
          <w:p>
            <w:pPr>
              <w:jc w:val="right"/>
              <w:ind w:right="368"/>
              <w:spacing w:after="0"/>
              <w:rPr>
                <w:sz w:val="20"/>
                <w:szCs w:val="20"/>
                <w:color w:val="auto"/>
              </w:rPr>
            </w:pPr>
            <w:r>
              <w:rPr>
                <w:rFonts w:ascii="Arial" w:cs="Arial" w:eastAsia="Arial" w:hAnsi="Arial"/>
                <w:sz w:val="14"/>
                <w:szCs w:val="14"/>
                <w:color w:val="auto"/>
              </w:rPr>
              <w:t>67 %</w:t>
            </w:r>
          </w:p>
        </w:tc>
        <w:tc>
          <w:tcPr>
            <w:tcW w:w="940" w:type="dxa"/>
            <w:vAlign w:val="bottom"/>
          </w:tcPr>
          <w:p>
            <w:pPr>
              <w:jc w:val="right"/>
              <w:spacing w:after="0"/>
              <w:rPr>
                <w:sz w:val="20"/>
                <w:szCs w:val="20"/>
                <w:color w:val="auto"/>
              </w:rPr>
            </w:pPr>
            <w:r>
              <w:rPr>
                <w:rFonts w:ascii="Arial" w:cs="Arial" w:eastAsia="Arial" w:hAnsi="Arial"/>
                <w:sz w:val="14"/>
                <w:szCs w:val="14"/>
                <w:color w:val="auto"/>
              </w:rPr>
              <w:t>84 %</w:t>
            </w:r>
          </w:p>
        </w:tc>
      </w:tr>
      <w:tr>
        <w:trPr>
          <w:trHeight w:val="203"/>
        </w:trPr>
        <w:tc>
          <w:tcPr>
            <w:tcW w:w="5660" w:type="dxa"/>
            <w:vAlign w:val="bottom"/>
          </w:tcPr>
          <w:p>
            <w:pPr>
              <w:spacing w:after="0"/>
              <w:rPr>
                <w:sz w:val="20"/>
                <w:szCs w:val="20"/>
                <w:color w:val="auto"/>
              </w:rPr>
            </w:pPr>
            <w:r>
              <w:rPr>
                <w:rFonts w:ascii="Arial" w:cs="Arial" w:eastAsia="Arial" w:hAnsi="Arial"/>
                <w:sz w:val="14"/>
                <w:szCs w:val="14"/>
                <w:color w:val="auto"/>
              </w:rPr>
              <w:t>GAAP effective tax rate</w:t>
            </w:r>
          </w:p>
        </w:tc>
        <w:tc>
          <w:tcPr>
            <w:tcW w:w="3900" w:type="dxa"/>
            <w:vAlign w:val="bottom"/>
          </w:tcPr>
          <w:p>
            <w:pPr>
              <w:jc w:val="right"/>
              <w:ind w:right="368"/>
              <w:spacing w:after="0"/>
              <w:rPr>
                <w:sz w:val="20"/>
                <w:szCs w:val="20"/>
                <w:color w:val="auto"/>
              </w:rPr>
            </w:pPr>
            <w:r>
              <w:rPr>
                <w:rFonts w:ascii="Arial" w:cs="Arial" w:eastAsia="Arial" w:hAnsi="Arial"/>
                <w:sz w:val="14"/>
                <w:szCs w:val="14"/>
                <w:color w:val="auto"/>
              </w:rPr>
              <w:t>(80)%</w:t>
            </w:r>
          </w:p>
        </w:tc>
        <w:tc>
          <w:tcPr>
            <w:tcW w:w="9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03"/>
        </w:trPr>
        <w:tc>
          <w:tcPr>
            <w:tcW w:w="5660" w:type="dxa"/>
            <w:vAlign w:val="bottom"/>
          </w:tcPr>
          <w:p>
            <w:pPr>
              <w:spacing w:after="0"/>
              <w:rPr>
                <w:sz w:val="20"/>
                <w:szCs w:val="20"/>
                <w:color w:val="auto"/>
              </w:rPr>
            </w:pPr>
            <w:r>
              <w:rPr>
                <w:rFonts w:ascii="Arial" w:cs="Arial" w:eastAsia="Arial" w:hAnsi="Arial"/>
                <w:sz w:val="14"/>
                <w:szCs w:val="14"/>
                <w:color w:val="auto"/>
              </w:rPr>
              <w:t>Adjusted if-converted effective tax rate</w:t>
            </w:r>
          </w:p>
        </w:tc>
        <w:tc>
          <w:tcPr>
            <w:tcW w:w="3900" w:type="dxa"/>
            <w:vAlign w:val="bottom"/>
          </w:tcPr>
          <w:p>
            <w:pPr>
              <w:jc w:val="right"/>
              <w:ind w:right="368"/>
              <w:spacing w:after="0"/>
              <w:rPr>
                <w:sz w:val="20"/>
                <w:szCs w:val="20"/>
                <w:color w:val="auto"/>
              </w:rPr>
            </w:pPr>
            <w:r>
              <w:rPr>
                <w:rFonts w:ascii="Arial" w:cs="Arial" w:eastAsia="Arial" w:hAnsi="Arial"/>
                <w:sz w:val="14"/>
                <w:szCs w:val="14"/>
                <w:color w:val="auto"/>
              </w:rPr>
              <w:t>(40)%</w:t>
            </w:r>
          </w:p>
        </w:tc>
        <w:tc>
          <w:tcPr>
            <w:tcW w:w="940" w:type="dxa"/>
            <w:vAlign w:val="bottom"/>
          </w:tcPr>
          <w:p>
            <w:pPr>
              <w:jc w:val="right"/>
              <w:spacing w:after="0"/>
              <w:rPr>
                <w:sz w:val="20"/>
                <w:szCs w:val="20"/>
                <w:color w:val="auto"/>
              </w:rPr>
            </w:pPr>
            <w:r>
              <w:rPr>
                <w:rFonts w:ascii="Arial" w:cs="Arial" w:eastAsia="Arial" w:hAnsi="Arial"/>
                <w:sz w:val="14"/>
                <w:szCs w:val="14"/>
                <w:color w:val="auto"/>
              </w:rPr>
              <w:t>48 %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GAAP Reconciliation of Adjusted Results:</w:t>
      </w:r>
    </w:p>
    <w:p>
      <w:pPr>
        <w:spacing w:after="0" w:line="285" w:lineRule="exact"/>
        <w:rPr>
          <w:sz w:val="20"/>
          <w:szCs w:val="20"/>
          <w:color w:val="auto"/>
        </w:rPr>
      </w:pPr>
    </w:p>
    <w:p>
      <w:pPr>
        <w:jc w:val="both"/>
        <w:ind w:left="500" w:hanging="492"/>
        <w:spacing w:after="0" w:line="320" w:lineRule="auto"/>
        <w:tabs>
          <w:tab w:leader="none" w:pos="495" w:val="left"/>
        </w:tabs>
        <w:numPr>
          <w:ilvl w:val="0"/>
          <w:numId w:val="14"/>
        </w:numPr>
        <w:rPr>
          <w:rFonts w:ascii="Arial" w:cs="Arial" w:eastAsia="Arial" w:hAnsi="Arial"/>
          <w:sz w:val="20"/>
          <w:szCs w:val="20"/>
          <w:color w:val="auto"/>
        </w:rPr>
      </w:pPr>
      <w:r>
        <w:rPr>
          <w:rFonts w:ascii="Arial" w:cs="Arial" w:eastAsia="Arial" w:hAnsi="Arial"/>
          <w:sz w:val="20"/>
          <w:szCs w:val="20"/>
          <w:color w:val="auto"/>
        </w:rPr>
        <w:t>Equity-based compensation not dilutive to investors in PWP or PWP OpCo includes the amortization of awards granted by PWP Professional Partners LP (the “Professional Partners Awards”), which were subject to the onetime accelerated vesting in the second quarter of 2024. The vesting of these awards did not economically dilute PWP shareholders’ interests relative to the interests of other investors in PWP OpCo.</w:t>
      </w:r>
    </w:p>
    <w:p>
      <w:pPr>
        <w:spacing w:after="0" w:line="109" w:lineRule="exact"/>
        <w:rPr>
          <w:rFonts w:ascii="Arial" w:cs="Arial" w:eastAsia="Arial" w:hAnsi="Arial"/>
          <w:sz w:val="20"/>
          <w:szCs w:val="20"/>
          <w:color w:val="auto"/>
        </w:rPr>
      </w:pPr>
    </w:p>
    <w:p>
      <w:pPr>
        <w:jc w:val="both"/>
        <w:ind w:left="500" w:hanging="492"/>
        <w:spacing w:after="0" w:line="318" w:lineRule="auto"/>
        <w:tabs>
          <w:tab w:leader="none" w:pos="495" w:val="left"/>
        </w:tabs>
        <w:numPr>
          <w:ilvl w:val="0"/>
          <w:numId w:val="14"/>
        </w:numPr>
        <w:rPr>
          <w:rFonts w:ascii="Arial" w:cs="Arial" w:eastAsia="Arial" w:hAnsi="Arial"/>
          <w:sz w:val="20"/>
          <w:szCs w:val="20"/>
          <w:color w:val="auto"/>
        </w:rPr>
      </w:pPr>
      <w:r>
        <w:rPr>
          <w:rFonts w:ascii="Arial" w:cs="Arial" w:eastAsia="Arial" w:hAnsi="Arial"/>
          <w:sz w:val="20"/>
          <w:szCs w:val="20"/>
          <w:color w:val="auto"/>
        </w:rPr>
        <w:t>Public company transaction related incentives includes equity-based compensation for transaction-related restricted stock units (“RSUs”) and performance restricted stock units (“PSUs”), which are directly related to milestone events that were part of the business combination that closed on June 24, 2021 (the “Business Combination”), as well as employment taxes for these RSUs and PSUs. These expenses were outside of PWP’s normal and recurring bonus and compensation processes.</w:t>
      </w:r>
    </w:p>
    <w:p>
      <w:pPr>
        <w:spacing w:after="0" w:line="200" w:lineRule="exact"/>
        <w:rPr>
          <w:sz w:val="20"/>
          <w:szCs w:val="20"/>
          <w:color w:val="auto"/>
        </w:rPr>
      </w:pPr>
    </w:p>
    <w:p>
      <w:pPr>
        <w:spacing w:after="0" w:line="314" w:lineRule="exact"/>
        <w:rPr>
          <w:sz w:val="20"/>
          <w:szCs w:val="20"/>
          <w:color w:val="auto"/>
        </w:rPr>
      </w:pPr>
    </w:p>
    <w:p>
      <w:pPr>
        <w:jc w:val="both"/>
        <w:ind w:firstLine="8"/>
        <w:spacing w:after="0" w:line="259" w:lineRule="auto"/>
        <w:tabs>
          <w:tab w:leader="none" w:pos="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2" w:right="339" w:bottom="1440" w:gutter="0" w:footer="0" w:header="0"/>
        </w:sectPr>
      </w:pPr>
    </w:p>
    <w:bookmarkStart w:id="12" w:name="page13"/>
    <w:bookmarkEnd w:id="12"/>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ind w:left="500" w:hanging="492"/>
        <w:spacing w:after="0" w:line="316"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During the second quarter of 2023, we began a review of the business, which resulted in headcount reductions in order to improve compensation alignment and to provide greater flexibility to advance strategic opportunities. Costs were incurred through the first quarter of 2024 and included separation and transition benefits and the accelerated amortization (net of forfeitures) of certain equity-based awards, including certain Professional Partners Awards and transaction-related RSUs and PSUs, which would have been adjusted through adjustments (1) and (2) above notwithstanding the business realignment.</w:t>
      </w:r>
    </w:p>
    <w:p>
      <w:pPr>
        <w:spacing w:after="0" w:line="113" w:lineRule="exact"/>
        <w:rPr>
          <w:rFonts w:ascii="Arial" w:cs="Arial" w:eastAsia="Arial" w:hAnsi="Arial"/>
          <w:sz w:val="20"/>
          <w:szCs w:val="20"/>
          <w:color w:val="auto"/>
        </w:rPr>
      </w:pPr>
    </w:p>
    <w:p>
      <w:pPr>
        <w:jc w:val="both"/>
        <w:ind w:left="500" w:right="100" w:hanging="492"/>
        <w:spacing w:after="0" w:line="326"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On November 30, 2016, we completed a business combination with Tudor, Pickering, Holt &amp; Co., LLC (TPH), an independent advisory firm focused on the energy industry. The adjustment reflects the amortization of intangible assets associated with the acquisition, and such assets will be fully amortized by November 30, 2026.</w:t>
      </w:r>
    </w:p>
    <w:p>
      <w:pPr>
        <w:spacing w:after="0" w:line="88" w:lineRule="exact"/>
        <w:rPr>
          <w:rFonts w:ascii="Arial" w:cs="Arial" w:eastAsia="Arial" w:hAnsi="Arial"/>
          <w:sz w:val="20"/>
          <w:szCs w:val="20"/>
          <w:color w:val="auto"/>
        </w:rPr>
      </w:pPr>
    </w:p>
    <w:p>
      <w:pPr>
        <w:jc w:val="both"/>
        <w:ind w:left="500" w:right="120" w:hanging="492"/>
        <w:spacing w:after="0" w:line="326"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Transaction costs that were expensed associated with the Business Combination, including (i) equity-based vesting for transaction-related RSUs issued to non-employees and (ii) costs incurred related to the partnership restructuring that was contemplated during the implementation of the up-C structure at the time of the Business Combination.</w:t>
      </w:r>
    </w:p>
    <w:p>
      <w:pPr>
        <w:spacing w:after="0" w:line="102" w:lineRule="exact"/>
        <w:rPr>
          <w:rFonts w:ascii="Arial" w:cs="Arial" w:eastAsia="Arial" w:hAnsi="Arial"/>
          <w:sz w:val="20"/>
          <w:szCs w:val="20"/>
          <w:color w:val="auto"/>
        </w:rPr>
      </w:pPr>
    </w:p>
    <w:p>
      <w:pPr>
        <w:ind w:left="500" w:hanging="492"/>
        <w:spacing w:after="0" w:line="342"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See reconciliation below for the components of the consolidated statements of operations included in non-compensation expense—GAAP as well as Adjusted non-compensation expense.</w:t>
      </w:r>
    </w:p>
    <w:p>
      <w:pPr>
        <w:spacing w:after="0" w:line="87" w:lineRule="exact"/>
        <w:rPr>
          <w:rFonts w:ascii="Arial" w:cs="Arial" w:eastAsia="Arial" w:hAnsi="Arial"/>
          <w:sz w:val="20"/>
          <w:szCs w:val="20"/>
          <w:color w:val="auto"/>
        </w:rPr>
      </w:pPr>
    </w:p>
    <w:p>
      <w:pPr>
        <w:ind w:left="500" w:hanging="492"/>
        <w:spacing w:after="0"/>
        <w:tabs>
          <w:tab w:leader="none" w:pos="5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Includes the amortization of debt discounts and issuance costs for all periods presented.</w:t>
      </w:r>
    </w:p>
    <w:p>
      <w:pPr>
        <w:spacing w:after="0" w:line="202" w:lineRule="exact"/>
        <w:rPr>
          <w:rFonts w:ascii="Arial" w:cs="Arial" w:eastAsia="Arial" w:hAnsi="Arial"/>
          <w:sz w:val="20"/>
          <w:szCs w:val="20"/>
          <w:color w:val="auto"/>
        </w:rPr>
      </w:pPr>
    </w:p>
    <w:p>
      <w:pPr>
        <w:jc w:val="both"/>
        <w:ind w:left="500" w:right="120" w:hanging="492"/>
        <w:spacing w:after="0" w:line="320"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adjusted income tax expense (benefit) represents the Company’s calculated tax expense (benefit) on adjusted non-GAAP results. It excludes the impact on income taxes of certain transaction-related items and other items not reflected in our adjusted non-GAAP results. It does not represent the cash that the Company expects to pay for taxes in the current periods.</w:t>
      </w:r>
    </w:p>
    <w:p>
      <w:pPr>
        <w:spacing w:after="0" w:line="109" w:lineRule="exact"/>
        <w:rPr>
          <w:rFonts w:ascii="Arial" w:cs="Arial" w:eastAsia="Arial" w:hAnsi="Arial"/>
          <w:sz w:val="20"/>
          <w:szCs w:val="20"/>
          <w:color w:val="auto"/>
        </w:rPr>
      </w:pPr>
    </w:p>
    <w:p>
      <w:pPr>
        <w:jc w:val="both"/>
        <w:ind w:left="500" w:hanging="492"/>
        <w:spacing w:after="0" w:line="326"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if-converted income tax expense (benefit) represents the Company's calculated tax expense (benefit) on adjusted non-GAAP results assuming the exchange of all PWP OpCo units for PWP Class A common stock, resulting in all of the Company’s results for the period being subject to corporate-level tax.</w:t>
      </w:r>
    </w:p>
    <w:p>
      <w:pPr>
        <w:spacing w:after="0" w:line="102" w:lineRule="exact"/>
        <w:rPr>
          <w:rFonts w:ascii="Arial" w:cs="Arial" w:eastAsia="Arial" w:hAnsi="Arial"/>
          <w:sz w:val="20"/>
          <w:szCs w:val="20"/>
          <w:color w:val="auto"/>
        </w:rPr>
      </w:pPr>
    </w:p>
    <w:p>
      <w:pPr>
        <w:ind w:left="500" w:hanging="492"/>
        <w:spacing w:after="0" w:line="342" w:lineRule="auto"/>
        <w:tabs>
          <w:tab w:leader="none" w:pos="497"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Represents the dilutive impact assuming the vesting and conversion of all PWP OpCo units to shares of Class A common stock.</w:t>
      </w:r>
    </w:p>
    <w:p>
      <w:pPr>
        <w:spacing w:after="0" w:line="73" w:lineRule="exact"/>
        <w:rPr>
          <w:rFonts w:ascii="Arial" w:cs="Arial" w:eastAsia="Arial" w:hAnsi="Arial"/>
          <w:sz w:val="20"/>
          <w:szCs w:val="20"/>
          <w:color w:val="auto"/>
        </w:rPr>
      </w:pPr>
    </w:p>
    <w:p>
      <w:pPr>
        <w:ind w:left="500" w:hanging="492"/>
        <w:spacing w:after="0" w:line="342" w:lineRule="auto"/>
        <w:tabs>
          <w:tab w:leader="none" w:pos="482" w:val="left"/>
        </w:tabs>
        <w:numPr>
          <w:ilvl w:val="0"/>
          <w:numId w:val="16"/>
        </w:numPr>
        <w:rPr>
          <w:rFonts w:ascii="Arial" w:cs="Arial" w:eastAsia="Arial" w:hAnsi="Arial"/>
          <w:sz w:val="20"/>
          <w:szCs w:val="20"/>
          <w:color w:val="auto"/>
        </w:rPr>
      </w:pPr>
      <w:r>
        <w:rPr>
          <w:rFonts w:ascii="Arial" w:cs="Arial" w:eastAsia="Arial" w:hAnsi="Arial"/>
          <w:sz w:val="20"/>
          <w:szCs w:val="20"/>
          <w:color w:val="auto"/>
        </w:rPr>
        <w:t>For the three months ended March 31, 2024, 5,278,079 shares from the assumed vesting of RSUs and PSUs were deemed antidilutive and excluded from the calculation.</w:t>
      </w:r>
    </w:p>
    <w:p>
      <w:pPr>
        <w:spacing w:after="0" w:line="87" w:lineRule="exact"/>
        <w:rPr>
          <w:rFonts w:ascii="Arial" w:cs="Arial" w:eastAsia="Arial" w:hAnsi="Arial"/>
          <w:sz w:val="20"/>
          <w:szCs w:val="20"/>
          <w:color w:val="auto"/>
        </w:rPr>
      </w:pPr>
    </w:p>
    <w:p>
      <w:pPr>
        <w:ind w:left="500" w:hanging="492"/>
        <w:spacing w:after="0"/>
        <w:tabs>
          <w:tab w:leader="none" w:pos="5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Reconciliations of key metrics from GAAP to Adjusted results are a derivative of the reconciliation of their components.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8"/>
        <w:spacing w:after="0" w:line="259" w:lineRule="auto"/>
        <w:tabs>
          <w:tab w:leader="none" w:pos="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jc w:val="center"/>
        <w:ind w:right="1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w:t>
      </w:r>
    </w:p>
    <w:p>
      <w:pPr>
        <w:spacing w:after="0" w:line="277"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3080" w:type="dxa"/>
            <w:vAlign w:val="bottom"/>
            <w:tcBorders>
              <w:bottom w:val="single" w:sz="8" w:color="B6B6B6"/>
            </w:tcBorders>
            <w:gridSpan w:val="4"/>
          </w:tcPr>
          <w:p>
            <w:pPr>
              <w:jc w:val="center"/>
              <w:ind w:left="168"/>
              <w:spacing w:after="0"/>
              <w:rPr>
                <w:sz w:val="20"/>
                <w:szCs w:val="20"/>
                <w:color w:val="auto"/>
              </w:rPr>
            </w:pPr>
            <w:r>
              <w:rPr>
                <w:rFonts w:ascii="Arial" w:cs="Arial" w:eastAsia="Arial" w:hAnsi="Arial"/>
                <w:sz w:val="14"/>
                <w:szCs w:val="14"/>
                <w:b w:val="1"/>
                <w:bCs w:val="1"/>
                <w:color w:val="503C64"/>
              </w:rPr>
              <w:t>Three Months Ended March 31, 2025</w:t>
            </w:r>
          </w:p>
        </w:tc>
        <w:tc>
          <w:tcPr>
            <w:tcW w:w="1280" w:type="dxa"/>
            <w:vAlign w:val="bottom"/>
            <w:tcBorders>
              <w:bottom w:val="single" w:sz="8" w:color="B6B6B6"/>
            </w:tcBorders>
          </w:tcPr>
          <w:p>
            <w:pPr>
              <w:spacing w:after="0"/>
              <w:rPr>
                <w:sz w:val="17"/>
                <w:szCs w:val="17"/>
                <w:color w:val="auto"/>
              </w:rPr>
            </w:pPr>
          </w:p>
        </w:tc>
      </w:tr>
      <w:tr>
        <w:trPr>
          <w:trHeight w:val="196"/>
        </w:trPr>
        <w:tc>
          <w:tcPr>
            <w:tcW w:w="498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66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08"/>
              <w:spacing w:after="0"/>
              <w:rPr>
                <w:sz w:val="20"/>
                <w:szCs w:val="20"/>
                <w:color w:val="auto"/>
              </w:rPr>
            </w:pPr>
            <w:r>
              <w:rPr>
                <w:rFonts w:ascii="Arial" w:cs="Arial" w:eastAsia="Arial" w:hAnsi="Arial"/>
                <w:sz w:val="14"/>
                <w:szCs w:val="14"/>
                <w:b w:val="1"/>
                <w:bCs w:val="1"/>
                <w:color w:val="503C64"/>
              </w:rPr>
              <w:t>Adjustments</w:t>
            </w:r>
          </w:p>
        </w:tc>
        <w:tc>
          <w:tcPr>
            <w:tcW w:w="380" w:type="dxa"/>
            <w:vAlign w:val="bottom"/>
            <w:tcBorders>
              <w:bottom w:val="single" w:sz="8" w:color="B6B6B6"/>
            </w:tcBorders>
          </w:tcPr>
          <w:p>
            <w:pPr>
              <w:spacing w:after="0"/>
              <w:rPr>
                <w:sz w:val="17"/>
                <w:szCs w:val="17"/>
                <w:color w:val="auto"/>
              </w:rPr>
            </w:pPr>
          </w:p>
        </w:tc>
        <w:tc>
          <w:tcPr>
            <w:tcW w:w="128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8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19,196</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19,196</w:t>
            </w:r>
          </w:p>
        </w:tc>
      </w:tr>
      <w:tr>
        <w:trPr>
          <w:trHeight w:val="203"/>
        </w:trPr>
        <w:tc>
          <w:tcPr>
            <w:tcW w:w="498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6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9,289</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9,289</w:t>
            </w:r>
          </w:p>
        </w:tc>
      </w:tr>
      <w:tr>
        <w:trPr>
          <w:trHeight w:val="203"/>
        </w:trPr>
        <w:tc>
          <w:tcPr>
            <w:tcW w:w="498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6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6,326</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6,326</w:t>
            </w:r>
          </w:p>
        </w:tc>
      </w:tr>
      <w:tr>
        <w:trPr>
          <w:trHeight w:val="203"/>
        </w:trPr>
        <w:tc>
          <w:tcPr>
            <w:tcW w:w="498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6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5,644</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5,644</w:t>
            </w:r>
          </w:p>
        </w:tc>
      </w:tr>
      <w:tr>
        <w:trPr>
          <w:trHeight w:val="203"/>
        </w:trPr>
        <w:tc>
          <w:tcPr>
            <w:tcW w:w="498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6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5,463</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5,463</w:t>
            </w:r>
          </w:p>
        </w:tc>
      </w:tr>
      <w:tr>
        <w:trPr>
          <w:trHeight w:val="207"/>
        </w:trPr>
        <w:tc>
          <w:tcPr>
            <w:tcW w:w="498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Borders>
              <w:bottom w:val="single" w:sz="8" w:color="B6B6B6"/>
            </w:tcBorders>
          </w:tcPr>
          <w:p>
            <w:pPr>
              <w:spacing w:after="0"/>
              <w:rPr>
                <w:sz w:val="17"/>
                <w:szCs w:val="17"/>
                <w:color w:val="auto"/>
              </w:rPr>
            </w:pPr>
          </w:p>
        </w:tc>
        <w:tc>
          <w:tcPr>
            <w:tcW w:w="66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5,001</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(1)</w:t>
            </w:r>
          </w:p>
        </w:tc>
        <w:tc>
          <w:tcPr>
            <w:tcW w:w="380" w:type="dxa"/>
            <w:vAlign w:val="bottom"/>
            <w:tcBorders>
              <w:bottom w:val="single" w:sz="8" w:color="B6B6B6"/>
            </w:tcBorders>
          </w:tcPr>
          <w:p>
            <w:pPr>
              <w:spacing w:after="0"/>
              <w:rPr>
                <w:sz w:val="17"/>
                <w:szCs w:val="17"/>
                <w:color w:val="auto"/>
              </w:rPr>
            </w:pPr>
          </w:p>
        </w:tc>
        <w:tc>
          <w:tcPr>
            <w:tcW w:w="12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3,356</w:t>
            </w:r>
          </w:p>
        </w:tc>
      </w:tr>
      <w:tr>
        <w:trPr>
          <w:trHeight w:val="198"/>
        </w:trPr>
        <w:tc>
          <w:tcPr>
            <w:tcW w:w="498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50,919</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(1,645)</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49,274</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100" w:type="dxa"/>
            <w:vAlign w:val="bottom"/>
            <w:tcBorders>
              <w:bottom w:val="single" w:sz="8" w:color="B6B6B6"/>
            </w:tcBorders>
            <w:gridSpan w:val="4"/>
          </w:tcPr>
          <w:p>
            <w:pPr>
              <w:jc w:val="center"/>
              <w:ind w:left="188"/>
              <w:spacing w:after="0"/>
              <w:rPr>
                <w:sz w:val="20"/>
                <w:szCs w:val="20"/>
                <w:color w:val="auto"/>
              </w:rPr>
            </w:pPr>
            <w:r>
              <w:rPr>
                <w:rFonts w:ascii="Arial" w:cs="Arial" w:eastAsia="Arial" w:hAnsi="Arial"/>
                <w:sz w:val="14"/>
                <w:szCs w:val="14"/>
                <w:b w:val="1"/>
                <w:bCs w:val="1"/>
                <w:color w:val="503C64"/>
              </w:rPr>
              <w:t>Three Months Ended March 31, 2024</w:t>
            </w:r>
          </w:p>
        </w:tc>
        <w:tc>
          <w:tcPr>
            <w:tcW w:w="1280" w:type="dxa"/>
            <w:vAlign w:val="bottom"/>
            <w:tcBorders>
              <w:bottom w:val="single" w:sz="8" w:color="B6B6B6"/>
            </w:tcBorders>
          </w:tcPr>
          <w:p>
            <w:pPr>
              <w:spacing w:after="0"/>
              <w:rPr>
                <w:sz w:val="17"/>
                <w:szCs w:val="17"/>
                <w:color w:val="auto"/>
              </w:rPr>
            </w:pPr>
          </w:p>
        </w:tc>
      </w:tr>
      <w:tr>
        <w:trPr>
          <w:trHeight w:val="196"/>
        </w:trPr>
        <w:tc>
          <w:tcPr>
            <w:tcW w:w="498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68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08"/>
              <w:spacing w:after="0"/>
              <w:rPr>
                <w:sz w:val="20"/>
                <w:szCs w:val="20"/>
                <w:color w:val="auto"/>
              </w:rPr>
            </w:pPr>
            <w:r>
              <w:rPr>
                <w:rFonts w:ascii="Arial" w:cs="Arial" w:eastAsia="Arial" w:hAnsi="Arial"/>
                <w:sz w:val="14"/>
                <w:szCs w:val="14"/>
                <w:b w:val="1"/>
                <w:bCs w:val="1"/>
                <w:color w:val="503C64"/>
              </w:rPr>
              <w:t>Adjustments</w:t>
            </w:r>
          </w:p>
        </w:tc>
        <w:tc>
          <w:tcPr>
            <w:tcW w:w="380" w:type="dxa"/>
            <w:vAlign w:val="bottom"/>
            <w:tcBorders>
              <w:bottom w:val="single" w:sz="8" w:color="B6B6B6"/>
            </w:tcBorders>
          </w:tcPr>
          <w:p>
            <w:pPr>
              <w:spacing w:after="0"/>
              <w:rPr>
                <w:sz w:val="17"/>
                <w:szCs w:val="17"/>
                <w:color w:val="auto"/>
              </w:rPr>
            </w:pPr>
          </w:p>
        </w:tc>
        <w:tc>
          <w:tcPr>
            <w:tcW w:w="128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8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11,060</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28"/>
              <w:spacing w:after="0"/>
              <w:rPr>
                <w:sz w:val="20"/>
                <w:szCs w:val="20"/>
                <w:color w:val="auto"/>
              </w:rPr>
            </w:pPr>
            <w:r>
              <w:rPr>
                <w:rFonts w:ascii="Arial" w:cs="Arial" w:eastAsia="Arial" w:hAnsi="Arial"/>
                <w:sz w:val="14"/>
                <w:szCs w:val="14"/>
                <w:color w:val="auto"/>
              </w:rPr>
              <w:t xml:space="preserve">(1,622) </w:t>
            </w:r>
            <w:r>
              <w:rPr>
                <w:rFonts w:ascii="Arial" w:cs="Arial" w:eastAsia="Arial" w:hAnsi="Arial"/>
                <w:sz w:val="12"/>
                <w:szCs w:val="12"/>
                <w:color w:val="auto"/>
              </w:rPr>
              <w:t>(2)</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9,438</w:t>
            </w:r>
          </w:p>
        </w:tc>
      </w:tr>
      <w:tr>
        <w:trPr>
          <w:trHeight w:val="203"/>
        </w:trPr>
        <w:tc>
          <w:tcPr>
            <w:tcW w:w="498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8,772</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8,772</w:t>
            </w:r>
          </w:p>
        </w:tc>
      </w:tr>
      <w:tr>
        <w:trPr>
          <w:trHeight w:val="203"/>
        </w:trPr>
        <w:tc>
          <w:tcPr>
            <w:tcW w:w="498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6,277</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6,277</w:t>
            </w:r>
          </w:p>
        </w:tc>
      </w:tr>
      <w:tr>
        <w:trPr>
          <w:trHeight w:val="203"/>
        </w:trPr>
        <w:tc>
          <w:tcPr>
            <w:tcW w:w="498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4,585</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4,585</w:t>
            </w:r>
          </w:p>
        </w:tc>
      </w:tr>
      <w:tr>
        <w:trPr>
          <w:trHeight w:val="203"/>
        </w:trPr>
        <w:tc>
          <w:tcPr>
            <w:tcW w:w="498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4,519</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4,519</w:t>
            </w:r>
          </w:p>
        </w:tc>
      </w:tr>
      <w:tr>
        <w:trPr>
          <w:trHeight w:val="207"/>
        </w:trPr>
        <w:tc>
          <w:tcPr>
            <w:tcW w:w="498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17"/>
                <w:szCs w:val="17"/>
                <w:color w:val="auto"/>
              </w:rPr>
            </w:pPr>
          </w:p>
        </w:tc>
        <w:tc>
          <w:tcPr>
            <w:tcW w:w="68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5,080</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(1)</w:t>
            </w:r>
          </w:p>
        </w:tc>
        <w:tc>
          <w:tcPr>
            <w:tcW w:w="380" w:type="dxa"/>
            <w:vAlign w:val="bottom"/>
            <w:tcBorders>
              <w:bottom w:val="single" w:sz="8" w:color="B6B6B6"/>
            </w:tcBorders>
          </w:tcPr>
          <w:p>
            <w:pPr>
              <w:spacing w:after="0"/>
              <w:rPr>
                <w:sz w:val="17"/>
                <w:szCs w:val="17"/>
                <w:color w:val="auto"/>
              </w:rPr>
            </w:pPr>
          </w:p>
        </w:tc>
        <w:tc>
          <w:tcPr>
            <w:tcW w:w="12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3,435</w:t>
            </w:r>
          </w:p>
        </w:tc>
      </w:tr>
      <w:tr>
        <w:trPr>
          <w:trHeight w:val="198"/>
        </w:trPr>
        <w:tc>
          <w:tcPr>
            <w:tcW w:w="498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40,293</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(3,267)</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37,026</w:t>
            </w:r>
          </w:p>
        </w:tc>
      </w:tr>
    </w:tbl>
    <w:p>
      <w:pPr>
        <w:spacing w:after="0" w:line="200" w:lineRule="exact"/>
        <w:rPr>
          <w:sz w:val="20"/>
          <w:szCs w:val="20"/>
          <w:color w:val="auto"/>
        </w:rPr>
      </w:pPr>
    </w:p>
    <w:p>
      <w:pPr>
        <w:spacing w:after="0" w:line="225" w:lineRule="exact"/>
        <w:rPr>
          <w:sz w:val="20"/>
          <w:szCs w:val="20"/>
          <w:color w:val="auto"/>
        </w:rPr>
      </w:pPr>
    </w:p>
    <w:p>
      <w:pPr>
        <w:ind w:left="880" w:hanging="382"/>
        <w:spacing w:after="0"/>
        <w:tabs>
          <w:tab w:leader="none" w:pos="880" w:val="left"/>
        </w:tabs>
        <w:numPr>
          <w:ilvl w:val="1"/>
          <w:numId w:val="18"/>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95" w:lineRule="exact"/>
        <w:rPr>
          <w:rFonts w:ascii="Arial" w:cs="Arial" w:eastAsia="Arial" w:hAnsi="Arial"/>
          <w:sz w:val="14"/>
          <w:szCs w:val="14"/>
          <w:color w:val="auto"/>
        </w:rPr>
      </w:pPr>
    </w:p>
    <w:p>
      <w:pPr>
        <w:ind w:left="880" w:hanging="382"/>
        <w:spacing w:after="0"/>
        <w:tabs>
          <w:tab w:leader="none" w:pos="880" w:val="left"/>
        </w:tabs>
        <w:numPr>
          <w:ilvl w:val="1"/>
          <w:numId w:val="18"/>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11" w:lineRule="exact"/>
        <w:rPr>
          <w:rFonts w:ascii="Arial" w:cs="Arial" w:eastAsia="Arial" w:hAnsi="Arial"/>
          <w:sz w:val="14"/>
          <w:szCs w:val="14"/>
          <w:color w:val="auto"/>
        </w:rPr>
      </w:pPr>
    </w:p>
    <w:p>
      <w:pPr>
        <w:jc w:val="both"/>
        <w:spacing w:after="0" w:line="259" w:lineRule="auto"/>
        <w:rPr>
          <w:rFonts w:ascii="Arial" w:cs="Arial" w:eastAsia="Arial" w:hAnsi="Arial"/>
          <w:sz w:val="14"/>
          <w:szCs w:val="14"/>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3"/>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2025-05-02T06:08:51Z</dcterms:created>
  <dcterms:modified xsi:type="dcterms:W3CDTF">2025-05-02T06:08:51Z</dcterms:modified>
</cp:coreProperties>
</file>