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March 11, 2022</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4"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POST-EFFECTIVE AMENDMENT NO. 1</w:t>
      </w:r>
    </w:p>
    <w:p>
      <w:pPr>
        <w:jc w:val="center"/>
        <w:spacing w:after="0" w:line="213" w:lineRule="auto"/>
        <w:rPr>
          <w:sz w:val="20"/>
          <w:szCs w:val="20"/>
          <w:color w:val="auto"/>
        </w:rPr>
      </w:pPr>
      <w:r>
        <w:rPr>
          <w:rFonts w:ascii="Arial" w:cs="Arial" w:eastAsia="Arial" w:hAnsi="Arial"/>
          <w:sz w:val="29"/>
          <w:szCs w:val="29"/>
          <w:b w:val="1"/>
          <w:bCs w:val="1"/>
          <w:color w:val="auto"/>
        </w:rPr>
        <w:t>TO</w:t>
      </w:r>
    </w:p>
    <w:p>
      <w:pPr>
        <w:jc w:val="center"/>
        <w:spacing w:after="0" w:line="214" w:lineRule="auto"/>
        <w:rPr>
          <w:sz w:val="20"/>
          <w:szCs w:val="20"/>
          <w:color w:val="auto"/>
        </w:rPr>
      </w:pPr>
      <w:r>
        <w:rPr>
          <w:rFonts w:ascii="Arial" w:cs="Arial" w:eastAsia="Arial" w:hAnsi="Arial"/>
          <w:sz w:val="29"/>
          <w:szCs w:val="29"/>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UNDER</w:t>
      </w:r>
    </w:p>
    <w:p>
      <w:pPr>
        <w:jc w:val="center"/>
        <w:spacing w:after="0"/>
        <w:rPr>
          <w:sz w:val="20"/>
          <w:szCs w:val="20"/>
          <w:color w:val="auto"/>
        </w:rPr>
      </w:pPr>
      <w:r>
        <w:rPr>
          <w:rFonts w:ascii="Arial" w:cs="Arial" w:eastAsia="Arial" w:hAnsi="Arial"/>
          <w:sz w:val="18"/>
          <w:szCs w:val="18"/>
          <w:i w:val="1"/>
          <w:iCs w:val="1"/>
          <w:color w:val="auto"/>
        </w:rPr>
        <w:t>THE SECURITIES ACT OF 1933</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Perella Weinberg Partners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702" w:right="339" w:bottom="1440" w:gutter="0" w:footer="0" w:header="0"/>
        </w:sectPr>
      </w:pPr>
    </w:p>
    <w:p>
      <w:pPr>
        <w:spacing w:after="0" w:line="21"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2480"/>
        <w:spacing w:after="0"/>
        <w:rPr>
          <w:sz w:val="20"/>
          <w:szCs w:val="20"/>
          <w:color w:val="auto"/>
        </w:rPr>
      </w:pPr>
      <w:r>
        <w:rPr>
          <w:rFonts w:ascii="Arial" w:cs="Arial" w:eastAsia="Arial" w:hAnsi="Arial"/>
          <w:sz w:val="15"/>
          <w:szCs w:val="15"/>
          <w:b w:val="1"/>
          <w:bCs w:val="1"/>
          <w:color w:val="auto"/>
        </w:rPr>
        <w:t>6199</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84-1770732</w:t>
      </w:r>
    </w:p>
    <w:p>
      <w:pPr>
        <w:spacing w:after="0" w:line="49" w:lineRule="exact"/>
        <w:rPr>
          <w:sz w:val="24"/>
          <w:szCs w:val="24"/>
          <w:color w:val="auto"/>
        </w:rPr>
      </w:pPr>
    </w:p>
    <w:p>
      <w:pPr>
        <w:sectPr>
          <w:pgSz w:w="11900" w:h="16838" w:orient="portrait"/>
          <w:cols w:equalWidth="0" w:num="3">
            <w:col w:w="4720" w:space="720"/>
            <w:col w:w="2820" w:space="720"/>
            <w:col w:w="2260"/>
          </w:cols>
          <w:pgMar w:left="320" w:top="702" w:right="339" w:bottom="1440" w:gutter="0" w:footer="0" w:header="0"/>
          <w:type w:val="continuous"/>
        </w:sectPr>
      </w:pPr>
    </w:p>
    <w:p>
      <w:pPr>
        <w:ind w:left="440"/>
        <w:spacing w:after="0"/>
        <w:rPr>
          <w:sz w:val="20"/>
          <w:szCs w:val="20"/>
          <w:color w:val="auto"/>
        </w:rPr>
      </w:pPr>
      <w:r>
        <w:rPr>
          <w:rFonts w:ascii="Arial" w:cs="Arial" w:eastAsia="Arial" w:hAnsi="Arial"/>
          <w:sz w:val="13"/>
          <w:szCs w:val="13"/>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 Classification Code Number)</w:t>
      </w:r>
    </w:p>
    <w:p>
      <w:pPr>
        <w:spacing w:after="0" w:line="20" w:lineRule="exact"/>
        <w:rPr>
          <w:sz w:val="24"/>
          <w:szCs w:val="24"/>
          <w:color w:val="auto"/>
        </w:rPr>
      </w:pPr>
      <w:r>
        <w:rPr>
          <w:sz w:val="24"/>
          <w:szCs w:val="24"/>
          <w:color w:val="auto"/>
        </w:rPr>
        <w:br w:type="column"/>
      </w:r>
    </w:p>
    <w:p>
      <w:pPr>
        <w:jc w:val="center"/>
        <w:ind w:right="620"/>
        <w:spacing w:after="0"/>
        <w:rPr>
          <w:sz w:val="20"/>
          <w:szCs w:val="20"/>
          <w:color w:val="auto"/>
        </w:rPr>
      </w:pPr>
      <w:r>
        <w:rPr>
          <w:rFonts w:ascii="Arial" w:cs="Arial" w:eastAsia="Arial" w:hAnsi="Arial"/>
          <w:sz w:val="13"/>
          <w:szCs w:val="13"/>
          <w:b w:val="1"/>
          <w:bCs w:val="1"/>
          <w:color w:val="auto"/>
        </w:rPr>
        <w:t>(I.R.S. Employer Identification Number)</w:t>
      </w:r>
    </w:p>
    <w:p>
      <w:pPr>
        <w:spacing w:after="0" w:line="19" w:lineRule="exact"/>
        <w:rPr>
          <w:sz w:val="24"/>
          <w:szCs w:val="24"/>
          <w:color w:val="auto"/>
        </w:rPr>
      </w:pPr>
    </w:p>
    <w:p>
      <w:pPr>
        <w:sectPr>
          <w:pgSz w:w="11900" w:h="16838" w:orient="portrait"/>
          <w:cols w:equalWidth="0" w:num="3">
            <w:col w:w="3300" w:space="480"/>
            <w:col w:w="3660" w:space="680"/>
            <w:col w:w="3120"/>
          </w:cols>
          <w:pgMar w:left="320" w:top="702" w:right="339" w:bottom="1440" w:gutter="0" w:footer="0" w:header="0"/>
          <w:type w:val="continuous"/>
        </w:sectPr>
      </w:pPr>
    </w:p>
    <w:p>
      <w:pPr>
        <w:ind w:left="1460"/>
        <w:spacing w:after="0"/>
        <w:rPr>
          <w:sz w:val="20"/>
          <w:szCs w:val="20"/>
          <w:color w:val="auto"/>
        </w:rPr>
      </w:pPr>
      <w:r>
        <w:rPr>
          <w:rFonts w:ascii="Arial" w:cs="Arial" w:eastAsia="Arial" w:hAnsi="Arial"/>
          <w:sz w:val="13"/>
          <w:szCs w:val="13"/>
          <w:b w:val="1"/>
          <w:bCs w:val="1"/>
          <w:color w:val="auto"/>
        </w:rPr>
        <w:t>organization)</w:t>
      </w:r>
    </w:p>
    <w:p>
      <w:pPr>
        <w:sectPr>
          <w:pgSz w:w="11900" w:h="16838" w:orient="portrait"/>
          <w:cols w:equalWidth="0" w:num="1">
            <w:col w:w="11240"/>
          </w:cols>
          <w:pgMar w:left="320" w:top="702" w:right="339" w:bottom="1440" w:gutter="0" w:footer="0" w:header="0"/>
          <w:type w:val="continuous"/>
        </w:sect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767 Fifth Avenue</w:t>
      </w:r>
    </w:p>
    <w:p>
      <w:pPr>
        <w:jc w:val="center"/>
        <w:spacing w:after="0" w:line="211" w:lineRule="auto"/>
        <w:rPr>
          <w:sz w:val="20"/>
          <w:szCs w:val="20"/>
          <w:color w:val="auto"/>
        </w:rPr>
      </w:pPr>
      <w:r>
        <w:rPr>
          <w:rFonts w:ascii="Arial" w:cs="Arial" w:eastAsia="Arial" w:hAnsi="Arial"/>
          <w:sz w:val="16"/>
          <w:szCs w:val="16"/>
          <w:b w:val="1"/>
          <w:bCs w:val="1"/>
          <w:color w:val="auto"/>
        </w:rPr>
        <w:t>New York, New York 10153</w:t>
      </w:r>
    </w:p>
    <w:p>
      <w:pPr>
        <w:jc w:val="center"/>
        <w:spacing w:after="0" w:line="215" w:lineRule="auto"/>
        <w:rPr>
          <w:sz w:val="20"/>
          <w:szCs w:val="20"/>
          <w:color w:val="auto"/>
        </w:rPr>
      </w:pPr>
      <w:r>
        <w:rPr>
          <w:rFonts w:ascii="Arial" w:cs="Arial" w:eastAsia="Arial" w:hAnsi="Arial"/>
          <w:sz w:val="16"/>
          <w:szCs w:val="16"/>
          <w:b w:val="1"/>
          <w:bCs w:val="1"/>
          <w:color w:val="auto"/>
        </w:rPr>
        <w:t>(212) 287-3200</w:t>
      </w:r>
    </w:p>
    <w:p>
      <w:pPr>
        <w:jc w:val="center"/>
        <w:spacing w:after="0" w:line="217"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jc w:val="center"/>
        <w:spacing w:after="0" w:line="211" w:lineRule="auto"/>
        <w:rPr>
          <w:sz w:val="20"/>
          <w:szCs w:val="20"/>
          <w:color w:val="auto"/>
        </w:rPr>
      </w:pPr>
      <w:r>
        <w:rPr>
          <w:rFonts w:ascii="Arial" w:cs="Arial" w:eastAsia="Arial" w:hAnsi="Arial"/>
          <w:sz w:val="16"/>
          <w:szCs w:val="16"/>
          <w:b w:val="1"/>
          <w:bCs w:val="1"/>
          <w:color w:val="auto"/>
        </w:rPr>
        <w:t>Vladimir Shendelman, Esq.</w:t>
      </w:r>
    </w:p>
    <w:p>
      <w:pPr>
        <w:jc w:val="center"/>
        <w:spacing w:after="0" w:line="212" w:lineRule="auto"/>
        <w:rPr>
          <w:sz w:val="20"/>
          <w:szCs w:val="20"/>
          <w:color w:val="auto"/>
        </w:rPr>
      </w:pPr>
      <w:r>
        <w:rPr>
          <w:rFonts w:ascii="Arial" w:cs="Arial" w:eastAsia="Arial" w:hAnsi="Arial"/>
          <w:sz w:val="16"/>
          <w:szCs w:val="16"/>
          <w:b w:val="1"/>
          <w:bCs w:val="1"/>
          <w:color w:val="auto"/>
        </w:rPr>
        <w:t>General Counsel</w:t>
      </w:r>
    </w:p>
    <w:p>
      <w:pPr>
        <w:jc w:val="center"/>
        <w:spacing w:after="0" w:line="211" w:lineRule="auto"/>
        <w:rPr>
          <w:sz w:val="20"/>
          <w:szCs w:val="20"/>
          <w:color w:val="auto"/>
        </w:rPr>
      </w:pPr>
      <w:r>
        <w:rPr>
          <w:rFonts w:ascii="Arial" w:cs="Arial" w:eastAsia="Arial" w:hAnsi="Arial"/>
          <w:sz w:val="16"/>
          <w:szCs w:val="16"/>
          <w:b w:val="1"/>
          <w:bCs w:val="1"/>
          <w:color w:val="auto"/>
        </w:rPr>
        <w:t>Perella Weinberg Partners 767 Fifth Avenue</w:t>
      </w:r>
    </w:p>
    <w:p>
      <w:pPr>
        <w:jc w:val="center"/>
        <w:spacing w:after="0" w:line="211" w:lineRule="auto"/>
        <w:rPr>
          <w:sz w:val="20"/>
          <w:szCs w:val="20"/>
          <w:color w:val="auto"/>
        </w:rPr>
      </w:pPr>
      <w:r>
        <w:rPr>
          <w:rFonts w:ascii="Arial" w:cs="Arial" w:eastAsia="Arial" w:hAnsi="Arial"/>
          <w:sz w:val="16"/>
          <w:szCs w:val="16"/>
          <w:b w:val="1"/>
          <w:bCs w:val="1"/>
          <w:color w:val="auto"/>
        </w:rPr>
        <w:t>New York, New York 10153</w:t>
      </w:r>
    </w:p>
    <w:p>
      <w:pPr>
        <w:jc w:val="center"/>
        <w:spacing w:after="0" w:line="215" w:lineRule="auto"/>
        <w:rPr>
          <w:sz w:val="20"/>
          <w:szCs w:val="20"/>
          <w:color w:val="auto"/>
        </w:rPr>
      </w:pPr>
      <w:r>
        <w:rPr>
          <w:rFonts w:ascii="Arial" w:cs="Arial" w:eastAsia="Arial" w:hAnsi="Arial"/>
          <w:sz w:val="16"/>
          <w:szCs w:val="16"/>
          <w:b w:val="1"/>
          <w:bCs w:val="1"/>
          <w:color w:val="auto"/>
        </w:rPr>
        <w:t>(212) 287-3200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47625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With copies to:</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Joseph A. Coco, Esq.</w:t>
      </w:r>
    </w:p>
    <w:p>
      <w:pPr>
        <w:jc w:val="center"/>
        <w:spacing w:after="0" w:line="211" w:lineRule="auto"/>
        <w:rPr>
          <w:sz w:val="20"/>
          <w:szCs w:val="20"/>
          <w:color w:val="auto"/>
        </w:rPr>
      </w:pPr>
      <w:r>
        <w:rPr>
          <w:rFonts w:ascii="Arial" w:cs="Arial" w:eastAsia="Arial" w:hAnsi="Arial"/>
          <w:sz w:val="16"/>
          <w:szCs w:val="16"/>
          <w:b w:val="1"/>
          <w:bCs w:val="1"/>
          <w:color w:val="auto"/>
        </w:rPr>
        <w:t>Michael J. Schwartz, Esq.</w:t>
      </w:r>
    </w:p>
    <w:p>
      <w:pPr>
        <w:jc w:val="center"/>
        <w:spacing w:after="0" w:line="211" w:lineRule="auto"/>
        <w:rPr>
          <w:sz w:val="20"/>
          <w:szCs w:val="20"/>
          <w:color w:val="auto"/>
        </w:rPr>
      </w:pPr>
      <w:r>
        <w:rPr>
          <w:rFonts w:ascii="Arial" w:cs="Arial" w:eastAsia="Arial" w:hAnsi="Arial"/>
          <w:sz w:val="16"/>
          <w:szCs w:val="16"/>
          <w:b w:val="1"/>
          <w:bCs w:val="1"/>
          <w:color w:val="auto"/>
        </w:rPr>
        <w:t>Blair T. Thetford, Esq.</w:t>
      </w:r>
    </w:p>
    <w:p>
      <w:pPr>
        <w:jc w:val="center"/>
        <w:spacing w:after="0" w:line="211" w:lineRule="auto"/>
        <w:rPr>
          <w:sz w:val="20"/>
          <w:szCs w:val="20"/>
          <w:color w:val="auto"/>
        </w:rPr>
      </w:pPr>
      <w:r>
        <w:rPr>
          <w:rFonts w:ascii="Arial" w:cs="Arial" w:eastAsia="Arial" w:hAnsi="Arial"/>
          <w:sz w:val="16"/>
          <w:szCs w:val="16"/>
          <w:b w:val="1"/>
          <w:bCs w:val="1"/>
          <w:color w:val="auto"/>
        </w:rPr>
        <w:t>Skadden, Arps, Slate, Meagher &amp; Flom LLP</w:t>
      </w:r>
    </w:p>
    <w:p>
      <w:pPr>
        <w:jc w:val="center"/>
        <w:spacing w:after="0" w:line="212" w:lineRule="auto"/>
        <w:rPr>
          <w:sz w:val="20"/>
          <w:szCs w:val="20"/>
          <w:color w:val="auto"/>
        </w:rPr>
      </w:pPr>
      <w:r>
        <w:rPr>
          <w:rFonts w:ascii="Arial" w:cs="Arial" w:eastAsia="Arial" w:hAnsi="Arial"/>
          <w:sz w:val="16"/>
          <w:szCs w:val="16"/>
          <w:b w:val="1"/>
          <w:bCs w:val="1"/>
          <w:color w:val="auto"/>
        </w:rPr>
        <w:t>One Manhattan West</w:t>
      </w:r>
    </w:p>
    <w:p>
      <w:pPr>
        <w:jc w:val="center"/>
        <w:spacing w:after="0" w:line="211" w:lineRule="auto"/>
        <w:rPr>
          <w:sz w:val="20"/>
          <w:szCs w:val="20"/>
          <w:color w:val="auto"/>
        </w:rPr>
      </w:pPr>
      <w:r>
        <w:rPr>
          <w:rFonts w:ascii="Arial" w:cs="Arial" w:eastAsia="Arial" w:hAnsi="Arial"/>
          <w:sz w:val="16"/>
          <w:szCs w:val="16"/>
          <w:b w:val="1"/>
          <w:bCs w:val="1"/>
          <w:color w:val="auto"/>
        </w:rPr>
        <w:t>New York, NY 10001</w:t>
      </w:r>
    </w:p>
    <w:p>
      <w:pPr>
        <w:jc w:val="center"/>
        <w:spacing w:after="0"/>
        <w:rPr>
          <w:sz w:val="20"/>
          <w:szCs w:val="20"/>
          <w:color w:val="auto"/>
        </w:rPr>
      </w:pPr>
      <w:r>
        <w:rPr>
          <w:rFonts w:ascii="Arial" w:cs="Arial" w:eastAsia="Arial" w:hAnsi="Arial"/>
          <w:sz w:val="16"/>
          <w:szCs w:val="16"/>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43180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8"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Approximate date of commencement of proposed sale to the public: From time to time on or after the effective date of this registration statement.</w:t>
      </w:r>
    </w:p>
    <w:p>
      <w:pPr>
        <w:spacing w:after="0" w:line="55"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9" w:lineRule="exact"/>
        <w:rPr>
          <w:sz w:val="24"/>
          <w:szCs w:val="24"/>
          <w:color w:val="auto"/>
        </w:rPr>
      </w:pPr>
    </w:p>
    <w:p>
      <w:pPr>
        <w:ind w:right="580" w:firstLine="648"/>
        <w:spacing w:after="0" w:line="17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20" w:firstLine="648"/>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20" w:firstLine="648"/>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8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8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20" w:type="dxa"/>
            <w:vAlign w:val="bottom"/>
          </w:tcPr>
          <w:p>
            <w:pPr>
              <w:ind w:left="338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0" w:lineRule="exact"/>
        <w:rPr>
          <w:sz w:val="24"/>
          <w:szCs w:val="24"/>
          <w:color w:val="auto"/>
        </w:rPr>
      </w:pPr>
    </w:p>
    <w:p>
      <w:pPr>
        <w:ind w:right="580" w:firstLine="648"/>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80" w:firstLine="648"/>
        <w:spacing w:after="0" w:line="264" w:lineRule="auto"/>
        <w:rPr>
          <w:sz w:val="20"/>
          <w:szCs w:val="20"/>
          <w:color w:val="auto"/>
        </w:rPr>
      </w:pPr>
      <w:r>
        <w:rPr>
          <w:rFonts w:ascii="Arial" w:cs="Arial" w:eastAsia="Arial" w:hAnsi="Arial"/>
          <w:sz w:val="13"/>
          <w:szCs w:val="13"/>
          <w:color w:val="auto"/>
        </w:rPr>
        <w:t>This Post-Effective Amendment No. 1 (this “Post-Effective Amendment No. 1”) to the Registration Statement on Form S-1 (File No. 333-257924) (the “Registration Statement”), as originally declared effective by the Securities and Exchange Commission (the “SEC”) on July 26, 2021, is being filed to include information contained in the registrant’s Annual Report on Form 10-K for the fiscal year ended December 31, 2021, which was filed with the SEC on March 11, 2022, and to update certain other information in the Registration Statement.</w:t>
      </w:r>
    </w:p>
    <w:p>
      <w:pPr>
        <w:spacing w:after="0" w:line="20" w:lineRule="exact"/>
        <w:rPr>
          <w:sz w:val="24"/>
          <w:szCs w:val="24"/>
          <w:color w:val="auto"/>
        </w:rPr>
      </w:pPr>
    </w:p>
    <w:p>
      <w:pPr>
        <w:ind w:right="120" w:firstLine="648"/>
        <w:spacing w:after="0" w:line="253" w:lineRule="auto"/>
        <w:rPr>
          <w:sz w:val="20"/>
          <w:szCs w:val="20"/>
          <w:color w:val="auto"/>
        </w:rPr>
      </w:pPr>
      <w:r>
        <w:rPr>
          <w:rFonts w:ascii="Arial" w:cs="Arial" w:eastAsia="Arial" w:hAnsi="Arial"/>
          <w:sz w:val="14"/>
          <w:szCs w:val="14"/>
          <w:color w:val="auto"/>
        </w:rPr>
        <w:t>The information included in this filing amends the Registration Statement and the prospectus contained therein. No additional securities are being registered under this Post-Effective Amendment No. 1. All applicable registration fees were paid at the time of the original filing of the Registration Statement on July 15, 2021.</w:t>
      </w:r>
    </w:p>
    <w:p>
      <w:pPr>
        <w:spacing w:after="0" w:line="21" w:lineRule="exact"/>
        <w:rPr>
          <w:sz w:val="24"/>
          <w:szCs w:val="24"/>
          <w:color w:val="auto"/>
        </w:rPr>
      </w:pPr>
    </w:p>
    <w:p>
      <w:pPr>
        <w:ind w:right="460" w:firstLine="648"/>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526415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 w:name="page2"/>
    <w:bookmarkEnd w:id="1"/>
    <w:p>
      <w:pPr>
        <w:ind w:right="40"/>
        <w:spacing w:after="0" w:line="266" w:lineRule="auto"/>
        <w:rPr>
          <w:sz w:val="20"/>
          <w:szCs w:val="20"/>
          <w:color w:val="auto"/>
        </w:rPr>
      </w:pPr>
      <w:r>
        <w:rPr>
          <w:rFonts w:ascii="Arial" w:cs="Arial" w:eastAsia="Arial" w:hAnsi="Arial"/>
          <w:sz w:val="18"/>
          <w:szCs w:val="18"/>
          <w:b w:val="1"/>
          <w:bCs w:val="1"/>
          <w:color w:val="F1665F"/>
        </w:rPr>
        <w:t>The information in this prospectus is not complete and may be changed. Neither we nor the selling security holders may sell or distribute the securities described herein until the registration statement filed with the SEC is effective. This prospectus is not an offer to sell and is not soliciting an offer to buy the securities in any jurisdiction where the offer or sale is not permitted.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SUBJECT TO COMPLETION, DATED MARCH 11,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120015</wp:posOffset>
            </wp:positionV>
            <wp:extent cx="1714500" cy="65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Perella Weinberg Partners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64,738,934 Shares of Class A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203,333 Warrants to Purchase Class A Common Stock</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prospectus relates to: (1) the issuance by us of up to 7,869,975 shares of our Class A common stock, par value $0.0001 per share (“Class A common stock”) that may be issued upon exercise of warrants to purchase Class A common stock at an exercise price of $11.50 per share of Class A common stock, including the Public Warrants and the Private Placement Warrants (each as defined below); and (2) the offer and sale, from time to time, by the selling holders identified in this prospectus (the “Selling Holders”), or their permitted transferees, of (i) up to 64,738,934 shares of Class A common stock and (ii) up to 203,333 Warrants (as defined below).</w:t>
      </w:r>
    </w:p>
    <w:p>
      <w:pPr>
        <w:spacing w:after="0" w:line="120"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This prospectus provides you with a general description of such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2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We will not receive any proceeds from the sale of shares of Class A common stock or Warrants by the Selling Holders pursuant to this prospectus or of the shares of Class A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121"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“Plan of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Class A common stock and Warrants are traded on the Nasdaq Global Select Market (the “Nasdaq”) under the symbols “PWP” and “PWPPW,” respectively. On March 8, 2022, the closing price of our Class A common stock on the Nasdaq was $9.72 per share and the closing price of our Warrants on the Nasdaq was $2.28 per Warrant.</w:t>
      </w:r>
    </w:p>
    <w:p>
      <w:pPr>
        <w:spacing w:after="0" w:line="12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Investing in our securities involves risks. 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30 and in any applicable prospectus supplement.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Neither the SEC nor any state securities commission has approved or disapproved of the securities or determined if this prospectus is truthful or complete.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Any representation to the contrary is a criminal offense.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3780"/>
              <w:spacing w:after="0"/>
              <w:rPr>
                <w:sz w:val="20"/>
                <w:szCs w:val="20"/>
                <w:color w:val="auto"/>
              </w:rPr>
            </w:pPr>
            <w:r>
              <w:rPr>
                <w:rFonts w:ascii="Arial" w:cs="Arial" w:eastAsia="Arial" w:hAnsi="Arial"/>
                <w:sz w:val="18"/>
                <w:szCs w:val="18"/>
                <w:b w:val="1"/>
                <w:bCs w:val="1"/>
                <w:color w:val="auto"/>
              </w:rPr>
              <w:t>The date of this prospectus is</w:t>
            </w:r>
          </w:p>
        </w:tc>
        <w:tc>
          <w:tcPr>
            <w:tcW w:w="4740" w:type="dxa"/>
            <w:vAlign w:val="bottom"/>
          </w:tcPr>
          <w:p>
            <w:pPr>
              <w:jc w:val="right"/>
              <w:ind w:right="3690"/>
              <w:spacing w:after="0"/>
              <w:rPr>
                <w:sz w:val="20"/>
                <w:szCs w:val="20"/>
                <w:color w:val="auto"/>
              </w:rPr>
            </w:pPr>
            <w:r>
              <w:rPr>
                <w:rFonts w:ascii="Arial" w:cs="Arial" w:eastAsia="Arial" w:hAnsi="Arial"/>
                <w:sz w:val="18"/>
                <w:szCs w:val="18"/>
                <w:b w:val="1"/>
                <w:bCs w:val="1"/>
                <w:color w:val="auto"/>
              </w:rPr>
              <w:t>, 2022.</w:t>
            </w:r>
          </w:p>
        </w:tc>
      </w:tr>
      <w:tr>
        <w:trPr>
          <w:trHeight w:val="1249"/>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940" w:type="dxa"/>
            <w:vAlign w:val="bottom"/>
            <w:gridSpan w:val="9"/>
          </w:tcPr>
          <w:p>
            <w:pPr>
              <w:ind w:left="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24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ABOUT THIS PROSPECTUS</w:t>
              </w:r>
            </w:hyperlink>
          </w:p>
        </w:tc>
        <w:tc>
          <w:tcPr>
            <w:tcW w:w="8260" w:type="dxa"/>
            <w:vAlign w:val="bottom"/>
            <w:gridSpan w:val="17"/>
          </w:tcPr>
          <w:p>
            <w:pPr>
              <w:spacing w:after="0"/>
              <w:rPr>
                <w:sz w:val="24"/>
                <w:szCs w:val="24"/>
                <w:color w:val="auto"/>
              </w:rPr>
            </w:pPr>
          </w:p>
        </w:tc>
        <w:tc>
          <w:tcPr>
            <w:tcW w:w="120" w:type="dxa"/>
            <w:vAlign w:val="bottom"/>
            <w:tcBorders>
              <w:bottom w:val="single" w:sz="8" w:color="0000FF"/>
            </w:tcBorders>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ii</w:t>
              </w:r>
            </w:hyperlink>
          </w:p>
        </w:tc>
        <w:tc>
          <w:tcPr>
            <w:tcW w:w="160" w:type="dxa"/>
            <w:vAlign w:val="bottom"/>
            <w:gridSpan w:val="4"/>
          </w:tcPr>
          <w:p>
            <w:pPr>
              <w:spacing w:after="0"/>
              <w:rPr>
                <w:sz w:val="24"/>
                <w:szCs w:val="24"/>
                <w:color w:val="auto"/>
              </w:rPr>
            </w:pPr>
          </w:p>
        </w:tc>
      </w:tr>
      <w:tr>
        <w:trPr>
          <w:trHeight w:val="209"/>
        </w:trPr>
        <w:tc>
          <w:tcPr>
            <w:tcW w:w="10500" w:type="dxa"/>
            <w:vAlign w:val="bottom"/>
            <w:gridSpan w:val="3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MARKET, RANKING AND OTHER INDUSTRY DATA</w:t>
              </w:r>
            </w:hyperlink>
          </w:p>
        </w:tc>
        <w:tc>
          <w:tcPr>
            <w:tcW w:w="280" w:type="dxa"/>
            <w:vAlign w:val="bottom"/>
            <w:gridSpan w:val="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iv</w:t>
              </w:r>
            </w:hyperlink>
          </w:p>
        </w:tc>
      </w:tr>
      <w:tr>
        <w:trPr>
          <w:trHeight w:val="210"/>
        </w:trPr>
        <w:tc>
          <w:tcPr>
            <w:tcW w:w="4200" w:type="dxa"/>
            <w:vAlign w:val="bottom"/>
            <w:tcBorders>
              <w:top w:val="single" w:sz="8" w:color="0000FF"/>
            </w:tcBorders>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NON-GAAP FINANCIAL MEASURES</w:t>
              </w:r>
            </w:hyperlink>
          </w:p>
        </w:tc>
        <w:tc>
          <w:tcPr>
            <w:tcW w:w="6300" w:type="dxa"/>
            <w:vAlign w:val="bottom"/>
            <w:gridSpan w:val="10"/>
          </w:tcPr>
          <w:p>
            <w:pPr>
              <w:spacing w:after="0"/>
              <w:rPr>
                <w:sz w:val="18"/>
                <w:szCs w:val="18"/>
                <w:color w:val="auto"/>
              </w:rPr>
            </w:pPr>
          </w:p>
        </w:tc>
        <w:tc>
          <w:tcPr>
            <w:tcW w:w="140" w:type="dxa"/>
            <w:vAlign w:val="bottom"/>
            <w:tcBorders>
              <w:top w:val="single" w:sz="8" w:color="0000FF"/>
            </w:tcBorders>
            <w:gridSpan w:val="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v</w:t>
              </w:r>
            </w:hyperlink>
          </w:p>
        </w:tc>
        <w:tc>
          <w:tcPr>
            <w:tcW w:w="140" w:type="dxa"/>
            <w:vAlign w:val="bottom"/>
            <w:gridSpan w:val="3"/>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560" w:type="dxa"/>
            <w:vAlign w:val="bottom"/>
            <w:tcBorders>
              <w:bottom w:val="single" w:sz="8" w:color="0000FF"/>
            </w:tcBorders>
            <w:gridSpan w:val="21"/>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TRADEMARKS, SERVICE MARKS AND TRADE NAMES</w:t>
              </w:r>
            </w:hyperlink>
          </w:p>
        </w:tc>
        <w:tc>
          <w:tcPr>
            <w:tcW w:w="5940" w:type="dxa"/>
            <w:vAlign w:val="bottom"/>
            <w:gridSpan w:val="9"/>
          </w:tcPr>
          <w:p>
            <w:pPr>
              <w:spacing w:after="0"/>
              <w:rPr>
                <w:sz w:val="18"/>
                <w:szCs w:val="18"/>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v</w:t>
              </w:r>
            </w:hyperlink>
          </w:p>
        </w:tc>
        <w:tc>
          <w:tcPr>
            <w:tcW w:w="180" w:type="dxa"/>
            <w:vAlign w:val="bottom"/>
            <w:gridSpan w:val="5"/>
          </w:tcPr>
          <w:p>
            <w:pPr>
              <w:spacing w:after="0"/>
              <w:rPr>
                <w:sz w:val="18"/>
                <w:szCs w:val="18"/>
                <w:color w:val="auto"/>
              </w:rPr>
            </w:pPr>
          </w:p>
        </w:tc>
      </w:tr>
      <w:tr>
        <w:trPr>
          <w:trHeight w:val="209"/>
        </w:trPr>
        <w:tc>
          <w:tcPr>
            <w:tcW w:w="2080" w:type="dxa"/>
            <w:vAlign w:val="bottom"/>
            <w:tcBorders>
              <w:bottom w:val="single" w:sz="8" w:color="0000FF"/>
            </w:tcBorders>
            <w:gridSpan w:val="10"/>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SELECTED DEFINITIONS</w:t>
              </w:r>
            </w:hyperlink>
          </w:p>
        </w:tc>
        <w:tc>
          <w:tcPr>
            <w:tcW w:w="8420" w:type="dxa"/>
            <w:vAlign w:val="bottom"/>
            <w:gridSpan w:val="20"/>
          </w:tcPr>
          <w:p>
            <w:pPr>
              <w:spacing w:after="0"/>
              <w:rPr>
                <w:sz w:val="18"/>
                <w:szCs w:val="18"/>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v</w:t>
              </w:r>
            </w:hyperlink>
          </w:p>
        </w:tc>
        <w:tc>
          <w:tcPr>
            <w:tcW w:w="180" w:type="dxa"/>
            <w:vAlign w:val="bottom"/>
            <w:gridSpan w:val="5"/>
          </w:tcPr>
          <w:p>
            <w:pPr>
              <w:spacing w:after="0"/>
              <w:rPr>
                <w:sz w:val="18"/>
                <w:szCs w:val="18"/>
                <w:color w:val="auto"/>
              </w:rPr>
            </w:pPr>
          </w:p>
        </w:tc>
      </w:tr>
      <w:tr>
        <w:trPr>
          <w:trHeight w:val="210"/>
        </w:trPr>
        <w:tc>
          <w:tcPr>
            <w:tcW w:w="10500" w:type="dxa"/>
            <w:vAlign w:val="bottom"/>
            <w:gridSpan w:val="3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CAUTIONARY STATEMENT REGARDING FORWARD-LOOKING STATEMENTS</w:t>
              </w:r>
            </w:hyperlink>
          </w:p>
        </w:tc>
        <w:tc>
          <w:tcPr>
            <w:tcW w:w="280" w:type="dxa"/>
            <w:vAlign w:val="bottom"/>
            <w:gridSpan w:val="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viii</w:t>
              </w:r>
            </w:hyperlink>
          </w:p>
        </w:tc>
      </w:tr>
      <w:tr>
        <w:trPr>
          <w:trHeight w:val="209"/>
        </w:trPr>
        <w:tc>
          <w:tcPr>
            <w:tcW w:w="21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4"/>
              </w:rPr>
            </w:pPr>
            <w:hyperlink w:anchor="page11">
              <w:r>
                <w:rPr>
                  <w:rFonts w:ascii="Arial" w:cs="Arial" w:eastAsia="Arial" w:hAnsi="Arial"/>
                  <w:sz w:val="18"/>
                  <w:szCs w:val="18"/>
                  <w:color w:val="0000FF"/>
                  <w:w w:val="94"/>
                </w:rPr>
                <w:t>PROSPECTUS SUMMARY</w:t>
              </w:r>
            </w:hyperlink>
          </w:p>
        </w:tc>
        <w:tc>
          <w:tcPr>
            <w:tcW w:w="4240" w:type="dxa"/>
            <w:vAlign w:val="bottom"/>
            <w:tcBorders>
              <w:top w:val="single" w:sz="8" w:color="0000FF"/>
            </w:tcBorders>
            <w:gridSpan w:val="15"/>
          </w:tcPr>
          <w:p>
            <w:pPr>
              <w:spacing w:after="0"/>
              <w:rPr>
                <w:sz w:val="18"/>
                <w:szCs w:val="18"/>
                <w:color w:val="auto"/>
              </w:rPr>
            </w:pPr>
          </w:p>
        </w:tc>
        <w:tc>
          <w:tcPr>
            <w:tcW w:w="4160" w:type="dxa"/>
            <w:vAlign w:val="bottom"/>
            <w:gridSpan w:val="4"/>
          </w:tcPr>
          <w:p>
            <w:pPr>
              <w:spacing w:after="0"/>
              <w:rPr>
                <w:sz w:val="18"/>
                <w:szCs w:val="18"/>
                <w:color w:val="auto"/>
              </w:rPr>
            </w:pPr>
          </w:p>
        </w:tc>
        <w:tc>
          <w:tcPr>
            <w:tcW w:w="100" w:type="dxa"/>
            <w:vAlign w:val="bottom"/>
            <w:tcBorders>
              <w:top w:val="single" w:sz="8" w:color="0000FF"/>
              <w:bottom w:val="single" w:sz="8" w:color="0000FF"/>
            </w:tcBorders>
          </w:tcPr>
          <w:p>
            <w:pPr>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w:t>
              </w:r>
            </w:hyperlink>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500" w:type="dxa"/>
            <w:vAlign w:val="bottom"/>
            <w:gridSpan w:val="3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THE OFFERING</w:t>
              </w:r>
            </w:hyperlink>
          </w:p>
        </w:tc>
        <w:tc>
          <w:tcPr>
            <w:tcW w:w="180" w:type="dxa"/>
            <w:vAlign w:val="bottom"/>
            <w:gridSpan w:val="4"/>
          </w:tcPr>
          <w:p>
            <w:pPr>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18</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20" w:type="dxa"/>
            <w:vAlign w:val="bottom"/>
            <w:tcBorders>
              <w:bottom w:val="single" w:sz="8" w:color="0000FF"/>
            </w:tcBorders>
            <w:gridSpan w:val="24"/>
          </w:tcPr>
          <w:p>
            <w:pPr>
              <w:spacing w:after="0"/>
              <w:rPr>
                <w:rFonts w:ascii="Arial" w:cs="Arial" w:eastAsia="Arial" w:hAnsi="Arial"/>
                <w:sz w:val="18"/>
                <w:szCs w:val="18"/>
                <w:color w:val="0000FF"/>
                <w:w w:val="98"/>
              </w:rPr>
            </w:pPr>
            <w:hyperlink w:anchor="page31">
              <w:r>
                <w:rPr>
                  <w:rFonts w:ascii="Arial" w:cs="Arial" w:eastAsia="Arial" w:hAnsi="Arial"/>
                  <w:sz w:val="18"/>
                  <w:szCs w:val="18"/>
                  <w:color w:val="0000FF"/>
                  <w:w w:val="98"/>
                </w:rPr>
                <w:t>SUMMARY HISTORICAL FINANCIAL AND OTHER INFORMATION</w:t>
              </w:r>
            </w:hyperlink>
          </w:p>
        </w:tc>
        <w:tc>
          <w:tcPr>
            <w:tcW w:w="5080" w:type="dxa"/>
            <w:vAlign w:val="bottom"/>
            <w:gridSpan w:val="6"/>
          </w:tcPr>
          <w:p>
            <w:pPr>
              <w:spacing w:after="0"/>
              <w:rPr>
                <w:sz w:val="18"/>
                <w:szCs w:val="18"/>
                <w:color w:val="auto"/>
              </w:rPr>
            </w:pPr>
          </w:p>
        </w:tc>
        <w:tc>
          <w:tcPr>
            <w:tcW w:w="180" w:type="dxa"/>
            <w:vAlign w:val="bottom"/>
            <w:tcBorders>
              <w:bottom w:val="single" w:sz="8" w:color="0000FF"/>
            </w:tcBorders>
            <w:gridSpan w:val="4"/>
          </w:tcPr>
          <w:p>
            <w:pPr>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500" w:type="dxa"/>
            <w:vAlign w:val="bottom"/>
            <w:gridSpan w:val="3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SUMMARY UNAUDITED PRO FORMA CONDENSED COMBINED FINANCIAL INFORMATION</w:t>
              </w:r>
            </w:hyperlink>
          </w:p>
        </w:tc>
        <w:tc>
          <w:tcPr>
            <w:tcW w:w="180" w:type="dxa"/>
            <w:vAlign w:val="bottom"/>
            <w:gridSpan w:val="4"/>
          </w:tcPr>
          <w:p>
            <w:pPr>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28</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540" w:type="dxa"/>
            <w:vAlign w:val="bottom"/>
            <w:tcBorders>
              <w:top w:val="single" w:sz="8" w:color="0000FF"/>
            </w:tcBorders>
            <w:gridSpan w:val="2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COMPARATIVE PER SHARE INFORMATION</w:t>
              </w:r>
            </w:hyperlink>
          </w:p>
        </w:tc>
        <w:tc>
          <w:tcPr>
            <w:tcW w:w="2960" w:type="dxa"/>
            <w:vAlign w:val="bottom"/>
            <w:gridSpan w:val="2"/>
          </w:tcPr>
          <w:p>
            <w:pPr>
              <w:spacing w:after="0"/>
              <w:rPr>
                <w:sz w:val="18"/>
                <w:szCs w:val="18"/>
                <w:color w:val="auto"/>
              </w:rPr>
            </w:pPr>
          </w:p>
        </w:tc>
        <w:tc>
          <w:tcPr>
            <w:tcW w:w="180" w:type="dxa"/>
            <w:vAlign w:val="bottom"/>
            <w:tcBorders>
              <w:top w:val="single" w:sz="8" w:color="0000FF"/>
            </w:tcBorders>
            <w:gridSpan w:val="4"/>
          </w:tcPr>
          <w:p>
            <w:pPr>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29</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RISK FACTORS</w:t>
              </w:r>
            </w:hyperlink>
          </w:p>
        </w:tc>
        <w:tc>
          <w:tcPr>
            <w:tcW w:w="2280" w:type="dxa"/>
            <w:vAlign w:val="bottom"/>
            <w:tcBorders>
              <w:top w:val="single" w:sz="8" w:color="0000FF"/>
            </w:tcBorders>
            <w:gridSpan w:val="15"/>
          </w:tcPr>
          <w:p>
            <w:pPr>
              <w:spacing w:after="0"/>
              <w:rPr>
                <w:sz w:val="18"/>
                <w:szCs w:val="18"/>
                <w:color w:val="auto"/>
              </w:rPr>
            </w:pPr>
          </w:p>
        </w:tc>
        <w:tc>
          <w:tcPr>
            <w:tcW w:w="6940" w:type="dxa"/>
            <w:vAlign w:val="bottom"/>
            <w:gridSpan w:val="12"/>
          </w:tcPr>
          <w:p>
            <w:pPr>
              <w:spacing w:after="0"/>
              <w:rPr>
                <w:sz w:val="18"/>
                <w:szCs w:val="18"/>
                <w:color w:val="auto"/>
              </w:rPr>
            </w:pPr>
          </w:p>
        </w:tc>
        <w:tc>
          <w:tcPr>
            <w:tcW w:w="1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30</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6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USE OF PROCEEDS</w:t>
              </w:r>
            </w:hyperlink>
          </w:p>
        </w:tc>
        <w:tc>
          <w:tcPr>
            <w:tcW w:w="8900" w:type="dxa"/>
            <w:vAlign w:val="bottom"/>
            <w:gridSpan w:val="23"/>
          </w:tcPr>
          <w:p>
            <w:pPr>
              <w:spacing w:after="0"/>
              <w:rPr>
                <w:sz w:val="18"/>
                <w:szCs w:val="18"/>
                <w:color w:val="auto"/>
              </w:rPr>
            </w:pPr>
          </w:p>
        </w:tc>
        <w:tc>
          <w:tcPr>
            <w:tcW w:w="180" w:type="dxa"/>
            <w:vAlign w:val="bottom"/>
            <w:tcBorders>
              <w:bottom w:val="single" w:sz="8" w:color="0000FF"/>
            </w:tcBorders>
            <w:gridSpan w:val="4"/>
          </w:tcPr>
          <w:p>
            <w:pPr>
              <w:spacing w:after="0"/>
              <w:rPr>
                <w:rFonts w:ascii="Arial" w:cs="Arial" w:eastAsia="Arial" w:hAnsi="Arial"/>
                <w:sz w:val="18"/>
                <w:szCs w:val="18"/>
                <w:color w:val="0000FF"/>
                <w:w w:val="79"/>
              </w:rPr>
            </w:pPr>
            <w:hyperlink w:anchor="page73">
              <w:r>
                <w:rPr>
                  <w:rFonts w:ascii="Arial" w:cs="Arial" w:eastAsia="Arial" w:hAnsi="Arial"/>
                  <w:sz w:val="18"/>
                  <w:szCs w:val="18"/>
                  <w:color w:val="0000FF"/>
                  <w:w w:val="79"/>
                </w:rPr>
                <w:t>63</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500" w:type="dxa"/>
            <w:vAlign w:val="bottom"/>
            <w:gridSpan w:val="3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DIVIDEND POLICY</w:t>
              </w:r>
            </w:hyperlink>
          </w:p>
        </w:tc>
        <w:tc>
          <w:tcPr>
            <w:tcW w:w="180" w:type="dxa"/>
            <w:vAlign w:val="bottom"/>
            <w:gridSpan w:val="4"/>
          </w:tcPr>
          <w:p>
            <w:pPr>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64</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00" w:type="dxa"/>
            <w:vAlign w:val="bottom"/>
            <w:gridSpan w:val="30"/>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UNAUDITED PRO FORMA CONDENSED COMBINED FINANCIAL INFORMATION</w:t>
              </w:r>
            </w:hyperlink>
          </w:p>
        </w:tc>
        <w:tc>
          <w:tcPr>
            <w:tcW w:w="180" w:type="dxa"/>
            <w:vAlign w:val="bottom"/>
            <w:gridSpan w:val="4"/>
          </w:tcPr>
          <w:p>
            <w:pPr>
              <w:spacing w:after="0"/>
              <w:rPr>
                <w:rFonts w:ascii="Arial" w:cs="Arial" w:eastAsia="Arial" w:hAnsi="Arial"/>
                <w:sz w:val="18"/>
                <w:szCs w:val="18"/>
                <w:color w:val="0000FF"/>
                <w:w w:val="79"/>
              </w:rPr>
            </w:pPr>
            <w:hyperlink w:anchor="page75">
              <w:r>
                <w:rPr>
                  <w:rFonts w:ascii="Arial" w:cs="Arial" w:eastAsia="Arial" w:hAnsi="Arial"/>
                  <w:sz w:val="18"/>
                  <w:szCs w:val="18"/>
                  <w:color w:val="0000FF"/>
                  <w:w w:val="79"/>
                </w:rPr>
                <w:t>65</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580" w:type="dxa"/>
            <w:vAlign w:val="bottom"/>
            <w:tcBorders>
              <w:top w:val="single" w:sz="8" w:color="0000FF"/>
            </w:tcBorders>
            <w:gridSpan w:val="27"/>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COMPARATIVE PER SHARE INFORMATION</w:t>
              </w:r>
            </w:hyperlink>
          </w:p>
        </w:tc>
        <w:tc>
          <w:tcPr>
            <w:tcW w:w="3920" w:type="dxa"/>
            <w:vAlign w:val="bottom"/>
            <w:gridSpan w:val="3"/>
          </w:tcPr>
          <w:p>
            <w:pPr>
              <w:spacing w:after="0"/>
              <w:rPr>
                <w:sz w:val="18"/>
                <w:szCs w:val="18"/>
                <w:color w:val="auto"/>
              </w:rPr>
            </w:pPr>
          </w:p>
        </w:tc>
        <w:tc>
          <w:tcPr>
            <w:tcW w:w="180" w:type="dxa"/>
            <w:vAlign w:val="bottom"/>
            <w:tcBorders>
              <w:top w:val="single" w:sz="8" w:color="0000FF"/>
            </w:tcBorders>
            <w:gridSpan w:val="4"/>
          </w:tcPr>
          <w:p>
            <w:pPr>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74</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560" w:type="dxa"/>
            <w:vAlign w:val="bottom"/>
            <w:tcBorders>
              <w:top w:val="single" w:sz="8" w:color="0000FF"/>
            </w:tcBorders>
            <w:gridSpan w:val="1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BUSINESS COMBINATION</w:t>
              </w:r>
            </w:hyperlink>
          </w:p>
        </w:tc>
        <w:tc>
          <w:tcPr>
            <w:tcW w:w="6940" w:type="dxa"/>
            <w:vAlign w:val="bottom"/>
            <w:gridSpan w:val="12"/>
          </w:tcPr>
          <w:p>
            <w:pPr>
              <w:spacing w:after="0"/>
              <w:rPr>
                <w:sz w:val="18"/>
                <w:szCs w:val="18"/>
                <w:color w:val="auto"/>
              </w:rPr>
            </w:pPr>
          </w:p>
        </w:tc>
        <w:tc>
          <w:tcPr>
            <w:tcW w:w="180" w:type="dxa"/>
            <w:vAlign w:val="bottom"/>
            <w:tcBorders>
              <w:top w:val="single" w:sz="8" w:color="0000FF"/>
            </w:tcBorders>
            <w:gridSpan w:val="4"/>
          </w:tcPr>
          <w:p>
            <w:pPr>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75</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96">
              <w:r>
                <w:rPr>
                  <w:rFonts w:ascii="Arial" w:cs="Arial" w:eastAsia="Arial" w:hAnsi="Arial"/>
                  <w:sz w:val="18"/>
                  <w:szCs w:val="18"/>
                  <w:color w:val="0000FF"/>
                  <w:w w:val="92"/>
                </w:rPr>
                <w:t>BUSINESS</w:t>
              </w:r>
            </w:hyperlink>
          </w:p>
        </w:tc>
        <w:tc>
          <w:tcPr>
            <w:tcW w:w="1300" w:type="dxa"/>
            <w:vAlign w:val="bottom"/>
            <w:tcBorders>
              <w:top w:val="single" w:sz="8" w:color="0000FF"/>
            </w:tcBorders>
            <w:gridSpan w:val="10"/>
          </w:tcPr>
          <w:p>
            <w:pPr>
              <w:spacing w:after="0"/>
              <w:rPr>
                <w:sz w:val="18"/>
                <w:szCs w:val="18"/>
                <w:color w:val="auto"/>
              </w:rPr>
            </w:pPr>
          </w:p>
        </w:tc>
        <w:tc>
          <w:tcPr>
            <w:tcW w:w="8340" w:type="dxa"/>
            <w:vAlign w:val="bottom"/>
            <w:gridSpan w:val="18"/>
          </w:tcPr>
          <w:p>
            <w:pPr>
              <w:spacing w:after="0"/>
              <w:rPr>
                <w:sz w:val="18"/>
                <w:szCs w:val="18"/>
                <w:color w:val="auto"/>
              </w:rPr>
            </w:pPr>
          </w:p>
        </w:tc>
        <w:tc>
          <w:tcPr>
            <w:tcW w:w="1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79"/>
              </w:rPr>
            </w:pPr>
            <w:hyperlink w:anchor="page96">
              <w:r>
                <w:rPr>
                  <w:rFonts w:ascii="Arial" w:cs="Arial" w:eastAsia="Arial" w:hAnsi="Arial"/>
                  <w:sz w:val="18"/>
                  <w:szCs w:val="18"/>
                  <w:color w:val="0000FF"/>
                  <w:w w:val="79"/>
                </w:rPr>
                <w:t>86</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8920" w:type="dxa"/>
            <w:vAlign w:val="bottom"/>
            <w:tcBorders>
              <w:bottom w:val="single" w:sz="8" w:color="0000FF"/>
            </w:tcBorders>
            <w:gridSpan w:val="29"/>
          </w:tcPr>
          <w:p>
            <w:pPr>
              <w:spacing w:after="0"/>
              <w:rPr>
                <w:rFonts w:ascii="Arial" w:cs="Arial" w:eastAsia="Arial" w:hAnsi="Arial"/>
                <w:sz w:val="18"/>
                <w:szCs w:val="18"/>
                <w:color w:val="0000FF"/>
                <w:w w:val="97"/>
              </w:rPr>
            </w:pPr>
            <w:hyperlink w:anchor="page112">
              <w:r>
                <w:rPr>
                  <w:rFonts w:ascii="Arial" w:cs="Arial" w:eastAsia="Arial" w:hAnsi="Arial"/>
                  <w:sz w:val="18"/>
                  <w:szCs w:val="18"/>
                  <w:color w:val="0000FF"/>
                  <w:w w:val="97"/>
                </w:rPr>
                <w:t>MANAGEMENT’S DISCUSSION AND ANALYSIS OF FINANCIAL CONDITION AND RESULTS OF OPERATIONS</w:t>
              </w:r>
            </w:hyperlink>
          </w:p>
        </w:tc>
        <w:tc>
          <w:tcPr>
            <w:tcW w:w="1580" w:type="dxa"/>
            <w:vAlign w:val="bottom"/>
          </w:tcPr>
          <w:p>
            <w:pPr>
              <w:spacing w:after="0"/>
              <w:rPr>
                <w:sz w:val="18"/>
                <w:szCs w:val="18"/>
                <w:color w:val="auto"/>
              </w:rPr>
            </w:pPr>
          </w:p>
        </w:tc>
        <w:tc>
          <w:tcPr>
            <w:tcW w:w="280" w:type="dxa"/>
            <w:vAlign w:val="bottom"/>
            <w:tcBorders>
              <w:bottom w:val="single" w:sz="8" w:color="0000FF"/>
            </w:tcBorders>
            <w:gridSpan w:val="6"/>
          </w:tcPr>
          <w:p>
            <w:pPr>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102</w:t>
              </w:r>
            </w:hyperlink>
          </w:p>
        </w:tc>
      </w:tr>
      <w:tr>
        <w:trPr>
          <w:trHeight w:val="210"/>
        </w:trPr>
        <w:tc>
          <w:tcPr>
            <w:tcW w:w="10500" w:type="dxa"/>
            <w:vAlign w:val="bottom"/>
            <w:gridSpan w:val="30"/>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EXECUTIVE COMPENSATION</w:t>
              </w:r>
            </w:hyperlink>
          </w:p>
        </w:tc>
        <w:tc>
          <w:tcPr>
            <w:tcW w:w="280" w:type="dxa"/>
            <w:vAlign w:val="bottom"/>
            <w:gridSpan w:val="6"/>
          </w:tcPr>
          <w:p>
            <w:pPr>
              <w:spacing w:after="0"/>
              <w:rPr>
                <w:rFonts w:ascii="Arial" w:cs="Arial" w:eastAsia="Arial" w:hAnsi="Arial"/>
                <w:sz w:val="18"/>
                <w:szCs w:val="18"/>
                <w:color w:val="0000FF"/>
                <w:w w:val="86"/>
              </w:rPr>
            </w:pPr>
            <w:hyperlink w:anchor="page130">
              <w:r>
                <w:rPr>
                  <w:rFonts w:ascii="Arial" w:cs="Arial" w:eastAsia="Arial" w:hAnsi="Arial"/>
                  <w:sz w:val="18"/>
                  <w:szCs w:val="18"/>
                  <w:color w:val="0000FF"/>
                  <w:w w:val="86"/>
                </w:rPr>
                <w:t>120</w:t>
              </w:r>
            </w:hyperlink>
          </w:p>
        </w:tc>
      </w:tr>
      <w:tr>
        <w:trPr>
          <w:trHeight w:val="209"/>
        </w:trPr>
        <w:tc>
          <w:tcPr>
            <w:tcW w:w="2440" w:type="dxa"/>
            <w:vAlign w:val="bottom"/>
            <w:tcBorders>
              <w:top w:val="single" w:sz="8" w:color="0000FF"/>
            </w:tcBorders>
            <w:gridSpan w:val="14"/>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MANAGEMENT</w:t>
              </w:r>
            </w:hyperlink>
          </w:p>
        </w:tc>
        <w:tc>
          <w:tcPr>
            <w:tcW w:w="8060" w:type="dxa"/>
            <w:vAlign w:val="bottom"/>
            <w:gridSpan w:val="16"/>
          </w:tcPr>
          <w:p>
            <w:pPr>
              <w:spacing w:after="0"/>
              <w:rPr>
                <w:sz w:val="18"/>
                <w:szCs w:val="18"/>
                <w:color w:val="auto"/>
              </w:rPr>
            </w:pPr>
          </w:p>
        </w:tc>
        <w:tc>
          <w:tcPr>
            <w:tcW w:w="280" w:type="dxa"/>
            <w:vAlign w:val="bottom"/>
            <w:tcBorders>
              <w:top w:val="single" w:sz="8" w:color="0000FF"/>
            </w:tcBorders>
            <w:gridSpan w:val="6"/>
          </w:tcPr>
          <w:p>
            <w:pPr>
              <w:spacing w:after="0"/>
              <w:rPr>
                <w:rFonts w:ascii="Arial" w:cs="Arial" w:eastAsia="Arial" w:hAnsi="Arial"/>
                <w:sz w:val="18"/>
                <w:szCs w:val="18"/>
                <w:color w:val="0000FF"/>
                <w:w w:val="86"/>
              </w:rPr>
            </w:pPr>
            <w:hyperlink w:anchor="page138">
              <w:r>
                <w:rPr>
                  <w:rFonts w:ascii="Arial" w:cs="Arial" w:eastAsia="Arial" w:hAnsi="Arial"/>
                  <w:sz w:val="18"/>
                  <w:szCs w:val="18"/>
                  <w:color w:val="0000FF"/>
                  <w:w w:val="86"/>
                </w:rPr>
                <w:t>128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10"/>
        </w:trPr>
        <w:tc>
          <w:tcPr>
            <w:tcW w:w="2520" w:type="dxa"/>
            <w:vAlign w:val="bottom"/>
            <w:tcBorders>
              <w:bottom w:val="single" w:sz="8" w:color="0000FF"/>
            </w:tcBorders>
            <w:gridSpan w:val="15"/>
          </w:tcPr>
          <w:p>
            <w:pPr>
              <w:spacing w:after="0"/>
              <w:rPr>
                <w:rFonts w:ascii="Arial" w:cs="Arial" w:eastAsia="Arial" w:hAnsi="Arial"/>
                <w:sz w:val="18"/>
                <w:szCs w:val="18"/>
                <w:color w:val="0000FF"/>
                <w:w w:val="93"/>
              </w:rPr>
            </w:pPr>
            <w:hyperlink w:anchor="page144">
              <w:r>
                <w:rPr>
                  <w:rFonts w:ascii="Arial" w:cs="Arial" w:eastAsia="Arial" w:hAnsi="Arial"/>
                  <w:sz w:val="18"/>
                  <w:szCs w:val="18"/>
                  <w:color w:val="0000FF"/>
                  <w:w w:val="93"/>
                </w:rPr>
                <w:t>DESCRIPTION OF SECURITIES</w:t>
              </w:r>
            </w:hyperlink>
          </w:p>
        </w:tc>
        <w:tc>
          <w:tcPr>
            <w:tcW w:w="7980" w:type="dxa"/>
            <w:vAlign w:val="bottom"/>
            <w:gridSpan w:val="15"/>
          </w:tcPr>
          <w:p>
            <w:pPr>
              <w:spacing w:after="0"/>
              <w:rPr>
                <w:sz w:val="18"/>
                <w:szCs w:val="18"/>
                <w:color w:val="auto"/>
              </w:rPr>
            </w:pPr>
          </w:p>
        </w:tc>
        <w:tc>
          <w:tcPr>
            <w:tcW w:w="280" w:type="dxa"/>
            <w:vAlign w:val="bottom"/>
            <w:tcBorders>
              <w:bottom w:val="single" w:sz="8" w:color="0000FF"/>
            </w:tcBorders>
            <w:gridSpan w:val="6"/>
          </w:tcPr>
          <w:p>
            <w:pPr>
              <w:spacing w:after="0"/>
              <w:rPr>
                <w:rFonts w:ascii="Arial" w:cs="Arial" w:eastAsia="Arial" w:hAnsi="Arial"/>
                <w:sz w:val="18"/>
                <w:szCs w:val="18"/>
                <w:color w:val="0000FF"/>
                <w:w w:val="86"/>
              </w:rPr>
            </w:pPr>
            <w:hyperlink w:anchor="page144">
              <w:r>
                <w:rPr>
                  <w:rFonts w:ascii="Arial" w:cs="Arial" w:eastAsia="Arial" w:hAnsi="Arial"/>
                  <w:sz w:val="18"/>
                  <w:szCs w:val="18"/>
                  <w:color w:val="0000FF"/>
                  <w:w w:val="86"/>
                </w:rPr>
                <w:t>134</w:t>
              </w:r>
            </w:hyperlink>
          </w:p>
        </w:tc>
      </w:tr>
      <w:tr>
        <w:trPr>
          <w:trHeight w:val="210"/>
        </w:trPr>
        <w:tc>
          <w:tcPr>
            <w:tcW w:w="5120" w:type="dxa"/>
            <w:vAlign w:val="bottom"/>
            <w:tcBorders>
              <w:bottom w:val="single" w:sz="8" w:color="0000FF"/>
            </w:tcBorders>
            <w:gridSpan w:val="23"/>
          </w:tcPr>
          <w:p>
            <w:pPr>
              <w:spacing w:after="0"/>
              <w:rPr>
                <w:rFonts w:ascii="Arial" w:cs="Arial" w:eastAsia="Arial" w:hAnsi="Arial"/>
                <w:sz w:val="18"/>
                <w:szCs w:val="18"/>
                <w:color w:val="0000FF"/>
                <w:w w:val="94"/>
              </w:rPr>
            </w:pPr>
            <w:hyperlink w:anchor="page154">
              <w:r>
                <w:rPr>
                  <w:rFonts w:ascii="Arial" w:cs="Arial" w:eastAsia="Arial" w:hAnsi="Arial"/>
                  <w:sz w:val="18"/>
                  <w:szCs w:val="18"/>
                  <w:color w:val="0000FF"/>
                  <w:w w:val="94"/>
                </w:rPr>
                <w:t>SECURITIES ACT RESTRICTIONS ON RESALE OF SECURITIES</w:t>
              </w:r>
            </w:hyperlink>
          </w:p>
        </w:tc>
        <w:tc>
          <w:tcPr>
            <w:tcW w:w="5380" w:type="dxa"/>
            <w:vAlign w:val="bottom"/>
            <w:gridSpan w:val="7"/>
          </w:tcPr>
          <w:p>
            <w:pPr>
              <w:spacing w:after="0"/>
              <w:rPr>
                <w:sz w:val="18"/>
                <w:szCs w:val="18"/>
                <w:color w:val="auto"/>
              </w:rPr>
            </w:pPr>
          </w:p>
        </w:tc>
        <w:tc>
          <w:tcPr>
            <w:tcW w:w="280" w:type="dxa"/>
            <w:vAlign w:val="bottom"/>
            <w:tcBorders>
              <w:bottom w:val="single" w:sz="8" w:color="0000FF"/>
            </w:tcBorders>
            <w:gridSpan w:val="6"/>
          </w:tcPr>
          <w:p>
            <w:pPr>
              <w:spacing w:after="0"/>
              <w:rPr>
                <w:rFonts w:ascii="Arial" w:cs="Arial" w:eastAsia="Arial" w:hAnsi="Arial"/>
                <w:sz w:val="18"/>
                <w:szCs w:val="18"/>
                <w:color w:val="0000FF"/>
                <w:w w:val="86"/>
              </w:rPr>
            </w:pPr>
            <w:hyperlink w:anchor="page154">
              <w:r>
                <w:rPr>
                  <w:rFonts w:ascii="Arial" w:cs="Arial" w:eastAsia="Arial" w:hAnsi="Arial"/>
                  <w:sz w:val="18"/>
                  <w:szCs w:val="18"/>
                  <w:color w:val="0000FF"/>
                  <w:w w:val="86"/>
                </w:rPr>
                <w:t>144</w:t>
              </w:r>
            </w:hyperlink>
          </w:p>
        </w:tc>
      </w:tr>
      <w:tr>
        <w:trPr>
          <w:trHeight w:val="210"/>
        </w:trPr>
        <w:tc>
          <w:tcPr>
            <w:tcW w:w="10500" w:type="dxa"/>
            <w:vAlign w:val="bottom"/>
            <w:gridSpan w:val="30"/>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BENEFICIAL OWNERSHIP OF SECURITIES</w:t>
              </w:r>
            </w:hyperlink>
          </w:p>
        </w:tc>
        <w:tc>
          <w:tcPr>
            <w:tcW w:w="280" w:type="dxa"/>
            <w:vAlign w:val="bottom"/>
            <w:gridSpan w:val="6"/>
          </w:tcPr>
          <w:p>
            <w:pPr>
              <w:spacing w:after="0"/>
              <w:rPr>
                <w:rFonts w:ascii="Arial" w:cs="Arial" w:eastAsia="Arial" w:hAnsi="Arial"/>
                <w:sz w:val="18"/>
                <w:szCs w:val="18"/>
                <w:color w:val="0000FF"/>
                <w:w w:val="86"/>
              </w:rPr>
            </w:pPr>
            <w:hyperlink w:anchor="page158">
              <w:r>
                <w:rPr>
                  <w:rFonts w:ascii="Arial" w:cs="Arial" w:eastAsia="Arial" w:hAnsi="Arial"/>
                  <w:sz w:val="18"/>
                  <w:szCs w:val="18"/>
                  <w:color w:val="0000FF"/>
                  <w:w w:val="86"/>
                </w:rPr>
                <w:t>148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09"/>
        </w:trPr>
        <w:tc>
          <w:tcPr>
            <w:tcW w:w="10500" w:type="dxa"/>
            <w:vAlign w:val="bottom"/>
            <w:gridSpan w:val="30"/>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CERTAIN RELATIONSHIPS AND RELATED PERSONS TRANSACTIONS</w:t>
              </w:r>
            </w:hyperlink>
          </w:p>
        </w:tc>
        <w:tc>
          <w:tcPr>
            <w:tcW w:w="280" w:type="dxa"/>
            <w:vAlign w:val="bottom"/>
            <w:gridSpan w:val="6"/>
          </w:tcPr>
          <w:p>
            <w:pPr>
              <w:spacing w:after="0"/>
              <w:rPr>
                <w:rFonts w:ascii="Arial" w:cs="Arial" w:eastAsia="Arial" w:hAnsi="Arial"/>
                <w:sz w:val="18"/>
                <w:szCs w:val="18"/>
                <w:color w:val="0000FF"/>
                <w:w w:val="86"/>
              </w:rPr>
            </w:pPr>
            <w:hyperlink w:anchor="page163">
              <w:r>
                <w:rPr>
                  <w:rFonts w:ascii="Arial" w:cs="Arial" w:eastAsia="Arial" w:hAnsi="Arial"/>
                  <w:sz w:val="18"/>
                  <w:szCs w:val="18"/>
                  <w:color w:val="0000FF"/>
                  <w:w w:val="86"/>
                </w:rPr>
                <w:t>153</w:t>
              </w:r>
            </w:hyperlink>
          </w:p>
        </w:tc>
      </w:tr>
      <w:tr>
        <w:trPr>
          <w:trHeight w:val="210"/>
        </w:trPr>
        <w:tc>
          <w:tcPr>
            <w:tcW w:w="16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6"/>
              </w:rPr>
            </w:pPr>
            <w:hyperlink w:anchor="page170">
              <w:r>
                <w:rPr>
                  <w:rFonts w:ascii="Arial" w:cs="Arial" w:eastAsia="Arial" w:hAnsi="Arial"/>
                  <w:sz w:val="18"/>
                  <w:szCs w:val="18"/>
                  <w:color w:val="0000FF"/>
                  <w:w w:val="96"/>
                </w:rPr>
                <w:t>SELLING HOLDERS</w:t>
              </w:r>
            </w:hyperlink>
          </w:p>
        </w:tc>
        <w:tc>
          <w:tcPr>
            <w:tcW w:w="4060" w:type="dxa"/>
            <w:vAlign w:val="bottom"/>
            <w:tcBorders>
              <w:top w:val="single" w:sz="8" w:color="0000FF"/>
            </w:tcBorders>
            <w:gridSpan w:val="17"/>
          </w:tcPr>
          <w:p>
            <w:pPr>
              <w:spacing w:after="0"/>
              <w:rPr>
                <w:sz w:val="18"/>
                <w:szCs w:val="18"/>
                <w:color w:val="auto"/>
              </w:rPr>
            </w:pPr>
          </w:p>
        </w:tc>
        <w:tc>
          <w:tcPr>
            <w:tcW w:w="4800" w:type="dxa"/>
            <w:vAlign w:val="bottom"/>
            <w:gridSpan w:val="5"/>
          </w:tcPr>
          <w:p>
            <w:pPr>
              <w:spacing w:after="0"/>
              <w:rPr>
                <w:sz w:val="18"/>
                <w:szCs w:val="18"/>
                <w:color w:val="auto"/>
              </w:rPr>
            </w:pPr>
          </w:p>
        </w:tc>
        <w:tc>
          <w:tcPr>
            <w:tcW w:w="2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6"/>
              </w:rPr>
            </w:pPr>
            <w:hyperlink w:anchor="page170">
              <w:r>
                <w:rPr>
                  <w:rFonts w:ascii="Arial" w:cs="Arial" w:eastAsia="Arial" w:hAnsi="Arial"/>
                  <w:sz w:val="18"/>
                  <w:szCs w:val="18"/>
                  <w:color w:val="0000FF"/>
                  <w:w w:val="86"/>
                </w:rPr>
                <w:t>160</w:t>
              </w:r>
            </w:hyperlink>
          </w:p>
        </w:tc>
      </w:tr>
      <w:tr>
        <w:trPr>
          <w:trHeight w:val="210"/>
        </w:trPr>
        <w:tc>
          <w:tcPr>
            <w:tcW w:w="2060" w:type="dxa"/>
            <w:vAlign w:val="bottom"/>
            <w:tcBorders>
              <w:bottom w:val="single" w:sz="8" w:color="0000FF"/>
            </w:tcBorders>
            <w:gridSpan w:val="9"/>
          </w:tcPr>
          <w:p>
            <w:pPr>
              <w:spacing w:after="0"/>
              <w:rPr>
                <w:rFonts w:ascii="Arial" w:cs="Arial" w:eastAsia="Arial" w:hAnsi="Arial"/>
                <w:sz w:val="18"/>
                <w:szCs w:val="18"/>
                <w:color w:val="0000FF"/>
                <w:w w:val="97"/>
              </w:rPr>
            </w:pPr>
            <w:hyperlink w:anchor="page175">
              <w:r>
                <w:rPr>
                  <w:rFonts w:ascii="Arial" w:cs="Arial" w:eastAsia="Arial" w:hAnsi="Arial"/>
                  <w:sz w:val="18"/>
                  <w:szCs w:val="18"/>
                  <w:color w:val="0000FF"/>
                  <w:w w:val="97"/>
                </w:rPr>
                <w:t>PLAN OF DISTRIBUTION</w:t>
              </w:r>
            </w:hyperlink>
          </w:p>
        </w:tc>
        <w:tc>
          <w:tcPr>
            <w:tcW w:w="8440" w:type="dxa"/>
            <w:vAlign w:val="bottom"/>
            <w:gridSpan w:val="21"/>
          </w:tcPr>
          <w:p>
            <w:pPr>
              <w:spacing w:after="0"/>
              <w:rPr>
                <w:sz w:val="18"/>
                <w:szCs w:val="18"/>
                <w:color w:val="auto"/>
              </w:rPr>
            </w:pPr>
          </w:p>
        </w:tc>
        <w:tc>
          <w:tcPr>
            <w:tcW w:w="280" w:type="dxa"/>
            <w:vAlign w:val="bottom"/>
            <w:tcBorders>
              <w:bottom w:val="single" w:sz="8" w:color="0000FF"/>
            </w:tcBorders>
            <w:gridSpan w:val="6"/>
          </w:tcPr>
          <w:p>
            <w:pPr>
              <w:spacing w:after="0"/>
              <w:rPr>
                <w:rFonts w:ascii="Arial" w:cs="Arial" w:eastAsia="Arial" w:hAnsi="Arial"/>
                <w:sz w:val="18"/>
                <w:szCs w:val="18"/>
                <w:color w:val="0000FF"/>
                <w:w w:val="86"/>
              </w:rPr>
            </w:pPr>
            <w:hyperlink w:anchor="page175">
              <w:r>
                <w:rPr>
                  <w:rFonts w:ascii="Arial" w:cs="Arial" w:eastAsia="Arial" w:hAnsi="Arial"/>
                  <w:sz w:val="18"/>
                  <w:szCs w:val="18"/>
                  <w:color w:val="0000FF"/>
                  <w:w w:val="86"/>
                </w:rPr>
                <w:t>165</w:t>
              </w:r>
            </w:hyperlink>
          </w:p>
        </w:tc>
      </w:tr>
      <w:tr>
        <w:trPr>
          <w:trHeight w:val="210"/>
        </w:trPr>
        <w:tc>
          <w:tcPr>
            <w:tcW w:w="4940" w:type="dxa"/>
            <w:vAlign w:val="bottom"/>
            <w:tcBorders>
              <w:bottom w:val="single" w:sz="8" w:color="0000FF"/>
            </w:tcBorders>
            <w:gridSpan w:val="22"/>
          </w:tcPr>
          <w:p>
            <w:pPr>
              <w:spacing w:after="0"/>
              <w:rPr>
                <w:rFonts w:ascii="Arial" w:cs="Arial" w:eastAsia="Arial" w:hAnsi="Arial"/>
                <w:sz w:val="18"/>
                <w:szCs w:val="18"/>
                <w:color w:val="0000FF"/>
                <w:w w:val="95"/>
              </w:rPr>
            </w:pPr>
            <w:hyperlink w:anchor="page177">
              <w:r>
                <w:rPr>
                  <w:rFonts w:ascii="Arial" w:cs="Arial" w:eastAsia="Arial" w:hAnsi="Arial"/>
                  <w:sz w:val="18"/>
                  <w:szCs w:val="18"/>
                  <w:color w:val="0000FF"/>
                  <w:w w:val="95"/>
                </w:rPr>
                <w:t>UNITED STATES FEDERAL INCOME TAX CONSIDERATIONS</w:t>
              </w:r>
            </w:hyperlink>
          </w:p>
        </w:tc>
        <w:tc>
          <w:tcPr>
            <w:tcW w:w="5560" w:type="dxa"/>
            <w:vAlign w:val="bottom"/>
            <w:gridSpan w:val="8"/>
          </w:tcPr>
          <w:p>
            <w:pPr>
              <w:spacing w:after="0"/>
              <w:rPr>
                <w:sz w:val="18"/>
                <w:szCs w:val="18"/>
                <w:color w:val="auto"/>
              </w:rPr>
            </w:pPr>
          </w:p>
        </w:tc>
        <w:tc>
          <w:tcPr>
            <w:tcW w:w="280" w:type="dxa"/>
            <w:vAlign w:val="bottom"/>
            <w:tcBorders>
              <w:bottom w:val="single" w:sz="8" w:color="0000FF"/>
            </w:tcBorders>
            <w:gridSpan w:val="6"/>
          </w:tcPr>
          <w:p>
            <w:pPr>
              <w:spacing w:after="0"/>
              <w:rPr>
                <w:rFonts w:ascii="Arial" w:cs="Arial" w:eastAsia="Arial" w:hAnsi="Arial"/>
                <w:sz w:val="18"/>
                <w:szCs w:val="18"/>
                <w:color w:val="0000FF"/>
                <w:w w:val="86"/>
              </w:rPr>
            </w:pPr>
            <w:hyperlink w:anchor="page177">
              <w:r>
                <w:rPr>
                  <w:rFonts w:ascii="Arial" w:cs="Arial" w:eastAsia="Arial" w:hAnsi="Arial"/>
                  <w:sz w:val="18"/>
                  <w:szCs w:val="18"/>
                  <w:color w:val="0000FF"/>
                  <w:w w:val="86"/>
                </w:rPr>
                <w:t>167</w:t>
              </w:r>
            </w:hyperlink>
          </w:p>
        </w:tc>
      </w:tr>
      <w:tr>
        <w:trPr>
          <w:trHeight w:val="209"/>
        </w:trPr>
        <w:tc>
          <w:tcPr>
            <w:tcW w:w="10500" w:type="dxa"/>
            <w:vAlign w:val="bottom"/>
            <w:gridSpan w:val="30"/>
          </w:tcPr>
          <w:p>
            <w:pPr>
              <w:spacing w:after="0"/>
              <w:rPr>
                <w:rFonts w:ascii="Arial" w:cs="Arial" w:eastAsia="Arial" w:hAnsi="Arial"/>
                <w:sz w:val="18"/>
                <w:szCs w:val="18"/>
                <w:color w:val="0000FF"/>
              </w:rPr>
            </w:pPr>
            <w:hyperlink w:anchor="page182">
              <w:r>
                <w:rPr>
                  <w:rFonts w:ascii="Arial" w:cs="Arial" w:eastAsia="Arial" w:hAnsi="Arial"/>
                  <w:sz w:val="18"/>
                  <w:szCs w:val="18"/>
                  <w:color w:val="0000FF"/>
                </w:rPr>
                <w:t>LEGAL MATTERS</w:t>
              </w:r>
            </w:hyperlink>
          </w:p>
        </w:tc>
        <w:tc>
          <w:tcPr>
            <w:tcW w:w="280" w:type="dxa"/>
            <w:vAlign w:val="bottom"/>
            <w:gridSpan w:val="6"/>
          </w:tcPr>
          <w:p>
            <w:pPr>
              <w:spacing w:after="0"/>
              <w:rPr>
                <w:rFonts w:ascii="Arial" w:cs="Arial" w:eastAsia="Arial" w:hAnsi="Arial"/>
                <w:sz w:val="18"/>
                <w:szCs w:val="18"/>
                <w:color w:val="0000FF"/>
                <w:w w:val="86"/>
              </w:rPr>
            </w:pPr>
            <w:hyperlink w:anchor="page182">
              <w:r>
                <w:rPr>
                  <w:rFonts w:ascii="Arial" w:cs="Arial" w:eastAsia="Arial" w:hAnsi="Arial"/>
                  <w:sz w:val="18"/>
                  <w:szCs w:val="18"/>
                  <w:color w:val="0000FF"/>
                  <w:w w:val="86"/>
                </w:rPr>
                <w:t>172</w:t>
              </w:r>
            </w:hyperlink>
          </w:p>
        </w:tc>
      </w:tr>
      <w:tr>
        <w:trPr>
          <w:trHeight w:val="210"/>
        </w:trPr>
        <w:tc>
          <w:tcPr>
            <w:tcW w:w="7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183">
              <w:r>
                <w:rPr>
                  <w:rFonts w:ascii="Arial" w:cs="Arial" w:eastAsia="Arial" w:hAnsi="Arial"/>
                  <w:sz w:val="18"/>
                  <w:szCs w:val="18"/>
                  <w:color w:val="0000FF"/>
                  <w:w w:val="90"/>
                </w:rPr>
                <w:t>EXPERTS</w:t>
              </w:r>
            </w:hyperlink>
          </w:p>
        </w:tc>
        <w:tc>
          <w:tcPr>
            <w:tcW w:w="680" w:type="dxa"/>
            <w:vAlign w:val="bottom"/>
            <w:tcBorders>
              <w:top w:val="single" w:sz="8" w:color="0000FF"/>
            </w:tcBorders>
            <w:gridSpan w:val="4"/>
          </w:tcPr>
          <w:p>
            <w:pPr>
              <w:spacing w:after="0"/>
              <w:rPr>
                <w:sz w:val="18"/>
                <w:szCs w:val="18"/>
                <w:color w:val="auto"/>
              </w:rPr>
            </w:pPr>
          </w:p>
        </w:tc>
        <w:tc>
          <w:tcPr>
            <w:tcW w:w="9040" w:type="dxa"/>
            <w:vAlign w:val="bottom"/>
            <w:gridSpan w:val="25"/>
          </w:tcPr>
          <w:p>
            <w:pPr>
              <w:spacing w:after="0"/>
              <w:rPr>
                <w:sz w:val="18"/>
                <w:szCs w:val="18"/>
                <w:color w:val="auto"/>
              </w:rPr>
            </w:pPr>
          </w:p>
        </w:tc>
        <w:tc>
          <w:tcPr>
            <w:tcW w:w="2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6"/>
              </w:rPr>
            </w:pPr>
            <w:hyperlink w:anchor="page183">
              <w:r>
                <w:rPr>
                  <w:rFonts w:ascii="Arial" w:cs="Arial" w:eastAsia="Arial" w:hAnsi="Arial"/>
                  <w:sz w:val="18"/>
                  <w:szCs w:val="18"/>
                  <w:color w:val="0000FF"/>
                  <w:w w:val="86"/>
                </w:rPr>
                <w:t>172</w:t>
              </w:r>
            </w:hyperlink>
          </w:p>
        </w:tc>
      </w:tr>
      <w:tr>
        <w:trPr>
          <w:trHeight w:val="210"/>
        </w:trPr>
        <w:tc>
          <w:tcPr>
            <w:tcW w:w="3820" w:type="dxa"/>
            <w:vAlign w:val="bottom"/>
            <w:tcBorders>
              <w:bottom w:val="single" w:sz="8" w:color="0000FF"/>
            </w:tcBorders>
            <w:gridSpan w:val="19"/>
          </w:tcPr>
          <w:p>
            <w:pPr>
              <w:spacing w:after="0"/>
              <w:rPr>
                <w:rFonts w:ascii="Arial" w:cs="Arial" w:eastAsia="Arial" w:hAnsi="Arial"/>
                <w:sz w:val="18"/>
                <w:szCs w:val="18"/>
                <w:color w:val="0000FF"/>
                <w:w w:val="97"/>
              </w:rPr>
            </w:pPr>
            <w:hyperlink w:anchor="page183">
              <w:r>
                <w:rPr>
                  <w:rFonts w:ascii="Arial" w:cs="Arial" w:eastAsia="Arial" w:hAnsi="Arial"/>
                  <w:sz w:val="18"/>
                  <w:szCs w:val="18"/>
                  <w:color w:val="0000FF"/>
                  <w:w w:val="97"/>
                </w:rPr>
                <w:t>WHERE YOU CAN FIND MORE INFORMATION</w:t>
              </w:r>
            </w:hyperlink>
          </w:p>
        </w:tc>
        <w:tc>
          <w:tcPr>
            <w:tcW w:w="6680" w:type="dxa"/>
            <w:vAlign w:val="bottom"/>
            <w:gridSpan w:val="11"/>
          </w:tcPr>
          <w:p>
            <w:pPr>
              <w:spacing w:after="0"/>
              <w:rPr>
                <w:sz w:val="18"/>
                <w:szCs w:val="18"/>
                <w:color w:val="auto"/>
              </w:rPr>
            </w:pPr>
          </w:p>
        </w:tc>
        <w:tc>
          <w:tcPr>
            <w:tcW w:w="280" w:type="dxa"/>
            <w:vAlign w:val="bottom"/>
            <w:tcBorders>
              <w:bottom w:val="single" w:sz="8" w:color="0000FF"/>
            </w:tcBorders>
            <w:gridSpan w:val="6"/>
          </w:tcPr>
          <w:p>
            <w:pPr>
              <w:spacing w:after="0"/>
              <w:rPr>
                <w:rFonts w:ascii="Arial" w:cs="Arial" w:eastAsia="Arial" w:hAnsi="Arial"/>
                <w:sz w:val="18"/>
                <w:szCs w:val="18"/>
                <w:color w:val="0000FF"/>
                <w:w w:val="86"/>
              </w:rPr>
            </w:pPr>
            <w:hyperlink w:anchor="page183">
              <w:r>
                <w:rPr>
                  <w:rFonts w:ascii="Arial" w:cs="Arial" w:eastAsia="Arial" w:hAnsi="Arial"/>
                  <w:sz w:val="18"/>
                  <w:szCs w:val="18"/>
                  <w:color w:val="0000FF"/>
                  <w:w w:val="86"/>
                </w:rPr>
                <w:t>172</w:t>
              </w:r>
            </w:hyperlink>
          </w:p>
        </w:tc>
      </w:tr>
      <w:tr>
        <w:trPr>
          <w:trHeight w:val="210"/>
        </w:trPr>
        <w:tc>
          <w:tcPr>
            <w:tcW w:w="10500" w:type="dxa"/>
            <w:vAlign w:val="bottom"/>
            <w:gridSpan w:val="30"/>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INDEX TO CONSOLIDATED FINANCIAL INFORMATION</w:t>
              </w:r>
            </w:hyperlink>
          </w:p>
        </w:tc>
        <w:tc>
          <w:tcPr>
            <w:tcW w:w="280" w:type="dxa"/>
            <w:vAlign w:val="bottom"/>
            <w:gridSpan w:val="6"/>
          </w:tcPr>
          <w:p>
            <w:pPr>
              <w:spacing w:after="0"/>
              <w:rPr>
                <w:rFonts w:ascii="Arial" w:cs="Arial" w:eastAsia="Arial" w:hAnsi="Arial"/>
                <w:sz w:val="18"/>
                <w:szCs w:val="18"/>
                <w:color w:val="0000FF"/>
                <w:w w:val="96"/>
              </w:rPr>
            </w:pPr>
            <w:hyperlink w:anchor="page183">
              <w:r>
                <w:rPr>
                  <w:rFonts w:ascii="Arial" w:cs="Arial" w:eastAsia="Arial" w:hAnsi="Arial"/>
                  <w:sz w:val="18"/>
                  <w:szCs w:val="18"/>
                  <w:color w:val="0000FF"/>
                  <w:w w:val="96"/>
                </w:rPr>
                <w:t>F-1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440" w:right="779" w:bottom="1440" w:gutter="0" w:footer="0" w:header="0"/>
        </w:sectPr>
      </w:pPr>
    </w:p>
    <w:bookmarkStart w:id="3" w:name="page4"/>
    <w:bookmarkEnd w:id="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is part of a registration statement on Form S-1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7,869,975 shares of Class A common stock upon exercise of the Public Warrants and Private Placement Warrants. The Selling Holders may use the shelf registration statement to sell up to an aggregate of 64,738,934 shares of Class A common stock and up to 203,333 Warrants from time to time through any means described in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More specific terms of any securities that the Selling Holders offer and sell may be provided in a prospectus supplement that describes, among other things, the specific amounts and prices of the Class A common stock and/or Warrants being offered and the terms of the offering.</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or any applicable prospectus supplement.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3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Neither we nor the Selling Holders have authorized anyone to provide any information or to make any representations other than those contained in this prospectus or any accompanying prospectus supplement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applicable prospectus supplement.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w:t>
      </w:r>
    </w:p>
    <w:p>
      <w:pPr>
        <w:spacing w:after="0" w:line="12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June 24, 2021 (the “</w:t>
      </w:r>
      <w:r>
        <w:rPr>
          <w:rFonts w:ascii="Arial" w:cs="Arial" w:eastAsia="Arial" w:hAnsi="Arial"/>
          <w:sz w:val="16"/>
          <w:szCs w:val="16"/>
          <w:u w:val="single" w:color="auto"/>
          <w:color w:val="auto"/>
        </w:rPr>
        <w:t>Closing Date</w:t>
      </w:r>
      <w:r>
        <w:rPr>
          <w:rFonts w:ascii="Arial" w:cs="Arial" w:eastAsia="Arial" w:hAnsi="Arial"/>
          <w:sz w:val="16"/>
          <w:szCs w:val="16"/>
          <w:color w:val="auto"/>
        </w:rPr>
        <w:t>”), Perella Weinberg Partners (formerly known as FinTech Acquisition Corp. IV (“</w:t>
      </w:r>
      <w:r>
        <w:rPr>
          <w:rFonts w:ascii="Arial" w:cs="Arial" w:eastAsia="Arial" w:hAnsi="Arial"/>
          <w:sz w:val="16"/>
          <w:szCs w:val="16"/>
          <w:u w:val="single" w:color="auto"/>
          <w:color w:val="auto"/>
        </w:rPr>
        <w:t>FTIV</w:t>
      </w:r>
      <w:r>
        <w:rPr>
          <w:rFonts w:ascii="Arial" w:cs="Arial" w:eastAsia="Arial" w:hAnsi="Arial"/>
          <w:sz w:val="16"/>
          <w:szCs w:val="16"/>
          <w:color w:val="auto"/>
        </w:rPr>
        <w:t>”)), consummated its previously announced business combination pursuant to that certain Business Combination Agreement, dated as of December 29, 2020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by and among FTIV, FinTech Investor Holdings IV, LLC, a Delaware limited liability company, FinTech Masala Advisors, LLC, a Delaware limited liability company (together with FinTech Investor Holdings IV, LLC, “</w:t>
      </w:r>
      <w:r>
        <w:rPr>
          <w:rFonts w:ascii="Arial" w:cs="Arial" w:eastAsia="Arial" w:hAnsi="Arial"/>
          <w:sz w:val="16"/>
          <w:szCs w:val="16"/>
          <w:u w:val="single" w:color="auto"/>
          <w:color w:val="auto"/>
        </w:rPr>
        <w:t>Sponsor</w:t>
      </w:r>
      <w:r>
        <w:rPr>
          <w:rFonts w:ascii="Arial" w:cs="Arial" w:eastAsia="Arial" w:hAnsi="Arial"/>
          <w:sz w:val="16"/>
          <w:szCs w:val="16"/>
          <w:color w:val="auto"/>
        </w:rPr>
        <w:t>”), PWP Holdings LP, a Delaware limited partnership (“</w:t>
      </w:r>
      <w:r>
        <w:rPr>
          <w:rFonts w:ascii="Arial" w:cs="Arial" w:eastAsia="Arial" w:hAnsi="Arial"/>
          <w:sz w:val="16"/>
          <w:szCs w:val="16"/>
          <w:u w:val="single" w:color="auto"/>
          <w:color w:val="auto"/>
        </w:rPr>
        <w:t>PWP OpCo</w:t>
      </w:r>
      <w:r>
        <w:rPr>
          <w:rFonts w:ascii="Arial" w:cs="Arial" w:eastAsia="Arial" w:hAnsi="Arial"/>
          <w:sz w:val="16"/>
          <w:szCs w:val="16"/>
          <w:color w:val="auto"/>
        </w:rPr>
        <w:t>”), PWP GP LLC, a Delaware limited liability company and the general partner of PWP OpCo (“</w:t>
      </w:r>
      <w:r>
        <w:rPr>
          <w:rFonts w:ascii="Arial" w:cs="Arial" w:eastAsia="Arial" w:hAnsi="Arial"/>
          <w:sz w:val="16"/>
          <w:szCs w:val="16"/>
          <w:u w:val="single" w:color="auto"/>
          <w:color w:val="auto"/>
        </w:rPr>
        <w:t>PWP GP</w:t>
      </w:r>
      <w:r>
        <w:rPr>
          <w:rFonts w:ascii="Arial" w:cs="Arial" w:eastAsia="Arial" w:hAnsi="Arial"/>
          <w:sz w:val="16"/>
          <w:szCs w:val="16"/>
          <w:color w:val="auto"/>
        </w:rPr>
        <w:t>”), PWP Professional Partners LP, a Delaware limited partnership and a limited partner of PWP OpCo (“</w:t>
      </w:r>
      <w:r>
        <w:rPr>
          <w:rFonts w:ascii="Arial" w:cs="Arial" w:eastAsia="Arial" w:hAnsi="Arial"/>
          <w:sz w:val="16"/>
          <w:szCs w:val="16"/>
          <w:u w:val="single" w:color="auto"/>
          <w:color w:val="auto"/>
        </w:rPr>
        <w:t>Professional Partners</w:t>
      </w:r>
      <w:r>
        <w:rPr>
          <w:rFonts w:ascii="Arial" w:cs="Arial" w:eastAsia="Arial" w:hAnsi="Arial"/>
          <w:sz w:val="16"/>
          <w:szCs w:val="16"/>
          <w:color w:val="auto"/>
        </w:rPr>
        <w:t>”), and Perella Weinberg Partners LLC, a Delaware limited liability company and the general partner of Professional Partners (“</w:t>
      </w:r>
      <w:r>
        <w:rPr>
          <w:rFonts w:ascii="Arial" w:cs="Arial" w:eastAsia="Arial" w:hAnsi="Arial"/>
          <w:sz w:val="16"/>
          <w:szCs w:val="16"/>
          <w:u w:val="single" w:color="auto"/>
          <w:color w:val="auto"/>
        </w:rPr>
        <w:t>Professionals GP</w:t>
      </w:r>
      <w:r>
        <w:rPr>
          <w:rFonts w:ascii="Arial" w:cs="Arial" w:eastAsia="Arial" w:hAnsi="Arial"/>
          <w:sz w:val="16"/>
          <w:szCs w:val="16"/>
          <w:color w:val="auto"/>
        </w:rPr>
        <w:t>”). As contemplated by the Business Combination Agreement,</w:t>
      </w:r>
    </w:p>
    <w:p>
      <w:pPr>
        <w:spacing w:after="0" w:line="2" w:lineRule="exact"/>
        <w:rPr>
          <w:sz w:val="20"/>
          <w:szCs w:val="20"/>
          <w:color w:val="auto"/>
        </w:rPr>
      </w:pPr>
    </w:p>
    <w:p>
      <w:pPr>
        <w:ind w:firstLine="8"/>
        <w:spacing w:after="0" w:line="302"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w:t>
      </w:r>
    </w:p>
    <w:p>
      <w:pPr>
        <w:spacing w:after="0" w:line="10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market, ranking and industry data included in this prospectus, including the size of certain markets and our size or position and the positions of our competitors within these markets, including our products and services relative to our competitors, are based on estimates by our management. These estimates have been derived from our management’s knowledge and experience in the markets in which we operate,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responsible for all of the disclosure in this prospectus and while we believe the data from these sources to be accurate and complete, we have not independently verified all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us being a leader in a market or product category refers to our belief that we have a leading market share, expertise or thought leadership position in each specified market, unless the context otherwise requires. In addition, the discussion herein regarding our various markets is based on how we define the markets for our products or services, which products or services may be either part of larger overall markets or markets that include other types of products and services. Assumptions and estimates regarding our current and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Business</w:t>
      </w:r>
      <w:r>
        <w:rPr>
          <w:rFonts w:ascii="Arial" w:cs="Arial" w:eastAsia="Arial" w:hAnsi="Arial"/>
          <w:sz w:val="16"/>
          <w:szCs w:val="16"/>
          <w:color w:val="auto"/>
        </w:rPr>
        <w:t>.” These and other factors could cause our future performance to differ materially from our assumptions and estimates. See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12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this prospectus, we use the term “independent advisory firms” to refer to independent investment banks that offer advisory services. We consider the independent advisory firms to be our publicly traded peers, Evercore Partners Inc.; Greenhill &amp; Co., Inc.; Houlihan Lokey, Inc.; Lazard Ltd; Moelis &amp; Company; PJT Partners, Inc., as well as our non-publicly traded peers, Centerview Partners; Guggenheim Partners; and NM Rothschild &amp; Sons Limited. The mergers and acquisitions (“</w:t>
      </w:r>
      <w:r>
        <w:rPr>
          <w:rFonts w:ascii="Arial" w:cs="Arial" w:eastAsia="Arial" w:hAnsi="Arial"/>
          <w:sz w:val="18"/>
          <w:szCs w:val="18"/>
          <w:u w:val="single" w:color="auto"/>
          <w:color w:val="auto"/>
        </w:rPr>
        <w:t>M&amp;A</w:t>
      </w:r>
      <w:r>
        <w:rPr>
          <w:rFonts w:ascii="Arial" w:cs="Arial" w:eastAsia="Arial" w:hAnsi="Arial"/>
          <w:sz w:val="18"/>
          <w:szCs w:val="18"/>
          <w:color w:val="auto"/>
        </w:rPr>
        <w:t>”) market data for announced and completed transactions and estimated fee data referenced throughout this prospectus were obtained from Dealogic,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to financial measures presented in accordance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we present certain non-GAAP financial measures in this prospectus, including Adjusted total compensation and benefits, Adjusted non-compensation expense, Adjusted operating income (loss), Adjusted non-operating income (expenses), Adjusted income (loss) before income taxes, Adjusted income tax benefit (expense) and Adjusted net income (loss), which we monitor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 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income tax benefit (expense)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 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 For additional information regarding see “</w:t>
      </w:r>
      <w:r>
        <w:rPr>
          <w:rFonts w:ascii="Arial" w:cs="Arial" w:eastAsia="Arial" w:hAnsi="Arial"/>
          <w:sz w:val="17"/>
          <w:szCs w:val="17"/>
          <w:i w:val="1"/>
          <w:iCs w:val="1"/>
          <w:color w:val="auto"/>
        </w:rPr>
        <w:t>Summary Historical Financial and Other Information</w:t>
      </w:r>
      <w:r>
        <w:rPr>
          <w:rFonts w:ascii="Arial" w:cs="Arial" w:eastAsia="Arial" w:hAnsi="Arial"/>
          <w:sz w:val="17"/>
          <w:szCs w:val="17"/>
          <w:color w:val="auto"/>
        </w:rPr>
        <w: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prospectus may contain some trademarks, service marks and trade names of the Company or of third parties.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12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stated in this prospectus or the context otherwise requires, references to:</w:t>
      </w:r>
    </w:p>
    <w:p>
      <w:pPr>
        <w:spacing w:after="0" w:line="171" w:lineRule="exact"/>
        <w:rPr>
          <w:sz w:val="20"/>
          <w:szCs w:val="20"/>
          <w:color w:val="auto"/>
        </w:rPr>
      </w:pPr>
    </w:p>
    <w:p>
      <w:pPr>
        <w:ind w:left="660" w:right="5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are to Class A common stock, par value $0.0001 per share, of FTIV prior to the Business Combination, and of the Company immediately following the consummation of the Business Combination;</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are to Class B common stock, par value $0.0001 per share, of FTIV prior to the Business Combination and, collectively to Class B-1 common stock, par value $0.0001 per share, and Class B-2 common stock, par value $0.0001 per share, of the Company immediately following the consummation of the Business Combination;</w:t>
      </w:r>
    </w:p>
    <w:p>
      <w:pPr>
        <w:spacing w:after="0" w:line="129" w:lineRule="exact"/>
        <w:rPr>
          <w:rFonts w:ascii="Arial" w:cs="Arial" w:eastAsia="Arial" w:hAnsi="Arial"/>
          <w:sz w:val="18"/>
          <w:szCs w:val="18"/>
          <w:color w:val="auto"/>
        </w:rPr>
      </w:pPr>
    </w:p>
    <w:p>
      <w:pPr>
        <w:ind w:left="660" w:right="140" w:hanging="328"/>
        <w:spacing w:after="0" w:line="279"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Condition</w:t>
      </w:r>
      <w:r>
        <w:rPr>
          <w:rFonts w:ascii="Arial" w:cs="Arial" w:eastAsia="Arial" w:hAnsi="Arial"/>
          <w:sz w:val="17"/>
          <w:szCs w:val="17"/>
          <w:color w:val="auto"/>
        </w:rPr>
        <w:t>” are to the condition that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are to the consummation of the transactions contemplated by the Business Combination;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are to the Class A common stock and the Class B common stock, together;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Notes</w:t>
      </w:r>
      <w:r>
        <w:rPr>
          <w:rFonts w:ascii="Arial" w:cs="Arial" w:eastAsia="Arial" w:hAnsi="Arial"/>
          <w:sz w:val="16"/>
          <w:szCs w:val="16"/>
          <w:color w:val="auto"/>
        </w:rPr>
        <w:t>” are to PWP’s 7.0% subordinated unsecured convertible notes due 2026, which were redeemed in connection with the Closing.</w:t>
      </w:r>
    </w:p>
    <w:p>
      <w:pPr>
        <w:spacing w:after="0" w:line="194"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are to the Securities Exchange Act of 1934, as amended;</w:t>
      </w:r>
    </w:p>
    <w:p>
      <w:pPr>
        <w:spacing w:after="0" w:line="171" w:lineRule="exact"/>
        <w:rPr>
          <w:rFonts w:ascii="Arial" w:cs="Arial" w:eastAsia="Arial" w:hAnsi="Arial"/>
          <w:sz w:val="18"/>
          <w:szCs w:val="18"/>
          <w:color w:val="auto"/>
        </w:rPr>
      </w:pPr>
    </w:p>
    <w:p>
      <w:pPr>
        <w:ind w:left="328" w:right="220" w:hanging="328"/>
        <w:spacing w:after="0" w:line="277"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Shares</w:t>
      </w:r>
      <w:r>
        <w:rPr>
          <w:rFonts w:ascii="Arial" w:cs="Arial" w:eastAsia="Arial" w:hAnsi="Arial"/>
          <w:sz w:val="18"/>
          <w:szCs w:val="18"/>
          <w:color w:val="auto"/>
        </w:rPr>
        <w:t>” are to shares of Class A common stock issued or issuable in exchange for PWP OpCo Class A partnership units and Class B common stock pursuant to the PWP OpCo LPA (as defined below);</w:t>
      </w:r>
    </w:p>
    <w:p>
      <w:pPr>
        <w:spacing w:after="0" w:line="116" w:lineRule="exact"/>
        <w:rPr>
          <w:rFonts w:ascii="Arial" w:cs="Arial" w:eastAsia="Arial" w:hAnsi="Arial"/>
          <w:sz w:val="18"/>
          <w:szCs w:val="18"/>
          <w:color w:val="auto"/>
        </w:rPr>
      </w:pPr>
    </w:p>
    <w:p>
      <w:pPr>
        <w:ind w:left="328" w:hanging="328"/>
        <w:spacing w:after="0" w:line="259"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are to the 7,870,000 shares of Class B common stock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pursuant to the Sponsor Distribution (as defined below);</w:t>
      </w:r>
    </w:p>
    <w:p>
      <w:pPr>
        <w:spacing w:after="0" w:line="132"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LP</w:t>
      </w:r>
      <w:r>
        <w:rPr>
          <w:rFonts w:ascii="Arial" w:cs="Arial" w:eastAsia="Arial" w:hAnsi="Arial"/>
          <w:sz w:val="17"/>
          <w:szCs w:val="17"/>
          <w:color w:val="auto"/>
        </w:rPr>
        <w:t>” are to Perella Weinberg Partners Group LP, a Delaware limited partnership and a wholly owned subsidiary of PWP OpCo;</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ILPs</w:t>
      </w:r>
      <w:r>
        <w:rPr>
          <w:rFonts w:ascii="Arial" w:cs="Arial" w:eastAsia="Arial" w:hAnsi="Arial"/>
          <w:sz w:val="17"/>
          <w:szCs w:val="17"/>
          <w:color w:val="auto"/>
        </w:rPr>
        <w:t>” are to certain existing investor limited partners of PWP OpCo who hold interests in PWP OpCo, alongside Professional Partners;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Plan</w:t>
      </w:r>
      <w:r>
        <w:rPr>
          <w:rFonts w:ascii="Arial" w:cs="Arial" w:eastAsia="Arial" w:hAnsi="Arial"/>
          <w:sz w:val="17"/>
          <w:szCs w:val="17"/>
          <w:color w:val="auto"/>
        </w:rPr>
        <w:t>” are to the Perella Weinberg Partners 2021 Omnibus Incentive Plan approved in connection with the Business Combination;</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Stockholders</w:t>
      </w:r>
      <w:r>
        <w:rPr>
          <w:rFonts w:ascii="Arial" w:cs="Arial" w:eastAsia="Arial" w:hAnsi="Arial"/>
          <w:sz w:val="18"/>
          <w:szCs w:val="18"/>
          <w:color w:val="auto"/>
        </w:rPr>
        <w:t>” are to the Sponsor and any other holders of Class B common stock prior to FTIV’s initial public offering;</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are to FTIV’s initial public offering on September 29, 2020 in which it sold 23,000,000 units;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are to the Jumpstart Our Business Startups Act of 2012;</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Partners</w:t>
      </w:r>
      <w:r>
        <w:rPr>
          <w:rFonts w:ascii="Arial" w:cs="Arial" w:eastAsia="Arial" w:hAnsi="Arial"/>
          <w:sz w:val="18"/>
          <w:szCs w:val="18"/>
          <w:color w:val="auto"/>
        </w:rPr>
        <w:t>” are to former working Limited Partners whose tenure was terminated prior to November 1, 2020;</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Partners</w:t>
      </w:r>
      <w:r>
        <w:rPr>
          <w:rFonts w:ascii="Arial" w:cs="Arial" w:eastAsia="Arial" w:hAnsi="Arial"/>
          <w:sz w:val="18"/>
          <w:szCs w:val="18"/>
          <w:color w:val="auto"/>
        </w:rPr>
        <w:t>” are to limited partners of Professional Partners;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Shares</w:t>
      </w:r>
      <w:r>
        <w:rPr>
          <w:rFonts w:ascii="Arial" w:cs="Arial" w:eastAsia="Arial" w:hAnsi="Arial"/>
          <w:sz w:val="16"/>
          <w:szCs w:val="16"/>
          <w:color w:val="auto"/>
        </w:rPr>
        <w:t>” are to the 12,500,000 shares of Class A common stock issued to the PIPE Investors pursuant to the Subscription Agreements;</w:t>
      </w:r>
    </w:p>
    <w:p>
      <w:pPr>
        <w:spacing w:after="0" w:line="194" w:lineRule="exact"/>
        <w:rPr>
          <w:rFonts w:ascii="Arial" w:cs="Arial" w:eastAsia="Arial" w:hAnsi="Arial"/>
          <w:sz w:val="16"/>
          <w:szCs w:val="16"/>
          <w:color w:val="auto"/>
        </w:rPr>
      </w:pPr>
    </w:p>
    <w:p>
      <w:pPr>
        <w:ind w:left="328" w:right="100" w:hanging="328"/>
        <w:spacing w:after="0" w:line="26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Shares</w:t>
      </w:r>
      <w:r>
        <w:rPr>
          <w:rFonts w:ascii="Arial" w:cs="Arial" w:eastAsia="Arial" w:hAnsi="Arial"/>
          <w:sz w:val="18"/>
          <w:szCs w:val="18"/>
          <w:color w:val="auto"/>
        </w:rPr>
        <w:t>” are to the 610,000 shares of Class A common stock underlying the 610,000 units that were initially issued to the Sponsor in a private placement simultaneously with the closing of the IPO and which were distributed to the Sponsor’s members pursuant to the Sponsor Distribution;</w:t>
      </w:r>
    </w:p>
    <w:p>
      <w:pPr>
        <w:spacing w:after="0" w:line="129" w:lineRule="exact"/>
        <w:rPr>
          <w:rFonts w:ascii="Arial" w:cs="Arial" w:eastAsia="Arial" w:hAnsi="Arial"/>
          <w:sz w:val="18"/>
          <w:szCs w:val="18"/>
          <w:color w:val="auto"/>
        </w:rPr>
      </w:pPr>
    </w:p>
    <w:p>
      <w:pPr>
        <w:ind w:left="328" w:right="40" w:hanging="328"/>
        <w:spacing w:after="0" w:line="342" w:lineRule="auto"/>
        <w:tabs>
          <w:tab w:leader="none" w:pos="323"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are to the 203,333 warrants underlying the 610,000 units that were initially issued to Sponsor in a private placement simultaneously with the closing of the IPO and which were distributed to the Sponsor’s members pursuant to the Sponsor Distribution;</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Warrants</w:t>
      </w:r>
      <w:r>
        <w:rPr>
          <w:rFonts w:ascii="Arial" w:cs="Arial" w:eastAsia="Arial" w:hAnsi="Arial"/>
          <w:sz w:val="18"/>
          <w:szCs w:val="18"/>
          <w:color w:val="auto"/>
        </w:rPr>
        <w:t>” are to the redeemable warrants underlying the units that were initially offered and sold by FTIV in its IPO;</w:t>
      </w:r>
    </w:p>
    <w:p>
      <w:pPr>
        <w:spacing w:after="0" w:line="171" w:lineRule="exact"/>
        <w:rPr>
          <w:rFonts w:ascii="Arial" w:cs="Arial" w:eastAsia="Arial" w:hAnsi="Arial"/>
          <w:sz w:val="18"/>
          <w:szCs w:val="18"/>
          <w:color w:val="auto"/>
        </w:rPr>
      </w:pPr>
    </w:p>
    <w:p>
      <w:pPr>
        <w:ind w:left="328" w:right="480" w:hanging="328"/>
        <w:spacing w:after="0" w:line="277"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w:t>
      </w:r>
      <w:r>
        <w:rPr>
          <w:rFonts w:ascii="Arial" w:cs="Arial" w:eastAsia="Arial" w:hAnsi="Arial"/>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8" w:name="page9"/>
    <w:bookmarkEnd w:id="8"/>
    <w:p>
      <w:pPr>
        <w:spacing w:after="0" w:line="144" w:lineRule="exact"/>
        <w:rPr>
          <w:sz w:val="20"/>
          <w:szCs w:val="20"/>
          <w:color w:val="auto"/>
        </w:rPr>
      </w:pPr>
    </w:p>
    <w:p>
      <w:pPr>
        <w:ind w:left="328" w:right="22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w:t>
      </w:r>
      <w:r>
        <w:rPr>
          <w:rFonts w:ascii="Arial" w:cs="Arial" w:eastAsia="Arial" w:hAnsi="Arial"/>
          <w:sz w:val="18"/>
          <w:szCs w:val="18"/>
          <w:color w:val="auto"/>
        </w:rPr>
        <w:t>” (i) prior to the PWP Separation, are to PWP Holdings LP as the holding company for both the advisory business and asset management business of PWP and (ii) following the PWP Separation, are to PWP Holdings LP as the holding company solely for the advisory business of PWP;</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Class A partnership unit</w:t>
      </w:r>
      <w:r>
        <w:rPr>
          <w:rFonts w:ascii="Arial" w:cs="Arial" w:eastAsia="Arial" w:hAnsi="Arial"/>
          <w:sz w:val="18"/>
          <w:szCs w:val="18"/>
          <w:color w:val="auto"/>
        </w:rPr>
        <w:t>” are to a Class A common unit of PWP Holdings LP, a Delaware limited partnership, that is issued by PWP Holdings LP pursuant to the PWP OpCo LPA;</w:t>
      </w:r>
    </w:p>
    <w:p>
      <w:pPr>
        <w:spacing w:after="0" w:line="116" w:lineRule="exact"/>
        <w:rPr>
          <w:rFonts w:ascii="Arial" w:cs="Arial" w:eastAsia="Arial" w:hAnsi="Arial"/>
          <w:sz w:val="18"/>
          <w:szCs w:val="18"/>
          <w:color w:val="auto"/>
        </w:rPr>
      </w:pPr>
    </w:p>
    <w:p>
      <w:pPr>
        <w:ind w:left="328" w:right="6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Separation</w:t>
      </w:r>
      <w:r>
        <w:rPr>
          <w:rFonts w:ascii="Arial" w:cs="Arial" w:eastAsia="Arial" w:hAnsi="Arial"/>
          <w:sz w:val="18"/>
          <w:szCs w:val="18"/>
          <w:color w:val="auto"/>
        </w:rPr>
        <w:t>” are to the separation of the advisory business from the asset management business of PWP OpCo pursuant to a master separation agreement, dated as of February 28, 2019;</w:t>
      </w:r>
    </w:p>
    <w:p>
      <w:pPr>
        <w:spacing w:after="0" w:line="116" w:lineRule="exact"/>
        <w:rPr>
          <w:rFonts w:ascii="Arial" w:cs="Arial" w:eastAsia="Arial" w:hAnsi="Arial"/>
          <w:sz w:val="18"/>
          <w:szCs w:val="18"/>
          <w:color w:val="auto"/>
        </w:rPr>
      </w:pPr>
    </w:p>
    <w:p>
      <w:pPr>
        <w:jc w:val="both"/>
        <w:ind w:left="328" w:right="80" w:hanging="328"/>
        <w:spacing w:after="0" w:line="25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Redeeming Holders</w:t>
      </w:r>
      <w:r>
        <w:rPr>
          <w:rFonts w:ascii="Arial" w:cs="Arial" w:eastAsia="Arial" w:hAnsi="Arial"/>
          <w:sz w:val="18"/>
          <w:szCs w:val="18"/>
          <w:color w:val="auto"/>
        </w:rPr>
        <w:t>” are to all of the holders who agreed to collectively tender for redemption $150 million aggregate principal amount of the Convertible Notes (such convertible notes, the “Redeemed Notes”) for cash, pursuant to the terms of the letter agreements at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w:t>
      </w:r>
    </w:p>
    <w:p>
      <w:pPr>
        <w:spacing w:after="0" w:line="133" w:lineRule="exact"/>
        <w:rPr>
          <w:rFonts w:ascii="Arial" w:cs="Arial" w:eastAsia="Arial" w:hAnsi="Arial"/>
          <w:sz w:val="18"/>
          <w:szCs w:val="18"/>
          <w:color w:val="auto"/>
        </w:rPr>
      </w:pPr>
    </w:p>
    <w:p>
      <w:pPr>
        <w:ind w:left="328" w:right="14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RRA Parties</w:t>
      </w:r>
      <w:r>
        <w:rPr>
          <w:rFonts w:ascii="Arial" w:cs="Arial" w:eastAsia="Arial" w:hAnsi="Arial"/>
          <w:sz w:val="18"/>
          <w:szCs w:val="18"/>
          <w:color w:val="auto"/>
        </w:rPr>
        <w:t>” are to the Sponsor, Professional Partners, the ILPs and others party to the Amended and Restated Registration Rights Agreement (as defined below), including certain parties affiliated with the Sponsor who became a party to the Amended and Restated Registration Rights Agreement in connection with the Sponsor Distribution;</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are to the Sarbanes-Oxley Act of 2002;</w:t>
      </w:r>
    </w:p>
    <w:p>
      <w:pPr>
        <w:spacing w:after="0" w:line="171" w:lineRule="exact"/>
        <w:rPr>
          <w:rFonts w:ascii="Arial" w:cs="Arial" w:eastAsia="Arial" w:hAnsi="Arial"/>
          <w:sz w:val="18"/>
          <w:szCs w:val="18"/>
          <w:color w:val="auto"/>
        </w:rPr>
      </w:pPr>
    </w:p>
    <w:p>
      <w:pPr>
        <w:ind w:left="328" w:right="200" w:hanging="328"/>
        <w:spacing w:after="0" w:line="301" w:lineRule="auto"/>
        <w:tabs>
          <w:tab w:leader="none" w:pos="323"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Secondary Class B Condition</w:t>
      </w:r>
      <w:r>
        <w:rPr>
          <w:rFonts w:ascii="Arial" w:cs="Arial" w:eastAsia="Arial" w:hAnsi="Arial"/>
          <w:sz w:val="16"/>
          <w:szCs w:val="16"/>
          <w:color w:val="auto"/>
        </w:rPr>
        <w:t>”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03"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are to the Securities Act of 1933, as amended;</w:t>
      </w:r>
    </w:p>
    <w:p>
      <w:pPr>
        <w:spacing w:after="0" w:line="171" w:lineRule="exact"/>
        <w:rPr>
          <w:rFonts w:ascii="Arial" w:cs="Arial" w:eastAsia="Arial" w:hAnsi="Arial"/>
          <w:sz w:val="18"/>
          <w:szCs w:val="18"/>
          <w:color w:val="auto"/>
        </w:rPr>
      </w:pPr>
    </w:p>
    <w:p>
      <w:pPr>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Holders</w:t>
      </w:r>
      <w:r>
        <w:rPr>
          <w:rFonts w:ascii="Arial" w:cs="Arial" w:eastAsia="Arial" w:hAnsi="Arial"/>
          <w:sz w:val="18"/>
          <w:szCs w:val="18"/>
          <w:color w:val="auto"/>
        </w:rPr>
        <w:t>” are to the selling holders identified in this prospectus and the pledgees, donees, transferees, assignees, successors and others who later come to hold any of the Selling Holders’ interest in the shares of Class A common stock or Warrants, as applicable, after the date of this prospectus such that registration rights shall apply to those securities;</w:t>
      </w:r>
    </w:p>
    <w:p>
      <w:pPr>
        <w:spacing w:after="0" w:line="129" w:lineRule="exact"/>
        <w:rPr>
          <w:rFonts w:ascii="Arial" w:cs="Arial" w:eastAsia="Arial" w:hAnsi="Arial"/>
          <w:sz w:val="18"/>
          <w:szCs w:val="18"/>
          <w:color w:val="auto"/>
        </w:rPr>
      </w:pPr>
    </w:p>
    <w:p>
      <w:pPr>
        <w:ind w:left="328" w:right="340" w:hanging="328"/>
        <w:spacing w:after="0" w:line="311" w:lineRule="auto"/>
        <w:tabs>
          <w:tab w:leader="none" w:pos="323"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 Distribution</w:t>
      </w:r>
      <w:r>
        <w:rPr>
          <w:rFonts w:ascii="Arial" w:cs="Arial" w:eastAsia="Arial" w:hAnsi="Arial"/>
          <w:sz w:val="16"/>
          <w:szCs w:val="16"/>
          <w:color w:val="auto"/>
        </w:rPr>
        <w:t>” are to the distribution by the Sponsor of 5,456,667 shares of Class A common stock (Founder Shares and Placement Shares) and 203,333 Private Placement Warrants to its members on January 7, 2022 pursuant to its contractual obligation under the limited liability company agreement, after which the Sponsor owned 1,000,000 shares of Class A common stock and no Private Placement Warrants.</w:t>
      </w:r>
    </w:p>
    <w:p>
      <w:pPr>
        <w:spacing w:after="0" w:line="94"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 Related PIPE Investors</w:t>
      </w:r>
      <w:r>
        <w:rPr>
          <w:rFonts w:ascii="Arial" w:cs="Arial" w:eastAsia="Arial" w:hAnsi="Arial"/>
          <w:sz w:val="16"/>
          <w:szCs w:val="16"/>
          <w:color w:val="auto"/>
        </w:rPr>
        <w:t>” are to the certain PIPE Investors that subscribed to $1.5 million in the PIPE Investment (as defined below);</w:t>
      </w:r>
    </w:p>
    <w:p>
      <w:pPr>
        <w:spacing w:after="0" w:line="194" w:lineRule="exact"/>
        <w:rPr>
          <w:rFonts w:ascii="Arial" w:cs="Arial" w:eastAsia="Arial" w:hAnsi="Arial"/>
          <w:sz w:val="16"/>
          <w:szCs w:val="16"/>
          <w:color w:val="auto"/>
        </w:rPr>
      </w:pPr>
    </w:p>
    <w:p>
      <w:pPr>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are to the subscription agreements with the PIPE Investors, pursuant to, and on the terms and subject to the conditions of, which the PIPE Investors collectively subscribed for 12,500,000 shares of the Company’s Class A common stock for an aggregate purchase price equal to $125 million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are to Public Warrants and Private Placement Warrants; and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Partners</w:t>
      </w:r>
      <w:r>
        <w:rPr>
          <w:rFonts w:ascii="Arial" w:cs="Arial" w:eastAsia="Arial" w:hAnsi="Arial"/>
          <w:sz w:val="18"/>
          <w:szCs w:val="18"/>
          <w:color w:val="auto"/>
        </w:rPr>
        <w:t>” are to working Limited Partners whose tenure was not terminated prior to November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8"/>
          </w:cols>
          <w:pgMar w:left="652" w:top="1440" w:right="419" w:bottom="1440" w:gutter="0" w:footer="0" w:header="0"/>
        </w:sectPr>
      </w:pPr>
    </w:p>
    <w:bookmarkStart w:id="9" w:name="page10"/>
    <w:bookmarkEnd w:id="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statements made in this prospectus are “forward looking statements” within the meaning of the federal securities laws, including the Private Securities Litigation Reform Act of 1995, Section 27A of the Securities Act of 1933, as amended, and Section 21E of the Exchange Act.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4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projected financial information, anticipated growth rate, and market opportunity of the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to maintain the listing of the Company’s Class A common stock and Warrants on Nasdaq following the Business Combination;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members of our management team allocating their time to other businesses and potentially having conflicts of interest with our business;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16" w:lineRule="exact"/>
        <w:rPr>
          <w:rFonts w:ascii="Arial" w:cs="Arial" w:eastAsia="Arial" w:hAnsi="Arial"/>
          <w:sz w:val="18"/>
          <w:szCs w:val="18"/>
          <w:color w:val="auto"/>
        </w:rPr>
      </w:pPr>
    </w:p>
    <w:p>
      <w:pPr>
        <w:ind w:left="980" w:right="380" w:hanging="324"/>
        <w:spacing w:after="0" w:line="263"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global economic, business, market and geopolitical conditions, including the impact of public health crises, such as the ongoing rapid, worldwide spread of a novel strain of coronavirus and the pandemic caused thereby (collectively, “</w:t>
      </w:r>
      <w:r>
        <w:rPr>
          <w:rFonts w:ascii="Arial" w:cs="Arial" w:eastAsia="Arial" w:hAnsi="Arial"/>
          <w:sz w:val="18"/>
          <w:szCs w:val="18"/>
          <w:u w:val="single" w:color="auto"/>
          <w:color w:val="auto"/>
        </w:rPr>
        <w:t>COVID-19</w:t>
      </w:r>
      <w:r>
        <w:rPr>
          <w:rFonts w:ascii="Arial" w:cs="Arial" w:eastAsia="Arial" w:hAnsi="Arial"/>
          <w:sz w:val="18"/>
          <w:szCs w:val="18"/>
          <w:color w:val="auto"/>
        </w:rPr>
        <w:t>”), as well as the impact of recent hostilities between Russia and Ukraine;</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71" w:lineRule="exact"/>
        <w:rPr>
          <w:rFonts w:ascii="Arial" w:cs="Arial" w:eastAsia="Arial" w:hAnsi="Arial"/>
          <w:sz w:val="18"/>
          <w:szCs w:val="18"/>
          <w:color w:val="auto"/>
        </w:rPr>
      </w:pPr>
    </w:p>
    <w:p>
      <w:pPr>
        <w:ind w:left="980" w:right="24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44" w:lineRule="exact"/>
        <w:rPr>
          <w:sz w:val="20"/>
          <w:szCs w:val="20"/>
          <w:color w:val="auto"/>
        </w:rPr>
      </w:pPr>
    </w:p>
    <w:p>
      <w:pPr>
        <w:ind w:left="980" w:hanging="324"/>
        <w:spacing w:after="0" w:line="308" w:lineRule="auto"/>
        <w:tabs>
          <w:tab w:leader="none" w:pos="97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92"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Company’s assets;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assumptions relating to the Company’s operations, financial results, financial condition, business prospects, growth strategy and liquidity;</w:t>
      </w:r>
    </w:p>
    <w:p>
      <w:pPr>
        <w:spacing w:after="0" w:line="194" w:lineRule="exact"/>
        <w:rPr>
          <w:rFonts w:ascii="Arial" w:cs="Arial" w:eastAsia="Arial" w:hAnsi="Arial"/>
          <w:sz w:val="16"/>
          <w:szCs w:val="16"/>
          <w:color w:val="auto"/>
        </w:rPr>
      </w:pPr>
    </w:p>
    <w:p>
      <w:pPr>
        <w:ind w:left="980" w:right="460" w:hanging="324"/>
        <w:spacing w:after="0" w:line="342" w:lineRule="auto"/>
        <w:tabs>
          <w:tab w:leader="none" w:pos="976"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13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“Risk Factors,” “Cautionary Statement Regarding Forward Looking Statements,” “Management’s Discussion and Analysis of Financial Condition and Results of Operations,” “Unaudited Pro Forma Condensed Combined Financial Information,” and the consolidated financial statements and the related notes thereto included elsewhere in this prospectus before making an investment decision. The definition of some of the other terms used in this prospectus are set forth under the section “Selected Definitions.”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and related industries.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w:t>
      </w:r>
      <w:r>
        <w:rPr>
          <w:rFonts w:ascii="Arial" w:cs="Arial" w:eastAsia="Arial" w:hAnsi="Arial"/>
          <w:sz w:val="18"/>
          <w:szCs w:val="18"/>
          <w:u w:val="single" w:color="auto"/>
          <w:color w:val="auto"/>
        </w:rPr>
        <w:t>TPH</w:t>
      </w:r>
      <w:r>
        <w:rPr>
          <w:rFonts w:ascii="Arial" w:cs="Arial" w:eastAsia="Arial" w:hAnsi="Arial"/>
          <w:sz w:val="18"/>
          <w:szCs w:val="18"/>
          <w:color w:val="auto"/>
        </w:rPr>
        <w:t>”),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93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demonstrated robust financial performance, achieving revenues of $801.7 million and operating income of $66.6 million for the year ended December 31, 2021, revenues of $519.0 million and operating loss of $14.6 million for the year ended December 31, 2020 and revenues of $533.3 million and operating loss of $155.1 million for the year ended December 31, 2019. The operating losses in 2019 and 2020 were largely due to amortization of the equity-based compensation awards granted by Professional Partners, which have no economic impact on PWP or PWP OpCo. The vesting of equity awards granted in connection with the Transaction have been and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founded our Company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 accelerating 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3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 peers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3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00" w:top="1440" w:right="10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71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Growing Demand for Independent Advice: </w:t>
      </w:r>
      <w:r>
        <w:rPr>
          <w:rFonts w:ascii="Arial" w:cs="Arial" w:eastAsia="Arial" w:hAnsi="Arial"/>
          <w:sz w:val="16"/>
          <w:szCs w:val="16"/>
          <w:color w:val="auto"/>
        </w:rPr>
        <w:t>We believe the momentum driving demand for independent advice remains strong. When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founded our Company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66% of volume from the top 25 announced M&amp;A transactions in the five-year period ended December 31, 2021, up from 47% on average during the five-year period ended December 31, 2005, according to Dealogic.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Company is well positioned to continue to capitalize on this trend.</w:t>
      </w:r>
    </w:p>
    <w:p>
      <w:pPr>
        <w:spacing w:after="0" w:line="11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b w:val="1"/>
          <w:bCs w:val="1"/>
          <w:i w:val="1"/>
          <w:iCs w:val="1"/>
          <w:color w:val="auto"/>
        </w:rPr>
        <w:t xml:space="preserve">Dynamic Mergers &amp; Acquisitions Activity: </w:t>
      </w:r>
      <w:r>
        <w:rPr>
          <w:rFonts w:ascii="Arial" w:cs="Arial" w:eastAsia="Arial" w:hAnsi="Arial"/>
          <w:sz w:val="16"/>
          <w:szCs w:val="16"/>
          <w:color w:val="auto"/>
        </w:rPr>
        <w:t>We believe the M&amp;A environment will remain active based on a variety of economic,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and strategic factors, strong corporate balance sheets, significant undeployed venture and private equity capital, attractive financing markets, a rapidly accelerating trend toward global consolidation and business model transformation.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 In 2021 and 2020, globally announced M&amp;A volume reached $5.8 trillion and $3.7 trillion, respectively, with approximately 71% occurring in North America and in Europe, the markets in which we are primarily focused. Dealogic estimates that the global M&amp;A fee pool averaged approximately $30 billion annually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1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Growing Demand in Liability Management (Restructuring and Capital Markets) Advisory Services: </w:t>
      </w:r>
      <w:r>
        <w:rPr>
          <w:rFonts w:ascii="Arial" w:cs="Arial" w:eastAsia="Arial" w:hAnsi="Arial"/>
          <w:sz w:val="17"/>
          <w:szCs w:val="17"/>
          <w:color w:val="auto"/>
        </w:rPr>
        <w:t>We believe that, due to large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Relationships are Everything to Us: </w:t>
      </w:r>
      <w:r>
        <w:rPr>
          <w:rFonts w:ascii="Arial" w:cs="Arial" w:eastAsia="Arial" w:hAnsi="Arial"/>
          <w:sz w:val="16"/>
          <w:szCs w:val="16"/>
          <w:color w:val="auto"/>
        </w:rPr>
        <w:t>We cultivate deep, long-term relationships, which transcend traditional transactional dialogue.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 often rely on us to assist them in assessing opportunities and challenges throughout their corporate evolution.</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 humility,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rigor, and intensity. Working together is a critical ingredient of our success.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 the most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markets worldwide. Our closely integrated partnership approach enables us to efficiently leverage our deep industry expertise with clients across geographies.</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thinking and personalized approach to partner with our clients to achieve their objectives.</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with innovative, independent views and a willingness to speak with candor. We are not afraid to voice our perspective and are not afraid for “no” to be the right answer.</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Deep Industry Insights: </w:t>
      </w:r>
      <w:r>
        <w:rPr>
          <w:rFonts w:ascii="Arial" w:cs="Arial" w:eastAsia="Arial" w:hAnsi="Arial"/>
          <w:sz w:val="16"/>
          <w:szCs w:val="16"/>
          <w:color w:val="auto"/>
        </w:rPr>
        <w:t>We believe our clients increasingly value advisors with deep industry insights when making strategic decisions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1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 seek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76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Innovation, Creativity and Ingenuity: </w:t>
      </w:r>
      <w:r>
        <w:rPr>
          <w:rFonts w:ascii="Arial" w:cs="Arial" w:eastAsia="Arial" w:hAnsi="Arial"/>
          <w:sz w:val="16"/>
          <w:szCs w:val="16"/>
          <w:color w:val="auto"/>
        </w:rPr>
        <w:t>From the very beginning, we have strived for differentiation. We seek original and exceptional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3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i w:val="1"/>
          <w:iCs w:val="1"/>
          <w:color w:val="auto"/>
        </w:rPr>
        <w:t xml:space="preserve">Rigorous Work Ethic: </w:t>
      </w:r>
      <w:r>
        <w:rPr>
          <w:rFonts w:ascii="Arial" w:cs="Arial" w:eastAsia="Arial" w:hAnsi="Arial"/>
          <w:sz w:val="16"/>
          <w:szCs w:val="16"/>
          <w:color w:val="auto"/>
        </w:rPr>
        <w:t>As an advisory firm, the primary assets we bring to bear on any engagement are deep insights and creative ideas.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0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Leveraging our Existing Client Relationships: </w:t>
      </w:r>
      <w:r>
        <w:rPr>
          <w:rFonts w:ascii="Arial" w:cs="Arial" w:eastAsia="Arial" w:hAnsi="Arial"/>
          <w:sz w:val="18"/>
          <w:szCs w:val="18"/>
          <w:color w:val="auto"/>
        </w:rPr>
        <w:t>As we grow our business, we seek to deepen and expand our client relationships,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the foundation of our Company’s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9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Company.</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4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i w:val="1"/>
          <w:iCs w:val="1"/>
          <w:color w:val="auto"/>
        </w:rPr>
        <w:t xml:space="preserve">Investing to Drive Innovation and Insights: </w:t>
      </w:r>
      <w:r>
        <w:rPr>
          <w:rFonts w:ascii="Arial" w:cs="Arial" w:eastAsia="Arial" w:hAnsi="Arial"/>
          <w:sz w:val="16"/>
          <w:szCs w:val="16"/>
          <w:color w:val="auto"/>
        </w:rPr>
        <w:t>We believe that the market for advisory services is undergoing a period of transition away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0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Company: </w:t>
      </w:r>
      <w:r>
        <w:rPr>
          <w:rFonts w:ascii="Arial" w:cs="Arial" w:eastAsia="Arial" w:hAnsi="Arial"/>
          <w:sz w:val="17"/>
          <w:szCs w:val="17"/>
          <w:color w:val="auto"/>
        </w:rPr>
        <w:t>Attracting and retaining world-class talent at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critical 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also put significant emphasis on the training and development of all of our professionals, and plan to continue investing meaningful resources in our human capital with commitment to investing in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3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Maintaining Discipline in How We Manage Our Business: </w:t>
      </w:r>
      <w:r>
        <w:rPr>
          <w:rFonts w:ascii="Arial" w:cs="Arial" w:eastAsia="Arial" w:hAnsi="Arial"/>
          <w:sz w:val="17"/>
          <w:szCs w:val="17"/>
          <w:color w:val="auto"/>
        </w:rPr>
        <w:t>We manage our business in an effort to deliver value creation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external hires and the establishment of new offices. We believe that this discipline will enable us to maintain our competitive edge while also delivering appropriate returns and long-term value creation to our shareholders.</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544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54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Company and high level senior banker attention to every client, regardless of size or situation.</w:t>
      </w:r>
    </w:p>
    <w:p>
      <w:pPr>
        <w:spacing w:after="0" w:line="9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w:t>
      </w:r>
      <w:r>
        <w:rPr>
          <w:rFonts w:ascii="Arial" w:cs="Arial" w:eastAsia="Arial" w:hAnsi="Arial"/>
          <w:sz w:val="18"/>
          <w:szCs w:val="18"/>
          <w:u w:val="single" w:color="auto"/>
          <w:color w:val="auto"/>
        </w:rPr>
        <w:t>U.K.</w:t>
      </w:r>
      <w:r>
        <w:rPr>
          <w:rFonts w:ascii="Arial" w:cs="Arial" w:eastAsia="Arial" w:hAnsi="Arial"/>
          <w:sz w:val="18"/>
          <w:szCs w:val="18"/>
          <w:color w:val="auto"/>
        </w:rPr>
        <w:t>”), France and Germany, and we have deep international experience that has enabled us to work extensively with clients worldwide. Since our inception, we have advised over 1,000 clients on transactions in over 40 countries.</w:t>
      </w:r>
    </w:p>
    <w:p>
      <w:pPr>
        <w:spacing w:after="0" w:line="133"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87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 xml:space="preserve">Liability Management and Capital Structure Advisory: </w:t>
      </w:r>
      <w:r>
        <w:rPr>
          <w:rFonts w:ascii="Arial" w:cs="Arial" w:eastAsia="Arial" w:hAnsi="Arial"/>
          <w:sz w:val="17"/>
          <w:szCs w:val="17"/>
          <w:color w:val="auto"/>
        </w:rPr>
        <w:t>We have built a leading franchise to serve the liability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 course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4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Company Investments Including Special Purpose Acquisition Companies: </w:t>
      </w:r>
      <w:r>
        <w:rPr>
          <w:rFonts w:ascii="Arial" w:cs="Arial" w:eastAsia="Arial" w:hAnsi="Arial"/>
          <w:sz w:val="18"/>
          <w:szCs w:val="18"/>
          <w:color w:val="auto"/>
        </w:rPr>
        <w:t>We have a relationship with the sponsor of PWP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Corp. I (“</w:t>
      </w:r>
      <w:r>
        <w:rPr>
          <w:rFonts w:ascii="Arial" w:cs="Arial" w:eastAsia="Arial" w:hAnsi="Arial"/>
          <w:sz w:val="18"/>
          <w:szCs w:val="18"/>
          <w:u w:val="single" w:color="auto"/>
          <w:color w:val="auto"/>
        </w:rPr>
        <w:t>PFAC</w:t>
      </w:r>
      <w:r>
        <w:rPr>
          <w:rFonts w:ascii="Arial" w:cs="Arial" w:eastAsia="Arial" w:hAnsi="Arial"/>
          <w:sz w:val="18"/>
          <w:szCs w:val="18"/>
          <w:color w:val="auto"/>
        </w:rPr>
        <w:t>”), a special purpose acquisition company (“</w:t>
      </w:r>
      <w:r>
        <w:rPr>
          <w:rFonts w:ascii="Arial" w:cs="Arial" w:eastAsia="Arial" w:hAnsi="Arial"/>
          <w:sz w:val="18"/>
          <w:szCs w:val="18"/>
          <w:u w:val="single" w:color="auto"/>
          <w:color w:val="auto"/>
        </w:rPr>
        <w:t>SPAC</w:t>
      </w:r>
      <w:r>
        <w:rPr>
          <w:rFonts w:ascii="Arial" w:cs="Arial" w:eastAsia="Arial" w:hAnsi="Arial"/>
          <w:sz w:val="18"/>
          <w:szCs w:val="18"/>
          <w:color w:val="auto"/>
        </w:rPr>
        <w:t>”) that was formed to 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3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Collaborations with Other Firms: </w:t>
      </w:r>
      <w:r>
        <w:rPr>
          <w:rFonts w:ascii="Arial" w:cs="Arial" w:eastAsia="Arial" w:hAnsi="Arial"/>
          <w:sz w:val="16"/>
          <w:szCs w:val="16"/>
          <w:color w:val="auto"/>
        </w:rPr>
        <w:t>The Company has entered into collaborative relationships with certain other firms, including Mizuho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96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340" w:type="dxa"/>
            <w:vAlign w:val="bottom"/>
            <w:tcBorders>
              <w:top w:val="single" w:sz="8" w:color="auto"/>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top w:val="single" w:sz="8" w:color="auto"/>
              <w:right w:val="single" w:sz="8" w:color="01649D"/>
            </w:tcBorders>
            <w:shd w:val="clear" w:color="auto" w:fill="01649D"/>
          </w:tcPr>
          <w:p>
            <w:pPr>
              <w:spacing w:after="0"/>
              <w:rPr>
                <w:sz w:val="12"/>
                <w:szCs w:val="12"/>
                <w:color w:val="auto"/>
              </w:rPr>
            </w:pPr>
          </w:p>
        </w:tc>
        <w:tc>
          <w:tcPr>
            <w:tcW w:w="2360" w:type="dxa"/>
            <w:vAlign w:val="bottom"/>
            <w:tcBorders>
              <w:top w:val="single" w:sz="8" w:color="auto"/>
              <w:right w:val="single" w:sz="8" w:color="auto"/>
            </w:tcBorders>
            <w:vMerge w:val="restart"/>
            <w:shd w:val="clear" w:color="auto" w:fill="01649D"/>
          </w:tcPr>
          <w:p>
            <w:pPr>
              <w:ind w:left="10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tcBorders>
              <w:top w:val="single" w:sz="8" w:color="auto"/>
            </w:tcBorders>
            <w:shd w:val="clear" w:color="auto" w:fill="01649D"/>
          </w:tcPr>
          <w:p>
            <w:pPr>
              <w:spacing w:after="0"/>
              <w:rPr>
                <w:sz w:val="12"/>
                <w:szCs w:val="12"/>
                <w:color w:val="auto"/>
              </w:rPr>
            </w:pPr>
          </w:p>
        </w:tc>
        <w:tc>
          <w:tcPr>
            <w:tcW w:w="2520" w:type="dxa"/>
            <w:vAlign w:val="bottom"/>
            <w:tcBorders>
              <w:top w:val="single" w:sz="8" w:color="auto"/>
              <w:right w:val="single" w:sz="8" w:color="auto"/>
            </w:tcBorders>
            <w:gridSpan w:val="2"/>
            <w:shd w:val="clear" w:color="auto" w:fill="01649D"/>
          </w:tcPr>
          <w:p>
            <w:pPr>
              <w:jc w:val="center"/>
              <w:ind w:right="763"/>
              <w:spacing w:after="0" w:line="149" w:lineRule="exact"/>
              <w:rPr>
                <w:sz w:val="20"/>
                <w:szCs w:val="20"/>
                <w:color w:val="auto"/>
              </w:rPr>
            </w:pPr>
            <w:r>
              <w:rPr>
                <w:rFonts w:ascii="Arial" w:cs="Arial" w:eastAsia="Arial" w:hAnsi="Arial"/>
                <w:sz w:val="14"/>
                <w:szCs w:val="14"/>
                <w:b w:val="1"/>
                <w:bCs w:val="1"/>
                <w:color w:val="FFFFFF"/>
                <w:w w:val="95"/>
              </w:rPr>
              <w:t>Restructuring / Capital</w:t>
            </w:r>
          </w:p>
        </w:tc>
        <w:tc>
          <w:tcPr>
            <w:tcW w:w="0" w:type="dxa"/>
            <w:vAlign w:val="bottom"/>
          </w:tcPr>
          <w:p>
            <w:pPr>
              <w:spacing w:after="0"/>
              <w:rPr>
                <w:sz w:val="1"/>
                <w:szCs w:val="1"/>
                <w:color w:val="auto"/>
              </w:rPr>
            </w:pPr>
          </w:p>
        </w:tc>
      </w:tr>
      <w:tr>
        <w:trPr>
          <w:trHeight w:val="110"/>
        </w:trPr>
        <w:tc>
          <w:tcPr>
            <w:tcW w:w="960" w:type="dxa"/>
            <w:vAlign w:val="bottom"/>
            <w:tcBorders>
              <w:left w:val="single" w:sz="8" w:color="auto"/>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restart"/>
            <w:shd w:val="clear" w:color="auto" w:fill="01649D"/>
          </w:tcPr>
          <w:p>
            <w:pPr>
              <w:jc w:val="center"/>
              <w:ind w:right="923"/>
              <w:spacing w:after="0"/>
              <w:rPr>
                <w:sz w:val="20"/>
                <w:szCs w:val="20"/>
                <w:color w:val="auto"/>
              </w:rPr>
            </w:pPr>
            <w:r>
              <w:rPr>
                <w:rFonts w:ascii="Arial" w:cs="Arial" w:eastAsia="Arial" w:hAnsi="Arial"/>
                <w:sz w:val="14"/>
                <w:szCs w:val="14"/>
                <w:b w:val="1"/>
                <w:bCs w:val="1"/>
                <w:color w:val="FFFFFF"/>
                <w:w w:val="98"/>
              </w:rPr>
              <w:t>Markets</w:t>
            </w:r>
          </w:p>
        </w:tc>
        <w:tc>
          <w:tcPr>
            <w:tcW w:w="0" w:type="dxa"/>
            <w:vAlign w:val="bottom"/>
          </w:tcPr>
          <w:p>
            <w:pPr>
              <w:spacing w:after="0"/>
              <w:rPr>
                <w:sz w:val="1"/>
                <w:szCs w:val="1"/>
                <w:color w:val="auto"/>
              </w:rPr>
            </w:pPr>
          </w:p>
        </w:tc>
      </w:tr>
      <w:tr>
        <w:trPr>
          <w:trHeight w:val="78"/>
        </w:trPr>
        <w:tc>
          <w:tcPr>
            <w:tcW w:w="96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60" w:type="dxa"/>
            <w:vAlign w:val="bottom"/>
            <w:tcBorders>
              <w:left w:val="single" w:sz="8" w:color="auto"/>
              <w:bottom w:val="single" w:sz="8" w:color="auto"/>
              <w:right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234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60"/>
              <w:spacing w:after="0"/>
              <w:rPr>
                <w:sz w:val="20"/>
                <w:szCs w:val="20"/>
                <w:color w:val="auto"/>
              </w:rPr>
            </w:pPr>
            <w:r>
              <w:rPr>
                <w:rFonts w:ascii="Arial" w:cs="Arial" w:eastAsia="Arial" w:hAnsi="Arial"/>
                <w:sz w:val="14"/>
                <w:szCs w:val="14"/>
                <w:b w:val="1"/>
                <w:bCs w:val="1"/>
                <w:color w:val="FFFFFF"/>
              </w:rPr>
              <w:t>Client</w:t>
            </w:r>
          </w:p>
        </w:tc>
        <w:tc>
          <w:tcPr>
            <w:tcW w:w="160" w:type="dxa"/>
            <w:vAlign w:val="bottom"/>
            <w:tcBorders>
              <w:bottom w:val="single" w:sz="8" w:color="auto"/>
              <w:right w:val="single" w:sz="8" w:color="auto"/>
            </w:tcBorders>
            <w:shd w:val="clear" w:color="auto" w:fill="9CB3D5"/>
          </w:tcPr>
          <w:p>
            <w:pPr>
              <w:spacing w:after="0"/>
              <w:rPr>
                <w:sz w:val="15"/>
                <w:szCs w:val="15"/>
                <w:color w:val="auto"/>
              </w:rPr>
            </w:pP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960" w:type="dxa"/>
            <w:vAlign w:val="bottom"/>
            <w:tcBorders>
              <w:left w:val="single" w:sz="8" w:color="auto"/>
            </w:tcBorders>
          </w:tcPr>
          <w:p>
            <w:pPr>
              <w:spacing w:after="0"/>
              <w:rPr>
                <w:sz w:val="13"/>
                <w:szCs w:val="13"/>
                <w:color w:val="auto"/>
              </w:rPr>
            </w:pPr>
          </w:p>
        </w:tc>
        <w:tc>
          <w:tcPr>
            <w:tcW w:w="234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Royal Dutch</w:t>
            </w:r>
          </w:p>
        </w:tc>
        <w:tc>
          <w:tcPr>
            <w:tcW w:w="960" w:type="dxa"/>
            <w:vAlign w:val="bottom"/>
          </w:tcPr>
          <w:p>
            <w:pPr>
              <w:spacing w:after="0"/>
              <w:rPr>
                <w:sz w:val="13"/>
                <w:szCs w:val="13"/>
                <w:color w:val="auto"/>
              </w:rPr>
            </w:pPr>
          </w:p>
        </w:tc>
        <w:tc>
          <w:tcPr>
            <w:tcW w:w="23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Quidel in</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Shell in connection with the $9.5B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Quidel's $6.0B</w:t>
            </w: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2"/>
              </w:rPr>
              <w:t>sale of Shell's Permian business to</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acquisition of Ortho Clinical</w:t>
            </w: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960" w:type="dxa"/>
            <w:vAlign w:val="bottom"/>
            <w:tcBorders>
              <w:left w:val="single" w:sz="8" w:color="auto"/>
            </w:tcBorders>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Diagnostics</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60" w:type="dxa"/>
            <w:vAlign w:val="bottom"/>
            <w:tcBorders>
              <w:left w:val="single" w:sz="8" w:color="auto"/>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1000" w:top="144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000" w:top="1440" w:right="979" w:bottom="1440" w:gutter="0" w:footer="0" w:header="0"/>
          <w:type w:val="continuous"/>
        </w:sectPr>
      </w:pPr>
    </w:p>
    <w:bookmarkStart w:id="19" w:name="page20"/>
    <w:bookmarkEnd w:id="19"/>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692"/>
        </w:trPr>
        <w:tc>
          <w:tcPr>
            <w:tcW w:w="700" w:type="dxa"/>
            <w:vAlign w:val="bottom"/>
            <w:tcBorders>
              <w:top w:val="single" w:sz="8" w:color="auto"/>
              <w:left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00" w:type="dxa"/>
            <w:vAlign w:val="bottom"/>
            <w:tcBorders>
              <w:left w:val="single" w:sz="8" w:color="auto"/>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5"/>
              </w:rPr>
              <w:t>Lead financial advisor to Baxter in</w:t>
            </w:r>
          </w:p>
        </w:tc>
        <w:tc>
          <w:tcPr>
            <w:tcW w:w="940" w:type="dxa"/>
            <w:vAlign w:val="bottom"/>
          </w:tcPr>
          <w:p>
            <w:pPr>
              <w:spacing w:after="0"/>
              <w:rPr>
                <w:sz w:val="13"/>
                <w:szCs w:val="13"/>
                <w:color w:val="auto"/>
              </w:rPr>
            </w:pPr>
          </w:p>
        </w:tc>
        <w:tc>
          <w:tcPr>
            <w:tcW w:w="23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Financial advisor to HELLA in</w:t>
            </w:r>
          </w:p>
        </w:tc>
        <w:tc>
          <w:tcPr>
            <w:tcW w:w="920" w:type="dxa"/>
            <w:vAlign w:val="bottom"/>
          </w:tcPr>
          <w:p>
            <w:pPr>
              <w:spacing w:after="0"/>
              <w:rPr>
                <w:sz w:val="13"/>
                <w:szCs w:val="13"/>
                <w:color w:val="auto"/>
              </w:rPr>
            </w:pPr>
          </w:p>
        </w:tc>
        <w:tc>
          <w:tcPr>
            <w:tcW w:w="23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Financial advisor to Invitae</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HELLA's €6.8B</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Corporation in connection with its</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Baxter's $12.4B</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$1.15B Convertible Notes Offering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acquisition of Hillrom</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Faurecia</w:t>
            </w:r>
          </w:p>
        </w:tc>
        <w:tc>
          <w:tcPr>
            <w:tcW w:w="92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to SB Management</w:t>
            </w: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Vonovia in</w:t>
            </w:r>
          </w:p>
        </w:tc>
        <w:tc>
          <w:tcPr>
            <w:tcW w:w="940" w:type="dxa"/>
            <w:vAlign w:val="bottom"/>
          </w:tcPr>
          <w:p>
            <w:pPr>
              <w:spacing w:after="0"/>
              <w:rPr>
                <w:sz w:val="14"/>
                <w:szCs w:val="14"/>
                <w:color w:val="auto"/>
              </w:rPr>
            </w:pPr>
          </w:p>
        </w:tc>
        <w:tc>
          <w:tcPr>
            <w:tcW w:w="23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MKS</w:t>
            </w:r>
          </w:p>
        </w:tc>
        <w:tc>
          <w:tcPr>
            <w:tcW w:w="92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Financial advisor to Garrett Motion</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Vonovia's €29B</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Instruments in connection with</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 connection with its Chapter 11</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MKS's $6.5B acquisition of</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process</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Deutsche Wohnen</w:t>
            </w: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Atotech</w:t>
            </w: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the Independent</w:t>
            </w:r>
          </w:p>
        </w:tc>
        <w:tc>
          <w:tcPr>
            <w:tcW w:w="94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Transaction Committee of</w:t>
            </w:r>
          </w:p>
        </w:tc>
        <w:tc>
          <w:tcPr>
            <w:tcW w:w="94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Luminex in</w:t>
            </w:r>
          </w:p>
        </w:tc>
        <w:tc>
          <w:tcPr>
            <w:tcW w:w="92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Capital markets advisor to Maravai</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Discovery, Inc. in connection with</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its $1.8B sale to</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LifeSciences on pricing of upsized</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Discovery’s $22.2B business</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DiaSorin</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Initial Public Offering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combination with AT&amp;T’s</w:t>
            </w:r>
          </w:p>
        </w:tc>
        <w:tc>
          <w:tcPr>
            <w:tcW w:w="94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700" w:type="dxa"/>
            <w:vAlign w:val="bottom"/>
            <w:tcBorders>
              <w:left w:val="single" w:sz="8" w:color="auto"/>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60" w:type="dxa"/>
            <w:vAlign w:val="bottom"/>
            <w:tcBorders>
              <w:right w:val="single" w:sz="8" w:color="auto"/>
            </w:tcBorders>
            <w:vMerge w:val="continue"/>
          </w:tcPr>
          <w:p>
            <w:pPr>
              <w:spacing w:after="0"/>
              <w:rPr>
                <w:sz w:val="3"/>
                <w:szCs w:val="3"/>
                <w:color w:val="auto"/>
              </w:rPr>
            </w:pPr>
          </w:p>
        </w:tc>
        <w:tc>
          <w:tcPr>
            <w:tcW w:w="94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700" w:type="dxa"/>
            <w:vAlign w:val="bottom"/>
            <w:tcBorders>
              <w:left w:val="single" w:sz="8" w:color="auto"/>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WarnerMedia</w:t>
            </w:r>
          </w:p>
        </w:tc>
        <w:tc>
          <w:tcPr>
            <w:tcW w:w="94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700" w:type="dxa"/>
            <w:vAlign w:val="bottom"/>
            <w:tcBorders>
              <w:left w:val="single" w:sz="8" w:color="auto"/>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Veolia in</w:t>
            </w:r>
          </w:p>
        </w:tc>
        <w:tc>
          <w:tcPr>
            <w:tcW w:w="940" w:type="dxa"/>
            <w:vAlign w:val="bottom"/>
          </w:tcPr>
          <w:p>
            <w:pPr>
              <w:spacing w:after="0"/>
              <w:rPr>
                <w:sz w:val="19"/>
                <w:szCs w:val="19"/>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Exclusive financial advisor to Kraft</w:t>
            </w:r>
          </w:p>
        </w:tc>
        <w:tc>
          <w:tcPr>
            <w:tcW w:w="920" w:type="dxa"/>
            <w:vAlign w:val="bottom"/>
          </w:tcPr>
          <w:p>
            <w:pPr>
              <w:spacing w:after="0"/>
              <w:rPr>
                <w:sz w:val="19"/>
                <w:szCs w:val="19"/>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Independent capital markets</w:t>
            </w: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Heinz in connection with the</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3"/>
              </w:rPr>
              <w:t>advisor to Maravai LifeSciences on</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Veolia's €25.9B</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3"/>
              </w:rPr>
              <w:t>$3.35B sale of its Planters brand to</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its follow-on offering of common</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merger with Suez</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Hormel Foods Corporation</w:t>
            </w:r>
          </w:p>
        </w:tc>
        <w:tc>
          <w:tcPr>
            <w:tcW w:w="92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stock</w:t>
            </w: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700" w:type="dxa"/>
            <w:vAlign w:val="bottom"/>
            <w:tcBorders>
              <w:left w:val="single" w:sz="8" w:color="auto"/>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Advisor to Owl Rock Capital</w:t>
            </w:r>
          </w:p>
        </w:tc>
        <w:tc>
          <w:tcPr>
            <w:tcW w:w="940" w:type="dxa"/>
            <w:vAlign w:val="bottom"/>
          </w:tcPr>
          <w:p>
            <w:pPr>
              <w:spacing w:after="0"/>
              <w:rPr>
                <w:sz w:val="13"/>
                <w:szCs w:val="13"/>
                <w:color w:val="auto"/>
              </w:rPr>
            </w:pPr>
          </w:p>
        </w:tc>
        <w:tc>
          <w:tcPr>
            <w:tcW w:w="238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Partners LP in executing a</w:t>
            </w:r>
          </w:p>
        </w:tc>
        <w:tc>
          <w:tcPr>
            <w:tcW w:w="94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Royal</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definitive business combination</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Financial advisor to PureCycle</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Caribbean Cruises Ltd. in</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agreement with Dyal Capital</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Technologies in its merger with</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connection with multiple financing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Partners to form Blue Owl Capital</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Roth CH Acquisition I Co. and</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transactions across both the debt</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4"/>
              </w:rPr>
              <w:t>Inc. and list on NYSE via a $12.5B</w:t>
            </w: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$1.2B listing on the Nasdaq</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and equity capital markets</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business combination with Altimar</w:t>
            </w:r>
          </w:p>
        </w:tc>
        <w:tc>
          <w:tcPr>
            <w:tcW w:w="940" w:type="dxa"/>
            <w:vAlign w:val="bottom"/>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700" w:type="dxa"/>
            <w:vAlign w:val="bottom"/>
            <w:tcBorders>
              <w:left w:val="single" w:sz="8" w:color="auto"/>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60" w:type="dxa"/>
            <w:vAlign w:val="bottom"/>
            <w:tcBorders>
              <w:right w:val="single" w:sz="8" w:color="auto"/>
            </w:tcBorders>
            <w:vMerge w:val="continue"/>
          </w:tcPr>
          <w:p>
            <w:pPr>
              <w:spacing w:after="0"/>
              <w:rPr>
                <w:sz w:val="3"/>
                <w:szCs w:val="3"/>
                <w:color w:val="auto"/>
              </w:rPr>
            </w:pPr>
          </w:p>
        </w:tc>
        <w:tc>
          <w:tcPr>
            <w:tcW w:w="94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Acquisition Corporation</w:t>
            </w:r>
          </w:p>
        </w:tc>
        <w:tc>
          <w:tcPr>
            <w:tcW w:w="94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financial advisor to</w:t>
            </w:r>
          </w:p>
        </w:tc>
        <w:tc>
          <w:tcPr>
            <w:tcW w:w="940" w:type="dxa"/>
            <w:vAlign w:val="bottom"/>
          </w:tcPr>
          <w:p>
            <w:pPr>
              <w:spacing w:after="0"/>
              <w:rPr>
                <w:sz w:val="19"/>
                <w:szCs w:val="19"/>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Precision</w:t>
            </w:r>
          </w:p>
        </w:tc>
        <w:tc>
          <w:tcPr>
            <w:tcW w:w="92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9"/>
              </w:rPr>
              <w:t>Northrop Grumman Corp. on the</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Medicine Group, LLC in majority</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Advisor to the Ad Hoc Committee</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sale of its Federal IT and Mission</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investment and recapitalization</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 Pacific Gas and Electric</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Support Services Business to</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transaction led by The Blackstone</w:t>
            </w: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Company’s debt restructuring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3"/>
              </w:rPr>
              <w:t>Veritas Capital Fund Management,</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Group Inc.</w:t>
            </w:r>
          </w:p>
        </w:tc>
        <w:tc>
          <w:tcPr>
            <w:tcW w:w="92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LLC for $3.4B</w:t>
            </w:r>
          </w:p>
        </w:tc>
        <w:tc>
          <w:tcPr>
            <w:tcW w:w="94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920" w:type="dxa"/>
            <w:vAlign w:val="bottom"/>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700" w:type="dxa"/>
            <w:vAlign w:val="bottom"/>
            <w:tcBorders>
              <w:left w:val="single" w:sz="8" w:color="auto"/>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advisor to Northrop</w:t>
            </w:r>
          </w:p>
        </w:tc>
        <w:tc>
          <w:tcPr>
            <w:tcW w:w="940" w:type="dxa"/>
            <w:vAlign w:val="bottom"/>
          </w:tcPr>
          <w:p>
            <w:pPr>
              <w:spacing w:after="0"/>
              <w:rPr>
                <w:sz w:val="19"/>
                <w:szCs w:val="19"/>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KKR in</w:t>
            </w:r>
          </w:p>
        </w:tc>
        <w:tc>
          <w:tcPr>
            <w:tcW w:w="920" w:type="dxa"/>
            <w:vAlign w:val="bottom"/>
          </w:tcPr>
          <w:p>
            <w:pPr>
              <w:spacing w:after="0"/>
              <w:rPr>
                <w:sz w:val="19"/>
                <w:szCs w:val="19"/>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Alta Mesa</w:t>
            </w: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Grumman Corp. in its $9.2B</w:t>
            </w:r>
          </w:p>
        </w:tc>
        <w:tc>
          <w:tcPr>
            <w:tcW w:w="940" w:type="dxa"/>
            <w:vAlign w:val="bottom"/>
          </w:tcPr>
          <w:p>
            <w:pPr>
              <w:spacing w:after="0"/>
              <w:rPr>
                <w:sz w:val="14"/>
                <w:szCs w:val="14"/>
                <w:color w:val="auto"/>
              </w:rPr>
            </w:pPr>
          </w:p>
        </w:tc>
        <w:tc>
          <w:tcPr>
            <w:tcW w:w="23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connection with KKR's $5.3B</w:t>
            </w:r>
          </w:p>
        </w:tc>
        <w:tc>
          <w:tcPr>
            <w:tcW w:w="920" w:type="dxa"/>
            <w:vAlign w:val="bottom"/>
          </w:tcPr>
          <w:p>
            <w:pPr>
              <w:spacing w:after="0"/>
              <w:rPr>
                <w:sz w:val="14"/>
                <w:szCs w:val="14"/>
                <w:color w:val="auto"/>
              </w:rPr>
            </w:pPr>
          </w:p>
        </w:tc>
        <w:tc>
          <w:tcPr>
            <w:tcW w:w="23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Resources, Inc. in connection with</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00" w:type="dxa"/>
            <w:vAlign w:val="bottom"/>
            <w:tcBorders>
              <w:left w:val="single" w:sz="8" w:color="auto"/>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acquisition of Orbital ATK, Inc.</w:t>
            </w:r>
          </w:p>
        </w:tc>
        <w:tc>
          <w:tcPr>
            <w:tcW w:w="940" w:type="dxa"/>
            <w:vAlign w:val="bottom"/>
          </w:tcPr>
          <w:p>
            <w:pPr>
              <w:spacing w:after="0"/>
              <w:rPr>
                <w:sz w:val="17"/>
                <w:szCs w:val="17"/>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acquisition of Cloudera</w:t>
            </w:r>
          </w:p>
        </w:tc>
        <w:tc>
          <w:tcPr>
            <w:tcW w:w="920" w:type="dxa"/>
            <w:vAlign w:val="bottom"/>
          </w:tcPr>
          <w:p>
            <w:pPr>
              <w:spacing w:after="0"/>
              <w:rPr>
                <w:sz w:val="17"/>
                <w:szCs w:val="17"/>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its Chapter 11 process</w:t>
            </w: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700" w:type="dxa"/>
            <w:vAlign w:val="bottom"/>
            <w:tcBorders>
              <w:left w:val="single" w:sz="8" w:color="auto"/>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advisor to KKR &amp; Co.</w:t>
            </w:r>
          </w:p>
        </w:tc>
        <w:tc>
          <w:tcPr>
            <w:tcW w:w="9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8"/>
              </w:rPr>
              <w:t>Advisor to the Supervisory Board</w:t>
            </w:r>
          </w:p>
        </w:tc>
        <w:tc>
          <w:tcPr>
            <w:tcW w:w="940" w:type="dxa"/>
            <w:vAlign w:val="bottom"/>
          </w:tcPr>
          <w:p>
            <w:pPr>
              <w:spacing w:after="0"/>
              <w:rPr>
                <w:sz w:val="14"/>
                <w:szCs w:val="14"/>
                <w:color w:val="auto"/>
              </w:rPr>
            </w:pPr>
          </w:p>
        </w:tc>
        <w:tc>
          <w:tcPr>
            <w:tcW w:w="23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Inc. on its $4.3B acquisition of a</w:t>
            </w:r>
          </w:p>
        </w:tc>
        <w:tc>
          <w:tcPr>
            <w:tcW w:w="920" w:type="dxa"/>
            <w:vAlign w:val="bottom"/>
          </w:tcPr>
          <w:p>
            <w:pPr>
              <w:spacing w:after="0"/>
              <w:rPr>
                <w:sz w:val="14"/>
                <w:szCs w:val="14"/>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advisor to Del Monte</w:t>
            </w: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majority stake in Coty Inc.’s</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of Peugeot S.A. on its $26B</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Foods, Inc. and Del Monte Pacific</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Professional Beauty and Retail</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merger with Fiat Chrysler</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Limited on capital structure</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Hair businesses and $1.0B</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Automobiles N.V.</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refinancing</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investment in Coty Inc. in the form</w:t>
            </w: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700" w:type="dxa"/>
            <w:vAlign w:val="bottom"/>
            <w:tcBorders>
              <w:left w:val="single" w:sz="8" w:color="auto"/>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360" w:type="dxa"/>
            <w:vAlign w:val="bottom"/>
            <w:tcBorders>
              <w:right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2380" w:type="dxa"/>
            <w:vAlign w:val="bottom"/>
            <w:tcBorders>
              <w:right w:val="single" w:sz="8" w:color="auto"/>
            </w:tcBorders>
            <w:vMerge w:val="continue"/>
          </w:tcPr>
          <w:p>
            <w:pPr>
              <w:spacing w:after="0"/>
              <w:rPr>
                <w:sz w:val="3"/>
                <w:szCs w:val="3"/>
                <w:color w:val="auto"/>
              </w:rPr>
            </w:pPr>
          </w:p>
        </w:tc>
        <w:tc>
          <w:tcPr>
            <w:tcW w:w="920" w:type="dxa"/>
            <w:vAlign w:val="bottom"/>
          </w:tcPr>
          <w:p>
            <w:pPr>
              <w:spacing w:after="0"/>
              <w:rPr>
                <w:sz w:val="3"/>
                <w:szCs w:val="3"/>
                <w:color w:val="auto"/>
              </w:rPr>
            </w:pPr>
          </w:p>
        </w:tc>
        <w:tc>
          <w:tcPr>
            <w:tcW w:w="238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700" w:type="dxa"/>
            <w:vAlign w:val="bottom"/>
            <w:tcBorders>
              <w:left w:val="single" w:sz="8" w:color="auto"/>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convertible preferred shares</w:t>
            </w:r>
          </w:p>
        </w:tc>
        <w:tc>
          <w:tcPr>
            <w:tcW w:w="92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0" w:type="dxa"/>
            <w:vAlign w:val="bottom"/>
            <w:tcBorders>
              <w:left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Borders>
              <w:left w:val="single" w:sz="8" w:color="auto"/>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9"/>
              </w:rPr>
              <w:t>Sole financial advisor to Oaktree</w:t>
            </w:r>
          </w:p>
        </w:tc>
        <w:tc>
          <w:tcPr>
            <w:tcW w:w="940" w:type="dxa"/>
            <w:vAlign w:val="bottom"/>
          </w:tcPr>
          <w:p>
            <w:pPr>
              <w:spacing w:after="0"/>
              <w:rPr>
                <w:sz w:val="13"/>
                <w:szCs w:val="13"/>
                <w:color w:val="auto"/>
              </w:rPr>
            </w:pPr>
          </w:p>
        </w:tc>
        <w:tc>
          <w:tcPr>
            <w:tcW w:w="23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Lead financial advisor to Invitae</w:t>
            </w:r>
          </w:p>
        </w:tc>
        <w:tc>
          <w:tcPr>
            <w:tcW w:w="920" w:type="dxa"/>
            <w:vAlign w:val="bottom"/>
          </w:tcPr>
          <w:p>
            <w:pPr>
              <w:spacing w:after="0"/>
              <w:rPr>
                <w:sz w:val="13"/>
                <w:szCs w:val="13"/>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2"/>
              </w:rPr>
              <w:t>Financial advisor to Sabre Corp. on</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Corp. in connection with $1.4B</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Capital Group, LLC in 62% sale to</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its $1.1 billion secured and</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94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92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Brookfield Asset Management Inc.</w:t>
            </w:r>
          </w:p>
        </w:tc>
        <w:tc>
          <w:tcPr>
            <w:tcW w:w="940" w:type="dxa"/>
            <w:vAlign w:val="bottom"/>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exchangeable note offerings</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ArcherDX, Inc.</w:t>
            </w:r>
          </w:p>
        </w:tc>
        <w:tc>
          <w:tcPr>
            <w:tcW w:w="920" w:type="dxa"/>
            <w:vAlign w:val="bottom"/>
          </w:tcPr>
          <w:p>
            <w:pPr>
              <w:spacing w:after="0"/>
              <w:rPr>
                <w:sz w:val="10"/>
                <w:szCs w:val="10"/>
                <w:color w:val="auto"/>
              </w:rPr>
            </w:pPr>
          </w:p>
        </w:tc>
        <w:tc>
          <w:tcPr>
            <w:tcW w:w="238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00" w:type="dxa"/>
            <w:vAlign w:val="bottom"/>
            <w:tcBorders>
              <w:left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8"/>
        </w:trPr>
        <w:tc>
          <w:tcPr>
            <w:tcW w:w="7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-6173470</wp:posOffset>
            </wp:positionV>
            <wp:extent cx="48006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0060" cy="1714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-6233795</wp:posOffset>
            </wp:positionV>
            <wp:extent cx="42862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625" cy="29146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-6139180</wp:posOffset>
            </wp:positionV>
            <wp:extent cx="37719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-5693410</wp:posOffset>
            </wp:positionV>
            <wp:extent cx="42862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-5719445</wp:posOffset>
            </wp:positionV>
            <wp:extent cx="48006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0060" cy="17145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-5710555</wp:posOffset>
            </wp:positionV>
            <wp:extent cx="42862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625" cy="15430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-5067935</wp:posOffset>
            </wp:positionV>
            <wp:extent cx="402590" cy="85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2590" cy="8572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-5059045</wp:posOffset>
            </wp:positionV>
            <wp:extent cx="394335"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4335" cy="6858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-4845050</wp:posOffset>
            </wp:positionV>
            <wp:extent cx="42862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8625" cy="18859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-4433570</wp:posOffset>
            </wp:positionV>
            <wp:extent cx="42862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-4458970</wp:posOffset>
            </wp:positionV>
            <wp:extent cx="39433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4335" cy="17145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-3730625</wp:posOffset>
            </wp:positionV>
            <wp:extent cx="42862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-3713480</wp:posOffset>
            </wp:positionV>
            <wp:extent cx="428625"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-3713480</wp:posOffset>
            </wp:positionV>
            <wp:extent cx="428625"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-2675890</wp:posOffset>
            </wp:positionV>
            <wp:extent cx="428625"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-3001645</wp:posOffset>
            </wp:positionV>
            <wp:extent cx="48006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0060" cy="29146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-2933065</wp:posOffset>
            </wp:positionV>
            <wp:extent cx="41148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-1835785</wp:posOffset>
            </wp:positionV>
            <wp:extent cx="39433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4335" cy="1200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-2307590</wp:posOffset>
            </wp:positionV>
            <wp:extent cx="377190" cy="93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-1647190</wp:posOffset>
            </wp:positionV>
            <wp:extent cx="33401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010" cy="1885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-1647190</wp:posOffset>
            </wp:positionV>
            <wp:extent cx="25717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7175" cy="18859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-909955</wp:posOffset>
            </wp:positionV>
            <wp:extent cx="428625"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-909955</wp:posOffset>
            </wp:positionV>
            <wp:extent cx="37719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7190" cy="1200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-892810</wp:posOffset>
            </wp:positionV>
            <wp:extent cx="41148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148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940" w:type="dxa"/>
            <w:vAlign w:val="bottom"/>
            <w:tcBorders>
              <w:top w:val="single" w:sz="8" w:color="auto"/>
              <w:left w:val="single" w:sz="8" w:color="auto"/>
            </w:tcBorders>
          </w:tcPr>
          <w:p>
            <w:pPr>
              <w:spacing w:after="0"/>
              <w:rPr>
                <w:sz w:val="15"/>
                <w:szCs w:val="15"/>
                <w:color w:val="auto"/>
              </w:rPr>
            </w:pPr>
          </w:p>
        </w:tc>
        <w:tc>
          <w:tcPr>
            <w:tcW w:w="2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Altria Group, Inc. in</w:t>
            </w:r>
          </w:p>
        </w:tc>
        <w:tc>
          <w:tcPr>
            <w:tcW w:w="3320" w:type="dxa"/>
            <w:vAlign w:val="bottom"/>
            <w:tcBorders>
              <w:top w:val="single" w:sz="8" w:color="auto"/>
              <w:right w:val="single" w:sz="8" w:color="auto"/>
            </w:tcBorders>
            <w:vMerge w:val="restart"/>
          </w:tcPr>
          <w:p>
            <w:pPr>
              <w:ind w:left="960"/>
              <w:spacing w:after="0"/>
              <w:rPr>
                <w:sz w:val="20"/>
                <w:szCs w:val="20"/>
                <w:color w:val="auto"/>
              </w:rPr>
            </w:pPr>
            <w:r>
              <w:rPr>
                <w:rFonts w:ascii="Arial" w:cs="Arial" w:eastAsia="Arial" w:hAnsi="Arial"/>
                <w:sz w:val="16"/>
                <w:szCs w:val="16"/>
                <w:color w:val="auto"/>
              </w:rPr>
              <w:t>Sole financial advisor to PayPal</w:t>
            </w:r>
          </w:p>
        </w:tc>
        <w:tc>
          <w:tcPr>
            <w:tcW w:w="3300" w:type="dxa"/>
            <w:vAlign w:val="bottom"/>
            <w:tcBorders>
              <w:top w:val="single" w:sz="8" w:color="auto"/>
              <w:right w:val="single" w:sz="8" w:color="auto"/>
            </w:tcBorders>
          </w:tcPr>
          <w:p>
            <w:pPr>
              <w:ind w:left="940"/>
              <w:spacing w:after="0" w:line="179" w:lineRule="exact"/>
              <w:rPr>
                <w:sz w:val="20"/>
                <w:szCs w:val="20"/>
                <w:color w:val="auto"/>
              </w:rPr>
            </w:pPr>
            <w:r>
              <w:rPr>
                <w:rFonts w:ascii="Arial" w:cs="Arial" w:eastAsia="Arial" w:hAnsi="Arial"/>
                <w:sz w:val="16"/>
                <w:szCs w:val="16"/>
                <w:color w:val="auto"/>
              </w:rPr>
              <w:t>Financial advisor to the Ad Hoc</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ind w:left="940"/>
              <w:spacing w:after="0" w:line="162" w:lineRule="exact"/>
              <w:rPr>
                <w:sz w:val="20"/>
                <w:szCs w:val="20"/>
                <w:color w:val="auto"/>
              </w:rPr>
            </w:pPr>
            <w:r>
              <w:rPr>
                <w:rFonts w:ascii="Arial" w:cs="Arial" w:eastAsia="Arial" w:hAnsi="Arial"/>
                <w:sz w:val="16"/>
                <w:szCs w:val="16"/>
                <w:color w:val="auto"/>
              </w:rPr>
              <w:t>Group of Constitutional</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connection with its stake in</w:t>
            </w:r>
          </w:p>
        </w:tc>
        <w:tc>
          <w:tcPr>
            <w:tcW w:w="3320" w:type="dxa"/>
            <w:vAlign w:val="bottom"/>
            <w:tcBorders>
              <w:right w:val="single" w:sz="8" w:color="auto"/>
            </w:tcBorders>
            <w:vMerge w:val="restart"/>
          </w:tcPr>
          <w:p>
            <w:pPr>
              <w:ind w:left="960"/>
              <w:spacing w:after="0" w:line="162" w:lineRule="exact"/>
              <w:rPr>
                <w:sz w:val="20"/>
                <w:szCs w:val="20"/>
                <w:color w:val="auto"/>
              </w:rPr>
            </w:pPr>
            <w:r>
              <w:rPr>
                <w:rFonts w:ascii="Arial" w:cs="Arial" w:eastAsia="Arial" w:hAnsi="Arial"/>
                <w:sz w:val="16"/>
                <w:szCs w:val="16"/>
                <w:color w:val="auto"/>
              </w:rPr>
              <w:t>Holdings, Inc. on its $4B</w:t>
            </w:r>
          </w:p>
        </w:tc>
        <w:tc>
          <w:tcPr>
            <w:tcW w:w="3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ind w:left="940"/>
              <w:spacing w:after="0" w:line="162" w:lineRule="exact"/>
              <w:rPr>
                <w:sz w:val="20"/>
                <w:szCs w:val="20"/>
                <w:color w:val="auto"/>
              </w:rPr>
            </w:pPr>
            <w:r>
              <w:rPr>
                <w:rFonts w:ascii="Arial" w:cs="Arial" w:eastAsia="Arial" w:hAnsi="Arial"/>
                <w:sz w:val="16"/>
                <w:szCs w:val="16"/>
                <w:color w:val="auto"/>
              </w:rPr>
              <w:t>Debtholders on settlement with</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SABMiller plc’s $107B sale to</w:t>
            </w:r>
          </w:p>
        </w:tc>
        <w:tc>
          <w:tcPr>
            <w:tcW w:w="3320" w:type="dxa"/>
            <w:vAlign w:val="bottom"/>
            <w:tcBorders>
              <w:right w:val="single" w:sz="8" w:color="auto"/>
            </w:tcBorders>
            <w:vMerge w:val="restart"/>
          </w:tcPr>
          <w:p>
            <w:pPr>
              <w:ind w:left="960"/>
              <w:spacing w:after="0" w:line="162" w:lineRule="exact"/>
              <w:rPr>
                <w:sz w:val="20"/>
                <w:szCs w:val="20"/>
                <w:color w:val="auto"/>
              </w:rPr>
            </w:pPr>
            <w:r>
              <w:rPr>
                <w:rFonts w:ascii="Arial" w:cs="Arial" w:eastAsia="Arial" w:hAnsi="Arial"/>
                <w:sz w:val="16"/>
                <w:szCs w:val="16"/>
                <w:color w:val="auto"/>
              </w:rPr>
              <w:t>acquisition of Honey Science</w:t>
            </w:r>
          </w:p>
        </w:tc>
        <w:tc>
          <w:tcPr>
            <w:tcW w:w="3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ind w:left="940"/>
              <w:spacing w:after="0" w:line="162" w:lineRule="exact"/>
              <w:rPr>
                <w:sz w:val="20"/>
                <w:szCs w:val="20"/>
                <w:color w:val="auto"/>
              </w:rPr>
            </w:pPr>
            <w:r>
              <w:rPr>
                <w:rFonts w:ascii="Arial" w:cs="Arial" w:eastAsia="Arial" w:hAnsi="Arial"/>
                <w:sz w:val="16"/>
                <w:szCs w:val="16"/>
                <w:color w:val="auto"/>
              </w:rPr>
              <w:t>Puerto Rico Oversight and</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Anheuser-Busch InBev SA/NV</w:t>
            </w:r>
          </w:p>
        </w:tc>
        <w:tc>
          <w:tcPr>
            <w:tcW w:w="3320" w:type="dxa"/>
            <w:vAlign w:val="bottom"/>
            <w:tcBorders>
              <w:right w:val="single" w:sz="8" w:color="auto"/>
            </w:tcBorders>
            <w:vMerge w:val="restart"/>
          </w:tcPr>
          <w:p>
            <w:pPr>
              <w:ind w:left="960"/>
              <w:spacing w:after="0"/>
              <w:rPr>
                <w:sz w:val="20"/>
                <w:szCs w:val="20"/>
                <w:color w:val="auto"/>
              </w:rPr>
            </w:pPr>
            <w:r>
              <w:rPr>
                <w:rFonts w:ascii="Arial" w:cs="Arial" w:eastAsia="Arial" w:hAnsi="Arial"/>
                <w:sz w:val="16"/>
                <w:szCs w:val="16"/>
                <w:color w:val="auto"/>
              </w:rPr>
              <w:t>Corporation</w:t>
            </w:r>
          </w:p>
        </w:tc>
        <w:tc>
          <w:tcPr>
            <w:tcW w:w="3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40" w:type="dxa"/>
            <w:vAlign w:val="bottom"/>
            <w:tcBorders>
              <w:lef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3320" w:type="dxa"/>
            <w:vAlign w:val="bottom"/>
            <w:tcBorders>
              <w:right w:val="single" w:sz="8" w:color="auto"/>
            </w:tcBorders>
            <w:vMerge w:val="continue"/>
          </w:tcPr>
          <w:p>
            <w:pPr>
              <w:spacing w:after="0"/>
              <w:rPr>
                <w:sz w:val="10"/>
                <w:szCs w:val="10"/>
                <w:color w:val="auto"/>
              </w:rPr>
            </w:pPr>
          </w:p>
        </w:tc>
        <w:tc>
          <w:tcPr>
            <w:tcW w:w="3300" w:type="dxa"/>
            <w:vAlign w:val="bottom"/>
            <w:tcBorders>
              <w:right w:val="single" w:sz="8" w:color="auto"/>
            </w:tcBorders>
            <w:vMerge w:val="restart"/>
          </w:tcPr>
          <w:p>
            <w:pPr>
              <w:ind w:left="940"/>
              <w:spacing w:after="0"/>
              <w:rPr>
                <w:sz w:val="20"/>
                <w:szCs w:val="20"/>
                <w:color w:val="auto"/>
              </w:rPr>
            </w:pPr>
            <w:r>
              <w:rPr>
                <w:rFonts w:ascii="Arial" w:cs="Arial" w:eastAsia="Arial" w:hAnsi="Arial"/>
                <w:sz w:val="16"/>
                <w:szCs w:val="16"/>
                <w:color w:val="auto"/>
              </w:rPr>
              <w:t>Management Board</w:t>
            </w:r>
          </w:p>
        </w:tc>
        <w:tc>
          <w:tcPr>
            <w:tcW w:w="0" w:type="dxa"/>
            <w:vAlign w:val="bottom"/>
          </w:tcPr>
          <w:p>
            <w:pPr>
              <w:spacing w:after="0"/>
              <w:rPr>
                <w:sz w:val="1"/>
                <w:szCs w:val="1"/>
                <w:color w:val="auto"/>
              </w:rPr>
            </w:pPr>
          </w:p>
        </w:tc>
      </w:tr>
      <w:tr>
        <w:trPr>
          <w:trHeight w:val="84"/>
        </w:trPr>
        <w:tc>
          <w:tcPr>
            <w:tcW w:w="940" w:type="dxa"/>
            <w:vAlign w:val="bottom"/>
            <w:tcBorders>
              <w:lef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Advisor to Altria Group, Inc. in its</w:t>
            </w:r>
          </w:p>
        </w:tc>
        <w:tc>
          <w:tcPr>
            <w:tcW w:w="332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rPr>
              <w:t>Advisor to Occidental Petroleum</w:t>
            </w:r>
          </w:p>
        </w:tc>
        <w:tc>
          <w:tcPr>
            <w:tcW w:w="3300" w:type="dxa"/>
            <w:vAlign w:val="bottom"/>
            <w:tcBorders>
              <w:right w:val="single" w:sz="8" w:color="auto"/>
            </w:tcBorders>
          </w:tcPr>
          <w:p>
            <w:pPr>
              <w:ind w:left="940"/>
              <w:spacing w:after="0"/>
              <w:rPr>
                <w:sz w:val="20"/>
                <w:szCs w:val="20"/>
                <w:color w:val="auto"/>
              </w:rPr>
            </w:pPr>
            <w:r>
              <w:rPr>
                <w:rFonts w:ascii="Arial" w:cs="Arial" w:eastAsia="Arial" w:hAnsi="Arial"/>
                <w:sz w:val="16"/>
                <w:szCs w:val="16"/>
                <w:color w:val="auto"/>
                <w:w w:val="94"/>
              </w:rPr>
              <w:t>Advisor to Legacy Reserves Inc. in</w:t>
            </w:r>
          </w:p>
        </w:tc>
        <w:tc>
          <w:tcPr>
            <w:tcW w:w="0" w:type="dxa"/>
            <w:vAlign w:val="bottom"/>
          </w:tcPr>
          <w:p>
            <w:pPr>
              <w:spacing w:after="0"/>
              <w:rPr>
                <w:sz w:val="1"/>
                <w:szCs w:val="1"/>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6"/>
              </w:rPr>
              <w:t>$12.8B investment in JUUL Labs,</w:t>
            </w:r>
          </w:p>
        </w:tc>
        <w:tc>
          <w:tcPr>
            <w:tcW w:w="3320" w:type="dxa"/>
            <w:vAlign w:val="bottom"/>
            <w:tcBorders>
              <w:right w:val="single" w:sz="8" w:color="auto"/>
            </w:tcBorders>
          </w:tcPr>
          <w:p>
            <w:pPr>
              <w:ind w:left="960"/>
              <w:spacing w:after="0" w:line="162" w:lineRule="exact"/>
              <w:rPr>
                <w:sz w:val="20"/>
                <w:szCs w:val="20"/>
                <w:color w:val="auto"/>
              </w:rPr>
            </w:pPr>
            <w:r>
              <w:rPr>
                <w:rFonts w:ascii="Arial" w:cs="Arial" w:eastAsia="Arial" w:hAnsi="Arial"/>
                <w:sz w:val="16"/>
                <w:szCs w:val="16"/>
                <w:color w:val="auto"/>
              </w:rPr>
              <w:t>Corp. on formation of Midland</w:t>
            </w:r>
          </w:p>
        </w:tc>
        <w:tc>
          <w:tcPr>
            <w:tcW w:w="3300" w:type="dxa"/>
            <w:vAlign w:val="bottom"/>
            <w:tcBorders>
              <w:right w:val="single" w:sz="8" w:color="auto"/>
            </w:tcBorders>
          </w:tcPr>
          <w:p>
            <w:pPr>
              <w:ind w:left="940"/>
              <w:spacing w:after="0" w:line="162" w:lineRule="exact"/>
              <w:rPr>
                <w:sz w:val="20"/>
                <w:szCs w:val="20"/>
                <w:color w:val="auto"/>
              </w:rPr>
            </w:pPr>
            <w:r>
              <w:rPr>
                <w:rFonts w:ascii="Arial" w:cs="Arial" w:eastAsia="Arial" w:hAnsi="Arial"/>
                <w:sz w:val="16"/>
                <w:szCs w:val="16"/>
                <w:color w:val="auto"/>
              </w:rPr>
              <w:t>its joint Chapter 11 plan of</w:t>
            </w:r>
          </w:p>
        </w:tc>
        <w:tc>
          <w:tcPr>
            <w:tcW w:w="0" w:type="dxa"/>
            <w:vAlign w:val="bottom"/>
          </w:tcPr>
          <w:p>
            <w:pPr>
              <w:spacing w:after="0"/>
              <w:rPr>
                <w:sz w:val="1"/>
                <w:szCs w:val="1"/>
                <w:color w:val="auto"/>
              </w:rPr>
            </w:pPr>
          </w:p>
        </w:tc>
      </w:tr>
      <w:tr>
        <w:trPr>
          <w:trHeight w:val="206"/>
        </w:trPr>
        <w:tc>
          <w:tcPr>
            <w:tcW w:w="940" w:type="dxa"/>
            <w:vAlign w:val="bottom"/>
            <w:tcBorders>
              <w:left w:val="single" w:sz="8" w:color="auto"/>
            </w:tcBorders>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32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w w:val="96"/>
              </w:rPr>
              <w:t>Basin JV with EcoPetrol for $1.5B</w:t>
            </w:r>
          </w:p>
        </w:tc>
        <w:tc>
          <w:tcPr>
            <w:tcW w:w="3300" w:type="dxa"/>
            <w:vAlign w:val="bottom"/>
            <w:tcBorders>
              <w:right w:val="single" w:sz="8" w:color="auto"/>
            </w:tcBorders>
          </w:tcPr>
          <w:p>
            <w:pPr>
              <w:ind w:left="940"/>
              <w:spacing w:after="0"/>
              <w:rPr>
                <w:sz w:val="20"/>
                <w:szCs w:val="20"/>
                <w:color w:val="auto"/>
              </w:rPr>
            </w:pPr>
            <w:r>
              <w:rPr>
                <w:rFonts w:ascii="Arial" w:cs="Arial" w:eastAsia="Arial" w:hAnsi="Arial"/>
                <w:sz w:val="16"/>
                <w:szCs w:val="16"/>
                <w:color w:val="auto"/>
              </w:rPr>
              <w:t>reorganization</w:t>
            </w:r>
          </w:p>
        </w:tc>
        <w:tc>
          <w:tcPr>
            <w:tcW w:w="0" w:type="dxa"/>
            <w:vAlign w:val="bottom"/>
          </w:tcPr>
          <w:p>
            <w:pPr>
              <w:spacing w:after="0"/>
              <w:rPr>
                <w:sz w:val="1"/>
                <w:szCs w:val="1"/>
                <w:color w:val="auto"/>
              </w:rPr>
            </w:pPr>
          </w:p>
        </w:tc>
      </w:tr>
      <w:tr>
        <w:trPr>
          <w:trHeight w:val="87"/>
        </w:trPr>
        <w:tc>
          <w:tcPr>
            <w:tcW w:w="940" w:type="dxa"/>
            <w:vAlign w:val="bottom"/>
            <w:tcBorders>
              <w:lef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940" w:type="dxa"/>
            <w:vAlign w:val="bottom"/>
            <w:tcBorders>
              <w:left w:val="single" w:sz="8" w:color="auto"/>
            </w:tcBorders>
          </w:tcPr>
          <w:p>
            <w:pPr>
              <w:spacing w:after="0"/>
              <w:rPr>
                <w:sz w:val="19"/>
                <w:szCs w:val="19"/>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Financial advisor to Altria Group,</w:t>
            </w:r>
          </w:p>
        </w:tc>
        <w:tc>
          <w:tcPr>
            <w:tcW w:w="332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rPr>
              <w:t>Exclusive financial advisor to</w:t>
            </w:r>
          </w:p>
        </w:tc>
        <w:tc>
          <w:tcPr>
            <w:tcW w:w="3300" w:type="dxa"/>
            <w:vAlign w:val="bottom"/>
            <w:tcBorders>
              <w:right w:val="single" w:sz="8" w:color="auto"/>
            </w:tcBorders>
          </w:tcPr>
          <w:p>
            <w:pPr>
              <w:ind w:left="940"/>
              <w:spacing w:after="0"/>
              <w:rPr>
                <w:sz w:val="20"/>
                <w:szCs w:val="20"/>
                <w:color w:val="auto"/>
              </w:rPr>
            </w:pPr>
            <w:r>
              <w:rPr>
                <w:rFonts w:ascii="Arial" w:cs="Arial" w:eastAsia="Arial" w:hAnsi="Arial"/>
                <w:sz w:val="16"/>
                <w:szCs w:val="16"/>
                <w:color w:val="auto"/>
              </w:rPr>
              <w:t>Exclusive financial advisor to the</w:t>
            </w:r>
          </w:p>
        </w:tc>
        <w:tc>
          <w:tcPr>
            <w:tcW w:w="0" w:type="dxa"/>
            <w:vAlign w:val="bottom"/>
          </w:tcPr>
          <w:p>
            <w:pPr>
              <w:spacing w:after="0"/>
              <w:rPr>
                <w:sz w:val="1"/>
                <w:szCs w:val="1"/>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Inc. on its $1.8B acquisition of</w:t>
            </w:r>
          </w:p>
        </w:tc>
        <w:tc>
          <w:tcPr>
            <w:tcW w:w="3320" w:type="dxa"/>
            <w:vAlign w:val="bottom"/>
            <w:tcBorders>
              <w:right w:val="single" w:sz="8" w:color="auto"/>
            </w:tcBorders>
          </w:tcPr>
          <w:p>
            <w:pPr>
              <w:ind w:left="960"/>
              <w:spacing w:after="0" w:line="162" w:lineRule="exact"/>
              <w:rPr>
                <w:sz w:val="20"/>
                <w:szCs w:val="20"/>
                <w:color w:val="auto"/>
              </w:rPr>
            </w:pPr>
            <w:r>
              <w:rPr>
                <w:rFonts w:ascii="Arial" w:cs="Arial" w:eastAsia="Arial" w:hAnsi="Arial"/>
                <w:sz w:val="16"/>
                <w:szCs w:val="16"/>
                <w:color w:val="auto"/>
                <w:w w:val="94"/>
              </w:rPr>
              <w:t>Cantel Medical Corp. on its $775M</w:t>
            </w:r>
          </w:p>
        </w:tc>
        <w:tc>
          <w:tcPr>
            <w:tcW w:w="3300" w:type="dxa"/>
            <w:vAlign w:val="bottom"/>
            <w:tcBorders>
              <w:right w:val="single" w:sz="8" w:color="auto"/>
            </w:tcBorders>
          </w:tcPr>
          <w:p>
            <w:pPr>
              <w:ind w:left="940"/>
              <w:spacing w:after="0" w:line="162" w:lineRule="exact"/>
              <w:rPr>
                <w:sz w:val="20"/>
                <w:szCs w:val="20"/>
                <w:color w:val="auto"/>
              </w:rPr>
            </w:pPr>
            <w:r>
              <w:rPr>
                <w:rFonts w:ascii="Arial" w:cs="Arial" w:eastAsia="Arial" w:hAnsi="Arial"/>
                <w:sz w:val="16"/>
                <w:szCs w:val="16"/>
                <w:color w:val="auto"/>
                <w:w w:val="94"/>
              </w:rPr>
              <w:t>Special Committee of the WeWork</w:t>
            </w:r>
          </w:p>
        </w:tc>
        <w:tc>
          <w:tcPr>
            <w:tcW w:w="0" w:type="dxa"/>
            <w:vAlign w:val="bottom"/>
          </w:tcPr>
          <w:p>
            <w:pPr>
              <w:spacing w:after="0"/>
              <w:rPr>
                <w:sz w:val="1"/>
                <w:szCs w:val="1"/>
                <w:color w:val="auto"/>
              </w:rPr>
            </w:pPr>
          </w:p>
        </w:tc>
      </w:tr>
      <w:tr>
        <w:trPr>
          <w:trHeight w:val="206"/>
        </w:trPr>
        <w:tc>
          <w:tcPr>
            <w:tcW w:w="940" w:type="dxa"/>
            <w:vAlign w:val="bottom"/>
            <w:tcBorders>
              <w:left w:val="single" w:sz="8" w:color="auto"/>
            </w:tcBorders>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Cronos Group Inc.</w:t>
            </w:r>
          </w:p>
        </w:tc>
        <w:tc>
          <w:tcPr>
            <w:tcW w:w="3320" w:type="dxa"/>
            <w:vAlign w:val="bottom"/>
            <w:tcBorders>
              <w:right w:val="single" w:sz="8" w:color="auto"/>
            </w:tcBorders>
          </w:tcPr>
          <w:p>
            <w:pPr>
              <w:ind w:left="960"/>
              <w:spacing w:after="0"/>
              <w:rPr>
                <w:sz w:val="20"/>
                <w:szCs w:val="20"/>
                <w:color w:val="auto"/>
              </w:rPr>
            </w:pPr>
            <w:r>
              <w:rPr>
                <w:rFonts w:ascii="Arial" w:cs="Arial" w:eastAsia="Arial" w:hAnsi="Arial"/>
                <w:sz w:val="16"/>
                <w:szCs w:val="16"/>
                <w:color w:val="auto"/>
                <w:w w:val="99"/>
              </w:rPr>
              <w:t>acquisition of Hu-Friedy Mfg. Co.</w:t>
            </w:r>
          </w:p>
        </w:tc>
        <w:tc>
          <w:tcPr>
            <w:tcW w:w="3300" w:type="dxa"/>
            <w:vAlign w:val="bottom"/>
            <w:tcBorders>
              <w:right w:val="single" w:sz="8" w:color="auto"/>
            </w:tcBorders>
          </w:tcPr>
          <w:p>
            <w:pPr>
              <w:ind w:left="94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87"/>
        </w:trPr>
        <w:tc>
          <w:tcPr>
            <w:tcW w:w="940" w:type="dxa"/>
            <w:vAlign w:val="bottom"/>
            <w:tcBorders>
              <w:left w:val="single" w:sz="8" w:color="auto"/>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940" w:type="dxa"/>
            <w:vAlign w:val="bottom"/>
            <w:tcBorders>
              <w:left w:val="single" w:sz="8" w:color="auto"/>
            </w:tcBorders>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Advisor to E.ON SE in its $54B</w:t>
            </w:r>
          </w:p>
        </w:tc>
        <w:tc>
          <w:tcPr>
            <w:tcW w:w="3320" w:type="dxa"/>
            <w:vAlign w:val="bottom"/>
            <w:tcBorders>
              <w:right w:val="single" w:sz="8" w:color="auto"/>
            </w:tcBorders>
          </w:tcPr>
          <w:p>
            <w:pPr>
              <w:ind w:left="960"/>
              <w:spacing w:after="0" w:line="159" w:lineRule="exact"/>
              <w:rPr>
                <w:sz w:val="20"/>
                <w:szCs w:val="20"/>
                <w:color w:val="auto"/>
              </w:rPr>
            </w:pPr>
            <w:r>
              <w:rPr>
                <w:rFonts w:ascii="Arial" w:cs="Arial" w:eastAsia="Arial" w:hAnsi="Arial"/>
                <w:sz w:val="16"/>
                <w:szCs w:val="16"/>
                <w:color w:val="auto"/>
                <w:w w:val="98"/>
              </w:rPr>
              <w:t>Exclusive advisor to SodaStream</w:t>
            </w:r>
          </w:p>
        </w:tc>
        <w:tc>
          <w:tcPr>
            <w:tcW w:w="3300" w:type="dxa"/>
            <w:vAlign w:val="bottom"/>
            <w:tcBorders>
              <w:right w:val="single" w:sz="8" w:color="auto"/>
            </w:tcBorders>
          </w:tcPr>
          <w:p>
            <w:pPr>
              <w:ind w:left="940"/>
              <w:spacing w:after="0" w:line="159" w:lineRule="exact"/>
              <w:rPr>
                <w:sz w:val="20"/>
                <w:szCs w:val="20"/>
                <w:color w:val="auto"/>
              </w:rPr>
            </w:pPr>
            <w:r>
              <w:rPr>
                <w:rFonts w:ascii="Arial" w:cs="Arial" w:eastAsia="Arial" w:hAnsi="Arial"/>
                <w:sz w:val="16"/>
                <w:szCs w:val="16"/>
                <w:color w:val="auto"/>
              </w:rPr>
              <w:t>Advisor to one of the largest</w:t>
            </w:r>
          </w:p>
        </w:tc>
        <w:tc>
          <w:tcPr>
            <w:tcW w:w="0" w:type="dxa"/>
            <w:vAlign w:val="bottom"/>
          </w:tcPr>
          <w:p>
            <w:pPr>
              <w:spacing w:after="0"/>
              <w:rPr>
                <w:sz w:val="1"/>
                <w:szCs w:val="1"/>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acquisition of innogy SE and</w:t>
            </w:r>
          </w:p>
        </w:tc>
        <w:tc>
          <w:tcPr>
            <w:tcW w:w="3320" w:type="dxa"/>
            <w:vAlign w:val="bottom"/>
            <w:tcBorders>
              <w:right w:val="single" w:sz="8" w:color="auto"/>
            </w:tcBorders>
          </w:tcPr>
          <w:p>
            <w:pPr>
              <w:ind w:left="960"/>
              <w:spacing w:after="0" w:line="162" w:lineRule="exact"/>
              <w:rPr>
                <w:sz w:val="20"/>
                <w:szCs w:val="20"/>
                <w:color w:val="auto"/>
              </w:rPr>
            </w:pPr>
            <w:r>
              <w:rPr>
                <w:rFonts w:ascii="Arial" w:cs="Arial" w:eastAsia="Arial" w:hAnsi="Arial"/>
                <w:sz w:val="16"/>
                <w:szCs w:val="16"/>
                <w:color w:val="auto"/>
                <w:w w:val="96"/>
              </w:rPr>
              <w:t>International, Ltd. in its $3.2B sale</w:t>
            </w:r>
          </w:p>
        </w:tc>
        <w:tc>
          <w:tcPr>
            <w:tcW w:w="3300" w:type="dxa"/>
            <w:vAlign w:val="bottom"/>
            <w:tcBorders>
              <w:right w:val="single" w:sz="8" w:color="auto"/>
            </w:tcBorders>
          </w:tcPr>
          <w:p>
            <w:pPr>
              <w:ind w:left="940"/>
              <w:spacing w:after="0" w:line="162" w:lineRule="exact"/>
              <w:rPr>
                <w:sz w:val="20"/>
                <w:szCs w:val="20"/>
                <w:color w:val="auto"/>
              </w:rPr>
            </w:pPr>
            <w:r>
              <w:rPr>
                <w:rFonts w:ascii="Arial" w:cs="Arial" w:eastAsia="Arial" w:hAnsi="Arial"/>
                <w:sz w:val="16"/>
                <w:szCs w:val="16"/>
                <w:color w:val="auto"/>
              </w:rPr>
              <w:t>creditors in Sears, Roebuck and</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5"/>
              </w:rPr>
              <w:t>exchange of assets with RWE AG</w:t>
            </w:r>
          </w:p>
        </w:tc>
        <w:tc>
          <w:tcPr>
            <w:tcW w:w="332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6"/>
                <w:szCs w:val="16"/>
                <w:color w:val="auto"/>
              </w:rPr>
              <w:t>to PepsiCo Inc.</w:t>
            </w:r>
          </w:p>
        </w:tc>
        <w:tc>
          <w:tcPr>
            <w:tcW w:w="330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6"/>
                <w:szCs w:val="16"/>
                <w:color w:val="auto"/>
              </w:rPr>
              <w:t>Co.’s debt restructuring</w:t>
            </w:r>
          </w:p>
        </w:tc>
        <w:tc>
          <w:tcPr>
            <w:tcW w:w="0" w:type="dxa"/>
            <w:vAlign w:val="bottom"/>
          </w:tcPr>
          <w:p>
            <w:pPr>
              <w:spacing w:after="0"/>
              <w:rPr>
                <w:sz w:val="1"/>
                <w:szCs w:val="1"/>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Lead advisor to Becton, Dickinson</w:t>
            </w:r>
          </w:p>
        </w:tc>
        <w:tc>
          <w:tcPr>
            <w:tcW w:w="3320" w:type="dxa"/>
            <w:vAlign w:val="bottom"/>
            <w:tcBorders>
              <w:right w:val="single" w:sz="8" w:color="auto"/>
            </w:tcBorders>
          </w:tcPr>
          <w:p>
            <w:pPr>
              <w:ind w:left="960"/>
              <w:spacing w:after="0" w:line="162" w:lineRule="exact"/>
              <w:rPr>
                <w:sz w:val="20"/>
                <w:szCs w:val="20"/>
                <w:color w:val="auto"/>
              </w:rPr>
            </w:pPr>
            <w:r>
              <w:rPr>
                <w:rFonts w:ascii="Arial" w:cs="Arial" w:eastAsia="Arial" w:hAnsi="Arial"/>
                <w:sz w:val="16"/>
                <w:szCs w:val="16"/>
                <w:color w:val="auto"/>
                <w:w w:val="98"/>
              </w:rPr>
              <w:t>Advisor to Apache Corporation in</w:t>
            </w:r>
          </w:p>
        </w:tc>
        <w:tc>
          <w:tcPr>
            <w:tcW w:w="3300" w:type="dxa"/>
            <w:vAlign w:val="bottom"/>
            <w:tcBorders>
              <w:right w:val="single" w:sz="8" w:color="auto"/>
            </w:tcBorders>
            <w:vMerge w:val="restart"/>
          </w:tcPr>
          <w:p>
            <w:pPr>
              <w:ind w:left="940"/>
              <w:spacing w:after="0"/>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and Co. in its $24B acquisition of</w:t>
            </w:r>
          </w:p>
        </w:tc>
        <w:tc>
          <w:tcPr>
            <w:tcW w:w="3320" w:type="dxa"/>
            <w:vAlign w:val="bottom"/>
            <w:tcBorders>
              <w:right w:val="single" w:sz="8" w:color="auto"/>
            </w:tcBorders>
            <w:vMerge w:val="restart"/>
          </w:tcPr>
          <w:p>
            <w:pPr>
              <w:ind w:left="960"/>
              <w:spacing w:after="0" w:line="162" w:lineRule="exact"/>
              <w:rPr>
                <w:sz w:val="20"/>
                <w:szCs w:val="20"/>
                <w:color w:val="auto"/>
              </w:rPr>
            </w:pPr>
            <w:r>
              <w:rPr>
                <w:rFonts w:ascii="Arial" w:cs="Arial" w:eastAsia="Arial" w:hAnsi="Arial"/>
                <w:sz w:val="16"/>
                <w:szCs w:val="16"/>
                <w:color w:val="auto"/>
              </w:rPr>
              <w:t>the $3.5B formation of Altus</w:t>
            </w:r>
          </w:p>
        </w:tc>
        <w:tc>
          <w:tcPr>
            <w:tcW w:w="3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332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ind w:left="940"/>
              <w:spacing w:after="0"/>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125"/>
        </w:trPr>
        <w:tc>
          <w:tcPr>
            <w:tcW w:w="940" w:type="dxa"/>
            <w:vAlign w:val="bottom"/>
            <w:tcBorders>
              <w:lef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C.R. Bard, Inc.</w:t>
            </w:r>
          </w:p>
        </w:tc>
        <w:tc>
          <w:tcPr>
            <w:tcW w:w="3320" w:type="dxa"/>
            <w:vAlign w:val="bottom"/>
            <w:tcBorders>
              <w:right w:val="single" w:sz="8" w:color="auto"/>
            </w:tcBorders>
            <w:vMerge w:val="restart"/>
          </w:tcPr>
          <w:p>
            <w:pPr>
              <w:ind w:left="960"/>
              <w:spacing w:after="0"/>
              <w:rPr>
                <w:sz w:val="20"/>
                <w:szCs w:val="20"/>
                <w:color w:val="auto"/>
              </w:rPr>
            </w:pPr>
            <w:r>
              <w:rPr>
                <w:rFonts w:ascii="Arial" w:cs="Arial" w:eastAsia="Arial" w:hAnsi="Arial"/>
                <w:sz w:val="16"/>
                <w:szCs w:val="16"/>
                <w:color w:val="auto"/>
              </w:rPr>
              <w:t>Midstream LP</w:t>
            </w:r>
          </w:p>
        </w:tc>
        <w:tc>
          <w:tcPr>
            <w:tcW w:w="33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40" w:type="dxa"/>
            <w:vAlign w:val="bottom"/>
            <w:tcBorders>
              <w:left w:val="single" w:sz="8" w:color="auto"/>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3320" w:type="dxa"/>
            <w:vAlign w:val="bottom"/>
            <w:tcBorders>
              <w:bottom w:val="single" w:sz="8" w:color="auto"/>
              <w:right w:val="single" w:sz="8" w:color="auto"/>
            </w:tcBorders>
            <w:vMerge w:val="continue"/>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believe that leadership in the Environmental, Social and Governance (“</w:t>
      </w:r>
      <w:r>
        <w:rPr>
          <w:rFonts w:ascii="Arial" w:cs="Arial" w:eastAsia="Arial" w:hAnsi="Arial"/>
          <w:sz w:val="17"/>
          <w:szCs w:val="17"/>
          <w:u w:val="single" w:color="auto"/>
          <w:color w:val="auto"/>
        </w:rPr>
        <w:t>ESG</w:t>
      </w:r>
      <w:r>
        <w:rPr>
          <w:rFonts w:ascii="Arial" w:cs="Arial" w:eastAsia="Arial" w:hAnsi="Arial"/>
          <w:sz w:val="17"/>
          <w:szCs w:val="17"/>
          <w:color w:val="auto"/>
        </w:rPr>
        <w:t>”)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19" w:lineRule="exact"/>
        <w:rPr>
          <w:sz w:val="20"/>
          <w:szCs w:val="20"/>
          <w:color w:val="auto"/>
        </w:rPr>
      </w:pPr>
    </w:p>
    <w:p>
      <w:pPr>
        <w:ind w:left="640" w:right="120" w:hanging="322"/>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The Environmental pillar is focused on assessing and monitoring our environmental footprint, and proactively</w:t>
      </w:r>
      <w:r>
        <w:rPr>
          <w:rFonts w:ascii="Arial" w:cs="Arial" w:eastAsia="Arial" w:hAnsi="Arial"/>
          <w:sz w:val="18"/>
          <w:szCs w:val="18"/>
          <w:b w:val="1"/>
          <w:bCs w:val="1"/>
          <w:color w:val="auto"/>
        </w:rPr>
        <w:t xml:space="preserve"> </w:t>
      </w:r>
      <w:r>
        <w:rPr>
          <w:rFonts w:ascii="Arial" w:cs="Arial" w:eastAsia="Arial" w:hAnsi="Arial"/>
          <w:sz w:val="18"/>
          <w:szCs w:val="18"/>
          <w:color w:val="auto"/>
        </w:rPr>
        <w:t>raising our firm-wide awareness of environmental risk and opportunity by committing to sustainable practices to oversee environmental aspects in our business activities.</w:t>
      </w:r>
    </w:p>
    <w:p>
      <w:pPr>
        <w:spacing w:after="0" w:line="121" w:lineRule="exact"/>
        <w:rPr>
          <w:rFonts w:ascii="Arial" w:cs="Arial" w:eastAsia="Arial" w:hAnsi="Arial"/>
          <w:sz w:val="18"/>
          <w:szCs w:val="18"/>
          <w:color w:val="auto"/>
        </w:rPr>
      </w:pPr>
    </w:p>
    <w:p>
      <w:pPr>
        <w:ind w:left="640" w:right="220" w:hanging="322"/>
        <w:spacing w:after="0" w:line="312"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Social. </w:t>
      </w:r>
      <w:r>
        <w:rPr>
          <w:rFonts w:ascii="Arial" w:cs="Arial" w:eastAsia="Arial" w:hAnsi="Arial"/>
          <w:sz w:val="17"/>
          <w:szCs w:val="17"/>
          <w:color w:val="auto"/>
        </w:rPr>
        <w:t>The Social pillar is focused on promoting diversity and inclusion, reinforcing our commitment to engage, develop and</w:t>
      </w:r>
      <w:r>
        <w:rPr>
          <w:rFonts w:ascii="Arial" w:cs="Arial" w:eastAsia="Arial" w:hAnsi="Arial"/>
          <w:sz w:val="17"/>
          <w:szCs w:val="17"/>
          <w:b w:val="1"/>
          <w:bCs w:val="1"/>
          <w:color w:val="auto"/>
        </w:rPr>
        <w:t xml:space="preserve"> </w:t>
      </w:r>
      <w:r>
        <w:rPr>
          <w:rFonts w:ascii="Arial" w:cs="Arial" w:eastAsia="Arial" w:hAnsi="Arial"/>
          <w:sz w:val="17"/>
          <w:szCs w:val="17"/>
          <w:color w:val="auto"/>
        </w:rPr>
        <w:t>motivate our employees, and maintaining a rigorous cybersecurity program to protect our valuable data.</w:t>
      </w:r>
    </w:p>
    <w:p>
      <w:pPr>
        <w:spacing w:after="0" w:line="85" w:lineRule="exact"/>
        <w:rPr>
          <w:rFonts w:ascii="Arial" w:cs="Arial" w:eastAsia="Arial" w:hAnsi="Arial"/>
          <w:sz w:val="17"/>
          <w:szCs w:val="17"/>
          <w:color w:val="auto"/>
        </w:rPr>
      </w:pPr>
    </w:p>
    <w:p>
      <w:pPr>
        <w:jc w:val="both"/>
        <w:ind w:left="640" w:right="40" w:hanging="322"/>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Governance. </w:t>
      </w:r>
      <w:r>
        <w:rPr>
          <w:rFonts w:ascii="Arial" w:cs="Arial" w:eastAsia="Arial" w:hAnsi="Arial"/>
          <w:sz w:val="18"/>
          <w:szCs w:val="18"/>
          <w:color w:val="auto"/>
        </w:rPr>
        <w:t>The Governance pillar is focused on upholding our commitment to ethical business conduct, professional integrity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responsibility by integrating strong governance and enterprise risk management oversight across all aspects of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Since our founding we have experienced significant growth of our team. At founding in 2006, we began the Company with 16 advisory professionals, including ten advisory partners. By 2010, we had grown our Company to 137 advisory professionals, including 24 advisory partners. By 2014, we had grown our Company to 183 advisory professionals, including 32 advisory partners. As of December 31, 2021, we serve our clients with 422 advisory professionals, including 60 advisory partners (which numbers include two advisory partners who retired from the Company in January 2022), based in ten offices, located in five countries around the world.</w:t>
      </w:r>
    </w:p>
    <w:p>
      <w:pPr>
        <w:sectPr>
          <w:pgSz w:w="11900" w:h="16838" w:orient="portrait"/>
          <w:cols w:equalWidth="0" w:num="1">
            <w:col w:w="9920"/>
          </w:cols>
          <w:pgMar w:left="1000" w:top="144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000" w:top="1440" w:right="97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drivers of the growth of the Company include a combination of internal promotions, lateral recruiting in our areas of focus and, in the case of the TPH Business Combination (as defined below),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in each of the last six years, the Vault Best Internship and Banking 25 surveys have ranked us Top Ten for Investment Banking Internships and Top Five for Formal Training.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as of December 31, 2021, 21 of our 60 advisory partners were promoted internally.</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Global Women’s Advisory Prep Program and the Global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47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664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w:t>
      </w:r>
      <w:r>
        <w:rPr>
          <w:rFonts w:ascii="Arial" w:cs="Arial" w:eastAsia="Arial" w:hAnsi="Arial"/>
          <w:sz w:val="18"/>
          <w:szCs w:val="18"/>
          <w:u w:val="single" w:color="auto"/>
          <w:color w:val="auto"/>
        </w:rPr>
        <w:t>NIST</w:t>
      </w:r>
      <w:r>
        <w:rPr>
          <w:rFonts w:ascii="Arial" w:cs="Arial" w:eastAsia="Arial" w:hAnsi="Arial"/>
          <w:sz w:val="18"/>
          <w:szCs w:val="18"/>
          <w:color w:val="auto"/>
        </w:rPr>
        <w:t>”) and International Organization for Standardization (“</w:t>
      </w:r>
      <w:r>
        <w:rPr>
          <w:rFonts w:ascii="Arial" w:cs="Arial" w:eastAsia="Arial" w:hAnsi="Arial"/>
          <w:sz w:val="18"/>
          <w:szCs w:val="18"/>
          <w:u w:val="single" w:color="auto"/>
          <w:color w:val="auto"/>
        </w:rPr>
        <w:t>ISO</w:t>
      </w:r>
      <w:r>
        <w:rPr>
          <w:rFonts w:ascii="Arial" w:cs="Arial" w:eastAsia="Arial" w:hAnsi="Arial"/>
          <w:sz w:val="18"/>
          <w:szCs w:val="18"/>
          <w:color w:val="auto"/>
        </w:rPr>
        <w:t>”) frameworks, and our policies and procedures in managing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 are in compliance with General Data Protection Regulation (“</w:t>
      </w:r>
      <w:r>
        <w:rPr>
          <w:rFonts w:ascii="Arial" w:cs="Arial" w:eastAsia="Arial" w:hAnsi="Arial"/>
          <w:sz w:val="18"/>
          <w:szCs w:val="18"/>
          <w:u w:val="single" w:color="auto"/>
          <w:color w:val="auto"/>
        </w:rPr>
        <w:t>GDPR</w:t>
      </w:r>
      <w:r>
        <w:rPr>
          <w:rFonts w:ascii="Arial" w:cs="Arial" w:eastAsia="Arial" w:hAnsi="Arial"/>
          <w:sz w:val="18"/>
          <w:szCs w:val="18"/>
          <w:color w:val="auto"/>
        </w:rPr>
        <w:t>”) requirements.</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30, 2016, we completed a business combination with TPH, an independent advisory firm focused on the energy industry (the “</w:t>
      </w:r>
      <w:r>
        <w:rPr>
          <w:rFonts w:ascii="Arial" w:cs="Arial" w:eastAsia="Arial" w:hAnsi="Arial"/>
          <w:sz w:val="18"/>
          <w:szCs w:val="18"/>
          <w:u w:val="single" w:color="auto"/>
          <w:color w:val="auto"/>
        </w:rPr>
        <w:t>TPH Business Combination</w:t>
      </w:r>
      <w:r>
        <w:rPr>
          <w:rFonts w:ascii="Arial" w:cs="Arial" w:eastAsia="Arial" w:hAnsi="Arial"/>
          <w:sz w:val="18"/>
          <w:szCs w:val="18"/>
          <w:color w:val="auto"/>
        </w:rPr>
        <w:t>”). TPH was founded in 2007 and is headquartered in Houston, Texas.</w:t>
      </w:r>
    </w:p>
    <w:p>
      <w:pPr>
        <w:spacing w:after="0" w:line="116"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February 28, 2019, we effected the separation of our advisory business from the asset management business of PWP OpCo pursuant to a master separation agreement, pursuant to which PWP Capital Holdings LP (“</w:t>
      </w:r>
      <w:r>
        <w:rPr>
          <w:rFonts w:ascii="Arial" w:cs="Arial" w:eastAsia="Arial" w:hAnsi="Arial"/>
          <w:sz w:val="17"/>
          <w:szCs w:val="17"/>
          <w:u w:val="single" w:color="auto"/>
          <w:color w:val="auto"/>
        </w:rPr>
        <w:t>PWP Capital</w:t>
      </w:r>
      <w:r>
        <w:rPr>
          <w:rFonts w:ascii="Arial" w:cs="Arial" w:eastAsia="Arial" w:hAnsi="Arial"/>
          <w:sz w:val="17"/>
          <w:szCs w:val="17"/>
          <w:color w:val="auto"/>
        </w:rPr>
        <w:t>”) became the holding company for our asset management business and PWP OpCo continued to be the holding company for our advisory business (the "PWP Separation"). For additional information about the PWP Separation and our relationship with PWP Capital, see “</w:t>
      </w:r>
      <w:r>
        <w:rPr>
          <w:rFonts w:ascii="Arial" w:cs="Arial" w:eastAsia="Arial" w:hAnsi="Arial"/>
          <w:sz w:val="17"/>
          <w:szCs w:val="17"/>
          <w:i w:val="1"/>
          <w:iCs w:val="1"/>
          <w:color w:val="auto"/>
        </w:rPr>
        <w:t>Certain Relationships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Persons Transactions—PWP’s Related Party Transactions—Agreements with PWP Capital.</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33" w:lineRule="exact"/>
        <w:rPr>
          <w:sz w:val="20"/>
          <w:szCs w:val="20"/>
          <w:color w:val="auto"/>
        </w:rPr>
      </w:pPr>
    </w:p>
    <w:p>
      <w:pPr>
        <w:ind w:left="640" w:right="140" w:hanging="322"/>
        <w:spacing w:after="0" w:line="259"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40" w:right="60" w:hanging="322"/>
        <w:spacing w:after="0" w:line="27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23" w:lineRule="exact"/>
        <w:rPr>
          <w:rFonts w:ascii="Arial" w:cs="Arial" w:eastAsia="Arial" w:hAnsi="Arial"/>
          <w:sz w:val="17"/>
          <w:szCs w:val="17"/>
          <w:color w:val="auto"/>
        </w:rPr>
      </w:pPr>
    </w:p>
    <w:p>
      <w:pPr>
        <w:ind w:left="640" w:right="60" w:hanging="322"/>
        <w:spacing w:after="0" w:line="301" w:lineRule="auto"/>
        <w:tabs>
          <w:tab w:leader="none" w:pos="63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repaid certain indebtedness of PWP OpCo and its subsidiaries, including the repayment of all outstanding borrowings under the Revolving Credit Agreement (as defined below)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0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definitive proxy statement filed with the SEC on May 27, 2021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established in connection with the IPO (the “</w:t>
      </w:r>
      <w:r>
        <w:rPr>
          <w:rFonts w:ascii="Arial" w:cs="Arial" w:eastAsia="Arial" w:hAnsi="Arial"/>
          <w:sz w:val="18"/>
          <w:szCs w:val="18"/>
          <w:u w:val="single" w:color="auto"/>
          <w:color w:val="auto"/>
        </w:rPr>
        <w:t>Trust Account</w:t>
      </w:r>
      <w:r>
        <w:rPr>
          <w:rFonts w:ascii="Arial" w:cs="Arial" w:eastAsia="Arial" w:hAnsi="Arial"/>
          <w:sz w:val="18"/>
          <w:szCs w:val="18"/>
          <w:color w:val="auto"/>
        </w:rPr>
        <w:t>”) as well as the PIPE Investment in the amount of $125,000,000.</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 summary of the Subscription Agreements.</w:t>
      </w:r>
    </w:p>
    <w:p>
      <w:pPr>
        <w:spacing w:after="0" w:line="1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(as defined herein), Amended and Restated Registration Rights Agreement and Stockholders Agreement (as defined herein) (each of which is described in the section 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4931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349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Class A Common Stock</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January 21, 2022, we completed an underwritten public offering of 3,502,033 shares of our Class A common stock (the “</w:t>
      </w:r>
      <w:r>
        <w:rPr>
          <w:rFonts w:ascii="Arial" w:cs="Arial" w:eastAsia="Arial" w:hAnsi="Arial"/>
          <w:sz w:val="17"/>
          <w:szCs w:val="17"/>
          <w:u w:val="single" w:color="auto"/>
          <w:color w:val="auto"/>
        </w:rPr>
        <w:t>January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2022 Offering</w:t>
      </w:r>
      <w:r>
        <w:rPr>
          <w:rFonts w:ascii="Arial" w:cs="Arial" w:eastAsia="Arial" w:hAnsi="Arial"/>
          <w:sz w:val="17"/>
          <w:szCs w:val="17"/>
          <w:color w:val="auto"/>
        </w:rPr>
        <w:t>”). The shares of Class A common stock were issued and sold pursuant to an underwriting agreement, dated January 18, 2022, by and between us and JMP Securities LLC, at a public offering price of $10.75 per share, before deducting underwriting discounts and commissions. The proceeds from the January 2022 Offering, net of underwriting discounts and commissions, were used by us to purchase from certain non-employee holders (i) outstanding PWP OpCo Class A partnership units and (ii) outstanding shares of our Class B common stock. We did not retain any proceeds from the January 2022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January 2022 Offering and the application of the proceeds therefrom:</w:t>
      </w:r>
    </w:p>
    <w:p>
      <w:pPr>
        <w:spacing w:after="0" w:line="171"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held PWP OpCo Class A partnership units representing 49.7% of the total number of PWP OpCo Class A partnership units;</w:t>
      </w:r>
    </w:p>
    <w:p>
      <w:pPr>
        <w:spacing w:after="0" w:line="194" w:lineRule="exact"/>
        <w:rPr>
          <w:rFonts w:ascii="Arial" w:cs="Arial" w:eastAsia="Arial" w:hAnsi="Arial"/>
          <w:sz w:val="16"/>
          <w:szCs w:val="16"/>
          <w:color w:val="auto"/>
        </w:rPr>
      </w:pPr>
    </w:p>
    <w:p>
      <w:pPr>
        <w:ind w:left="640" w:right="22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ILPs held PWP OpCo Class A partnership units representing 2.5% of the total number of PWP OpCo Class A partnership units; and</w:t>
      </w:r>
    </w:p>
    <w:p>
      <w:pPr>
        <w:spacing w:after="0" w:line="116" w:lineRule="exact"/>
        <w:rPr>
          <w:rFonts w:ascii="Arial" w:cs="Arial" w:eastAsia="Arial" w:hAnsi="Arial"/>
          <w:sz w:val="18"/>
          <w:szCs w:val="18"/>
          <w:color w:val="auto"/>
        </w:rPr>
      </w:pPr>
    </w:p>
    <w:p>
      <w:pPr>
        <w:ind w:left="640" w:right="60" w:hanging="322"/>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Professional Partners held PWP OpCo Class A partnership units representing 47.8% of the total number of PWP OpCo Class A partnership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875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diagram illustrates our organizational structure immediately following the January 2022 Offering and the application of the proceeds of our issuance and sale of 3,502,033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16, 2022, we announced that our board of directors approved a stock repurchase program under which we are authorized to repurchase up to $100,000,000 of our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manner, timing, pricing and amount of any transactions will be subject to our discretion and may be based upon market conditions and alternative opportunities that we may have for the use or investment of its capital. We may also from time to time establish one or more plans under Rule 10b5-1 of the Exchange Act. The repurchase program may be modified, suspended or discontinued at any time.</w:t>
      </w:r>
    </w:p>
    <w:p>
      <w:pPr>
        <w:sectPr>
          <w:pgSz w:w="11900" w:h="16838" w:orient="portrait"/>
          <w:cols w:equalWidth="0" w:num="1">
            <w:col w:w="9820"/>
          </w:cols>
          <w:pgMar w:left="100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000" w:top="1440" w:right="107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Our business and financial condition is subject to numerous risks and uncertainties. Below is a summary of material factors that make an investment in our securities speculative or risky. The occurrence of one or more of the events or circumstances described below, alone or in combination with other events or circumstances, may have an adverse effect on our business, cash flows, financial condition and results of operations. Importantly, this summary does not address all of the risks and uncertainties that we face. Additional discussion of the risks and uncertainties summarized in this risk factor summary, as well as other risks and uncertainties that we face, can be found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this prospectus beginning on page </w:t>
      </w:r>
      <w:hyperlink w:anchor="page40">
        <w:r>
          <w:rPr>
            <w:rFonts w:ascii="Arial" w:cs="Arial" w:eastAsia="Arial" w:hAnsi="Arial"/>
            <w:sz w:val="16"/>
            <w:szCs w:val="16"/>
            <w:u w:val="single" w:color="auto"/>
            <w:color w:val="0000FF"/>
          </w:rPr>
          <w:t>30</w:t>
        </w:r>
      </w:hyperlink>
      <w:r>
        <w:rPr>
          <w:rFonts w:ascii="Arial" w:cs="Arial" w:eastAsia="Arial" w:hAnsi="Arial"/>
          <w:sz w:val="16"/>
          <w:szCs w:val="16"/>
          <w:color w:val="auto"/>
        </w:rPr>
        <w:t>. The below summary is qualified in its entirety by that more complete discussion of such risks and uncertainties. You should consider carefully the risks and uncertainties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as part of your evaluation of an investment in our securities:</w:t>
      </w:r>
    </w:p>
    <w:p>
      <w:pPr>
        <w:spacing w:after="0" w:line="111" w:lineRule="exact"/>
        <w:rPr>
          <w:sz w:val="20"/>
          <w:szCs w:val="20"/>
          <w:color w:val="auto"/>
        </w:rPr>
      </w:pPr>
    </w:p>
    <w:p>
      <w:pPr>
        <w:ind w:left="640" w:right="240" w:hanging="322"/>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working partners and key employees is critical to the success of our business.</w:t>
      </w:r>
    </w:p>
    <w:p>
      <w:pPr>
        <w:spacing w:after="0" w:line="171" w:lineRule="exact"/>
        <w:rPr>
          <w:rFonts w:ascii="Arial" w:cs="Arial" w:eastAsia="Arial" w:hAnsi="Arial"/>
          <w:sz w:val="18"/>
          <w:szCs w:val="18"/>
          <w:color w:val="auto"/>
        </w:rPr>
      </w:pPr>
    </w:p>
    <w:p>
      <w:pPr>
        <w:ind w:left="640" w:right="20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116" w:lineRule="exact"/>
        <w:rPr>
          <w:rFonts w:ascii="Arial" w:cs="Arial" w:eastAsia="Arial" w:hAnsi="Arial"/>
          <w:sz w:val="18"/>
          <w:szCs w:val="18"/>
          <w:color w:val="auto"/>
        </w:rPr>
      </w:pPr>
    </w:p>
    <w:p>
      <w:pPr>
        <w:ind w:left="640" w:right="740" w:hanging="322"/>
        <w:spacing w:after="0" w:line="30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inability to successfully identify, consummate and integrate strategic transactions such as joint ventures, strategic investments and acquisitions may result in additional risks and uncertainties in our business.</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76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116" w:lineRule="exact"/>
        <w:rPr>
          <w:rFonts w:ascii="Arial" w:cs="Arial" w:eastAsia="Arial" w:hAnsi="Arial"/>
          <w:sz w:val="18"/>
          <w:szCs w:val="18"/>
          <w:color w:val="auto"/>
        </w:rPr>
      </w:pPr>
    </w:p>
    <w:p>
      <w:pPr>
        <w:ind w:left="640" w:right="2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29" w:lineRule="exact"/>
        <w:rPr>
          <w:rFonts w:ascii="Arial" w:cs="Arial" w:eastAsia="Arial" w:hAnsi="Arial"/>
          <w:sz w:val="18"/>
          <w:szCs w:val="18"/>
          <w:color w:val="auto"/>
        </w:rPr>
      </w:pPr>
    </w:p>
    <w:p>
      <w:pPr>
        <w:ind w:left="640" w:right="10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29"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171" w:lineRule="exact"/>
        <w:rPr>
          <w:rFonts w:ascii="Arial" w:cs="Arial" w:eastAsia="Arial" w:hAnsi="Arial"/>
          <w:sz w:val="18"/>
          <w:szCs w:val="18"/>
          <w:color w:val="auto"/>
        </w:rPr>
      </w:pPr>
    </w:p>
    <w:p>
      <w:pPr>
        <w:ind w:left="640" w:right="56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pacing w:after="0" w:line="116" w:lineRule="exact"/>
        <w:rPr>
          <w:rFonts w:ascii="Arial" w:cs="Arial" w:eastAsia="Arial" w:hAnsi="Arial"/>
          <w:sz w:val="18"/>
          <w:szCs w:val="18"/>
          <w:color w:val="auto"/>
        </w:rPr>
      </w:pPr>
    </w:p>
    <w:p>
      <w:pPr>
        <w:ind w:left="640" w:right="60" w:hanging="322"/>
        <w:spacing w:after="0" w:line="311"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94" w:lineRule="exact"/>
        <w:rPr>
          <w:rFonts w:ascii="Arial" w:cs="Arial" w:eastAsia="Arial" w:hAnsi="Arial"/>
          <w:sz w:val="16"/>
          <w:szCs w:val="16"/>
          <w:color w:val="auto"/>
        </w:rPr>
      </w:pPr>
    </w:p>
    <w:p>
      <w:pPr>
        <w:ind w:left="64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171" w:lineRule="exact"/>
        <w:rPr>
          <w:rFonts w:ascii="Arial" w:cs="Arial" w:eastAsia="Arial" w:hAnsi="Arial"/>
          <w:sz w:val="18"/>
          <w:szCs w:val="18"/>
          <w:color w:val="auto"/>
        </w:rPr>
      </w:pPr>
    </w:p>
    <w:p>
      <w:pPr>
        <w:ind w:left="640" w:right="28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historical consolidated financial information for periods prior to the Business Combination on June 24, 2021 and the unaudited pro forma financial information in this prospectus is not representative of the results we would have achieved as a stand-alone public company and may not permit you to predict our future results.</w:t>
      </w:r>
    </w:p>
    <w:p>
      <w:pPr>
        <w:spacing w:after="0" w:line="129" w:lineRule="exact"/>
        <w:rPr>
          <w:rFonts w:ascii="Arial" w:cs="Arial" w:eastAsia="Arial" w:hAnsi="Arial"/>
          <w:sz w:val="18"/>
          <w:szCs w:val="18"/>
          <w:color w:val="auto"/>
        </w:rPr>
      </w:pPr>
    </w:p>
    <w:p>
      <w:pPr>
        <w:jc w:val="both"/>
        <w:ind w:left="640" w:right="38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846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708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spacing w:after="0" w:line="275" w:lineRule="auto"/>
        <w:rPr>
          <w:rFonts w:ascii="Arial" w:cs="Arial" w:eastAsia="Arial" w:hAnsi="Arial"/>
          <w:sz w:val="17"/>
          <w:szCs w:val="17"/>
          <w:color w:val="auto"/>
        </w:rPr>
      </w:pPr>
      <w:r>
        <w:rPr>
          <w:rFonts w:ascii="Arial" w:cs="Arial" w:eastAsia="Arial" w:hAnsi="Arial"/>
          <w:sz w:val="17"/>
          <w:szCs w:val="17"/>
          <w:color w:val="auto"/>
        </w:rPr>
        <w:t>We are registering the issuance by us of up to 7,869,975 shares of our Class A common stock that may be issued upon exercise of Warrants to purchase Class A common stock, including the Public Warrants and the Private Placement Warrants. We are also registering the resale by the Selling Holders or their permitted transferees of (i) up to 64,738,934 shares of Class A common stock and (ii) up to 203,333 Warrants. Any investment in the securities offered hereby is speculative and involves a high degree of risk. You should carefully consider the information set forth under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on page </w:t>
      </w:r>
      <w:hyperlink w:anchor="page40">
        <w:r>
          <w:rPr>
            <w:rFonts w:ascii="Arial" w:cs="Arial" w:eastAsia="Arial" w:hAnsi="Arial"/>
            <w:sz w:val="17"/>
            <w:szCs w:val="17"/>
            <w:u w:val="single" w:color="auto"/>
            <w:color w:val="0000FF"/>
          </w:rPr>
          <w:t>30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prospectus.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Class A Common Stock</w:t>
      </w:r>
    </w:p>
    <w:p>
      <w:pPr>
        <w:spacing w:after="0" w:line="17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following information is as of February 28, 2022 and does not give effect to issuances of our Class A common stock or Warrants after such date, the exercise of Warrants or settlement of restricted stock units after such date or the exchange of PWP OpCo Class A</w:t>
      </w:r>
    </w:p>
    <w:p>
      <w:pPr>
        <w:sectPr>
          <w:pgSz w:w="11900" w:h="16838" w:orient="portrait"/>
          <w:cols w:equalWidth="0" w:num="1">
            <w:col w:w="9860"/>
          </w:cols>
          <w:pgMar w:left="1000" w:top="1440" w:right="1039" w:bottom="1440" w:gutter="0" w:footer="0" w:header="0"/>
        </w:sectPr>
      </w:pPr>
    </w:p>
    <w:p>
      <w:pPr>
        <w:spacing w:after="0"/>
        <w:rPr>
          <w:sz w:val="20"/>
          <w:szCs w:val="20"/>
          <w:color w:val="auto"/>
        </w:rPr>
      </w:pPr>
      <w:r>
        <w:rPr>
          <w:rFonts w:ascii="Arial" w:cs="Arial" w:eastAsia="Arial" w:hAnsi="Arial"/>
          <w:sz w:val="18"/>
          <w:szCs w:val="18"/>
          <w:color w:val="auto"/>
        </w:rPr>
        <w:t>partnership units or shares of Class B common stock.</w:t>
      </w:r>
    </w:p>
    <w:p>
      <w:pPr>
        <w:spacing w:after="0" w:line="197" w:lineRule="exact"/>
        <w:rPr>
          <w:sz w:val="20"/>
          <w:szCs w:val="20"/>
          <w:color w:val="auto"/>
        </w:rPr>
      </w:pPr>
    </w:p>
    <w:p>
      <w:pPr>
        <w:ind w:left="180" w:right="160" w:hanging="161"/>
        <w:spacing w:after="0" w:line="258" w:lineRule="auto"/>
        <w:rPr>
          <w:sz w:val="20"/>
          <w:szCs w:val="20"/>
          <w:color w:val="auto"/>
        </w:rPr>
      </w:pPr>
      <w:r>
        <w:rPr>
          <w:rFonts w:ascii="Arial" w:cs="Arial" w:eastAsia="Arial" w:hAnsi="Arial"/>
          <w:sz w:val="17"/>
          <w:szCs w:val="17"/>
          <w:color w:val="auto"/>
        </w:rPr>
        <w:t>Shares of our Class A common stock to be issued upon exercise of all Public Warrants and Private Placement Warrants</w:t>
      </w:r>
    </w:p>
    <w:p>
      <w:pPr>
        <w:spacing w:after="0" w:line="39" w:lineRule="exact"/>
        <w:rPr>
          <w:sz w:val="20"/>
          <w:szCs w:val="20"/>
          <w:color w:val="auto"/>
        </w:rPr>
      </w:pPr>
    </w:p>
    <w:p>
      <w:pPr>
        <w:ind w:left="180" w:hanging="161"/>
        <w:spacing w:after="0" w:line="258" w:lineRule="auto"/>
        <w:rPr>
          <w:sz w:val="20"/>
          <w:szCs w:val="20"/>
          <w:color w:val="auto"/>
        </w:rPr>
      </w:pPr>
      <w:r>
        <w:rPr>
          <w:rFonts w:ascii="Arial" w:cs="Arial" w:eastAsia="Arial" w:hAnsi="Arial"/>
          <w:sz w:val="17"/>
          <w:szCs w:val="17"/>
          <w:color w:val="auto"/>
        </w:rPr>
        <w:t>Shares of our Class A common stock outstanding prior to exercise of all Public Warrants and Private Placement Warrants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Class A common stock and Warrants</w:t>
      </w:r>
    </w:p>
    <w:p>
      <w:pPr>
        <w:spacing w:after="0" w:line="216" w:lineRule="exact"/>
        <w:rPr>
          <w:sz w:val="20"/>
          <w:szCs w:val="20"/>
          <w:color w:val="auto"/>
        </w:rPr>
      </w:pPr>
    </w:p>
    <w:p>
      <w:pPr>
        <w:ind w:left="180" w:right="20" w:hanging="161"/>
        <w:spacing w:after="0" w:line="216" w:lineRule="auto"/>
        <w:rPr>
          <w:sz w:val="20"/>
          <w:szCs w:val="20"/>
          <w:color w:val="auto"/>
        </w:rPr>
      </w:pPr>
      <w:r>
        <w:rPr>
          <w:rFonts w:ascii="Arial" w:cs="Arial" w:eastAsia="Arial" w:hAnsi="Arial"/>
          <w:sz w:val="18"/>
          <w:szCs w:val="18"/>
          <w:color w:val="auto"/>
        </w:rPr>
        <w:t>Shares of Class A common stock offered by the Selling Holders (including 203,333 shares of Class A common stock that may be issued upon exercise of the Private Placement Warrants, 5,846,667 Founder Shares, 610,000 Placement Shares, 12,500,000 PIPE Shares, and 45,578,934 Exchange Shares)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Warrants offered by the Selling Holders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 Price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7,869,975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46,939,793 shares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up to an aggregate of approximately</w:t>
      </w:r>
    </w:p>
    <w:p>
      <w:pPr>
        <w:ind w:right="20"/>
        <w:spacing w:after="0" w:line="235" w:lineRule="auto"/>
        <w:rPr>
          <w:sz w:val="20"/>
          <w:szCs w:val="20"/>
          <w:color w:val="auto"/>
        </w:rPr>
      </w:pPr>
      <w:r>
        <w:rPr>
          <w:rFonts w:ascii="Arial" w:cs="Arial" w:eastAsia="Arial" w:hAnsi="Arial"/>
          <w:sz w:val="16"/>
          <w:szCs w:val="16"/>
          <w:color w:val="auto"/>
        </w:rPr>
        <w:t>$90,504,712.50 from the exercise of all Public Warrants and Private Placement Warrants assuming the exercise in full of all such Warrants for cash. Unless we inform you otherwise in a prospectus supplement, to the extent we elect the exercise of such Warrants for cash, we intend to use the net proceeds from such exercise for general corporate purposes. To the extent the Warrants are exercised on a “cashless” basis, we will receive no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64,738,934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203,333 Warrants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$11.50 per share, subject to adjustment as described herein</w:t>
      </w:r>
    </w:p>
    <w:p>
      <w:pPr>
        <w:spacing w:after="0" w:line="100"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Warrants are redeemable in certain circumstances. See “Description of Securities—Private Placement Warrants” for further discussion.</w:t>
      </w:r>
    </w:p>
    <w:p>
      <w:pPr>
        <w:spacing w:after="0" w:line="39" w:lineRule="exact"/>
        <w:rPr>
          <w:sz w:val="20"/>
          <w:szCs w:val="20"/>
          <w:color w:val="auto"/>
        </w:rPr>
      </w:pPr>
    </w:p>
    <w:p>
      <w:pPr>
        <w:sectPr>
          <w:pgSz w:w="11900" w:h="16838" w:orient="portrait"/>
          <w:cols w:equalWidth="0" w:num="2">
            <w:col w:w="5200" w:space="140"/>
            <w:col w:w="4520"/>
          </w:cols>
          <w:pgMar w:left="1000" w:top="1440" w:right="1039" w:bottom="1440" w:gutter="0" w:footer="0" w:header="0"/>
          <w:type w:val="continuous"/>
        </w:sectPr>
      </w:pPr>
    </w:p>
    <w:p>
      <w:pPr>
        <w:ind w:left="20"/>
        <w:spacing w:after="0"/>
        <w:tabs>
          <w:tab w:leader="none" w:pos="53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not receive any proceeds from the sale of the Class A</w:t>
      </w:r>
    </w:p>
    <w:p>
      <w:pPr>
        <w:ind w:left="5340"/>
        <w:spacing w:after="0" w:line="215" w:lineRule="auto"/>
        <w:rPr>
          <w:sz w:val="20"/>
          <w:szCs w:val="20"/>
          <w:color w:val="auto"/>
        </w:rPr>
      </w:pPr>
      <w:r>
        <w:rPr>
          <w:rFonts w:ascii="Arial" w:cs="Arial" w:eastAsia="Arial" w:hAnsi="Arial"/>
          <w:sz w:val="17"/>
          <w:szCs w:val="17"/>
          <w:color w:val="auto"/>
        </w:rPr>
        <w:t>common stock and Warrants to be offered by the Selling</w:t>
      </w:r>
    </w:p>
    <w:p>
      <w:pPr>
        <w:ind w:left="5340"/>
        <w:spacing w:after="0" w:line="215" w:lineRule="auto"/>
        <w:rPr>
          <w:sz w:val="20"/>
          <w:szCs w:val="20"/>
          <w:color w:val="auto"/>
        </w:rPr>
      </w:pPr>
      <w:r>
        <w:rPr>
          <w:rFonts w:ascii="Arial" w:cs="Arial" w:eastAsia="Arial" w:hAnsi="Arial"/>
          <w:sz w:val="17"/>
          <w:szCs w:val="17"/>
          <w:color w:val="auto"/>
        </w:rPr>
        <w:t>Holders. With respect to shares of Class A common stock</w:t>
      </w:r>
    </w:p>
    <w:p>
      <w:pPr>
        <w:ind w:left="5340"/>
        <w:spacing w:after="0" w:line="216" w:lineRule="auto"/>
        <w:rPr>
          <w:sz w:val="20"/>
          <w:szCs w:val="20"/>
          <w:color w:val="auto"/>
        </w:rPr>
      </w:pPr>
      <w:r>
        <w:rPr>
          <w:rFonts w:ascii="Arial" w:cs="Arial" w:eastAsia="Arial" w:hAnsi="Arial"/>
          <w:sz w:val="17"/>
          <w:szCs w:val="17"/>
          <w:color w:val="auto"/>
        </w:rPr>
        <w:t>underlying the Warrants, we will not receive any proceeds</w:t>
      </w:r>
    </w:p>
    <w:p>
      <w:pPr>
        <w:ind w:left="5340"/>
        <w:spacing w:after="0" w:line="229" w:lineRule="auto"/>
        <w:rPr>
          <w:sz w:val="20"/>
          <w:szCs w:val="20"/>
          <w:color w:val="auto"/>
        </w:rPr>
      </w:pPr>
      <w:r>
        <w:rPr>
          <w:rFonts w:ascii="Arial" w:cs="Arial" w:eastAsia="Arial" w:hAnsi="Arial"/>
          <w:sz w:val="16"/>
          <w:szCs w:val="16"/>
          <w:color w:val="auto"/>
        </w:rPr>
        <w:t>from such shares except with respect to amounts received by</w:t>
      </w:r>
    </w:p>
    <w:p>
      <w:pPr>
        <w:ind w:left="5340"/>
        <w:spacing w:after="0"/>
        <w:rPr>
          <w:sz w:val="20"/>
          <w:szCs w:val="20"/>
          <w:color w:val="auto"/>
        </w:rPr>
      </w:pPr>
      <w:r>
        <w:rPr>
          <w:rFonts w:ascii="Arial" w:cs="Arial" w:eastAsia="Arial" w:hAnsi="Arial"/>
          <w:sz w:val="15"/>
          <w:szCs w:val="15"/>
          <w:color w:val="auto"/>
        </w:rPr>
        <w:t>us upon exercise of such Warrants to the extent such Warrants</w:t>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are exercised for cash.</w:t>
      </w:r>
    </w:p>
    <w:p>
      <w:pPr>
        <w:sectPr>
          <w:pgSz w:w="11900" w:h="16838" w:orient="portrait"/>
          <w:cols w:equalWidth="0" w:num="1">
            <w:col w:w="986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00" w:top="1440" w:right="1039" w:bottom="1440" w:gutter="0" w:footer="0" w:header="0"/>
          <w:type w:val="continuous"/>
        </w:sectPr>
      </w:pPr>
    </w:p>
    <w:bookmarkStart w:id="29" w:name="page30"/>
    <w:bookmarkEnd w:id="29"/>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920"/>
        </w:trPr>
        <w:tc>
          <w:tcPr>
            <w:tcW w:w="3700" w:type="dxa"/>
            <w:vAlign w:val="bottom"/>
            <w:tcBorders>
              <w:top w:val="single" w:sz="8" w:color="auto"/>
              <w:left w:val="single" w:sz="8" w:color="auto"/>
            </w:tcBorders>
          </w:tcPr>
          <w:p>
            <w:pPr>
              <w:ind w:left="700"/>
              <w:spacing w:after="0"/>
              <w:rPr>
                <w:sz w:val="20"/>
                <w:szCs w:val="20"/>
                <w:color w:val="auto"/>
              </w:rPr>
            </w:pPr>
            <w:r>
              <w:rPr>
                <w:rFonts w:ascii="Arial" w:cs="Arial" w:eastAsia="Arial" w:hAnsi="Arial"/>
                <w:sz w:val="18"/>
                <w:szCs w:val="18"/>
                <w:color w:val="auto"/>
              </w:rPr>
              <w:t>Lock-ups</w:t>
            </w:r>
          </w:p>
        </w:tc>
        <w:tc>
          <w:tcPr>
            <w:tcW w:w="7540" w:type="dxa"/>
            <w:vAlign w:val="bottom"/>
            <w:tcBorders>
              <w:top w:val="single" w:sz="8" w:color="auto"/>
              <w:right w:val="single" w:sz="8" w:color="auto"/>
            </w:tcBorders>
          </w:tcPr>
          <w:p>
            <w:pPr>
              <w:ind w:left="2320"/>
              <w:spacing w:after="0"/>
              <w:rPr>
                <w:sz w:val="20"/>
                <w:szCs w:val="20"/>
                <w:color w:val="auto"/>
              </w:rPr>
            </w:pPr>
            <w:r>
              <w:rPr>
                <w:rFonts w:ascii="Arial" w:cs="Arial" w:eastAsia="Arial" w:hAnsi="Arial"/>
                <w:sz w:val="18"/>
                <w:szCs w:val="18"/>
                <w:color w:val="auto"/>
              </w:rPr>
              <w:t>Pursuant to the Sponsor Share Surrender and Share Restriction</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Agreement (as defined herein), the Founder Shares and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Placement Shares owned by the Sponsor were subject to</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transfer restrictions for six months following the closing of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Business Combination and 80% of the Founder Shares held by</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the Sponsor as of the Closing of the Business Combination are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subject to transfer restrictions based on certain closing share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price thresholds of our Class A common stock for 20 out of</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any 30 consecutive trading days. On January 7, 2022,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Sponsor distributed 5,456,667 shares of Class A common</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stock (Founder Shares and Placement Shares) and 203,333</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Private Placement Warrants to its members, after which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Sponsor owns 1,000,000 shares of Class A common stock and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no Private Placement Warrants. The 1,000,000 shares of Class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 common stock retained by the Sponsor continue to be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subject to transfer restrictions until the $15 Threshold (as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defined herein) is met. 1,067,274 of the shares distributed to</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affiliates of the Sponsor and 671,406 of the shares distributed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to non-affiliates of the Sponsor remain subject to transfer</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restrictions until either the $15 Threshold or the $17 Threshold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(as defined herein) is met. See “Business Combination—</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Related Agreements—Sponsor Share Surrender and Share</w:t>
            </w:r>
          </w:p>
        </w:tc>
      </w:tr>
      <w:tr>
        <w:trPr>
          <w:trHeight w:val="230"/>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Restriction Agreement” for further discussion.</w:t>
            </w:r>
          </w:p>
        </w:tc>
      </w:tr>
      <w:tr>
        <w:trPr>
          <w:trHeight w:val="364"/>
        </w:trPr>
        <w:tc>
          <w:tcPr>
            <w:tcW w:w="370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In connection with the January 2022 Offering, our officers,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directors and certain affiliated stockholders entered into</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lockup agreements pursuant to which they have agreed,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subject to certain exceptions, not to dispose of or hedge any of</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their Class A common stock or securities convertible into or</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exchangeable for shares of Class A common stock during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period from the date of the prospectus for the January 2022</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Offering, January 18, 2022, continuing through the date that is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90 days after the date of the prospectus for the Offering,</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except with the prior written consent of the underwriter for the</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January 2022 Offering. The Sponsor and certain of its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affiliates are subject to such restrictions, except with respect to</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the 2,481,572 shares of Class A common stock and 203,330</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Warrants distributed in connection with the Sponsor</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Distribution to certain of its members which are not affiliated</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with the Sponsor. Of such 2,481,572 shares, 671,406 shares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are subject to transfer restrictions until either the $15</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Threshold or the $17 Threshold, as applicable, is met pursuant</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to the Sponsor Share Surrender and Share Restriction</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Agreement described above. See “Securities Act Restrictions</w:t>
            </w:r>
          </w:p>
        </w:tc>
      </w:tr>
      <w:tr>
        <w:trPr>
          <w:trHeight w:val="216"/>
        </w:trPr>
        <w:tc>
          <w:tcPr>
            <w:tcW w:w="370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on Resale of Securities—Lock-Up Agreements” for further</w:t>
            </w:r>
          </w:p>
        </w:tc>
      </w:tr>
      <w:tr>
        <w:trPr>
          <w:trHeight w:val="230"/>
        </w:trPr>
        <w:tc>
          <w:tcPr>
            <w:tcW w:w="370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discussion.</w:t>
            </w:r>
          </w:p>
        </w:tc>
      </w:tr>
      <w:tr>
        <w:trPr>
          <w:trHeight w:val="766"/>
        </w:trPr>
        <w:tc>
          <w:tcPr>
            <w:tcW w:w="3700" w:type="dxa"/>
            <w:vAlign w:val="bottom"/>
            <w:tcBorders>
              <w:left w:val="single" w:sz="8" w:color="auto"/>
              <w:bottom w:val="single" w:sz="8" w:color="auto"/>
            </w:tcBorders>
          </w:tcPr>
          <w:p>
            <w:pPr>
              <w:spacing w:after="0"/>
              <w:rPr>
                <w:sz w:val="24"/>
                <w:szCs w:val="24"/>
                <w:color w:val="auto"/>
              </w:rPr>
            </w:pPr>
          </w:p>
        </w:tc>
        <w:tc>
          <w:tcPr>
            <w:tcW w:w="75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590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459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In addition, the PWP OpCo LPA (as defined herein) contains</w:t>
      </w:r>
    </w:p>
    <w:p>
      <w:pPr>
        <w:spacing w:after="0" w:line="46"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restrictions on the ability of to exchange PWP OpCo Class A</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partnership units for Exchange Shares or cash from an offering</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of shares of Class A common stock, for the following periods:</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 PWP OpCo Class A partnership units held by Professional</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Partners will be subject to a restriction for time periods that</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are fully back-to-back with the lock-up periods contemplated</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in the amended and restated limited partnership agreement of</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Professional Partners (generally speaking, such lock-up</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periods (a) for Legacy Partners, the lock-up period expired on</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December 24, 2021; and (b) for Working Partners, will be</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between three to five years after the closing of the Business</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Combination, (ii) the restriction on PWP OpCo Class A</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partnership units held by ILPs existing at the time of the</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Business Combination expired on December 24, 2021, and</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(iii) any other outstanding PWP OpCo Class A partnership</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units not previously covered by clauses (i) and (ii) above will</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be subject to such restriction for a period of at least twelve</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months following the date on which such PWP OpCo Class A</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partnership units were acquired. PWP GP may waive the</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foregoing restrictions for any single holder with respect to all</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or a portion of such holder's units, with no obligation to do so</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for any other holder. See “Securities Act Restrictions on</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Resale of Securities—Lock-Up Agreements” for further</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discussion.</w:t>
      </w:r>
    </w:p>
    <w:p>
      <w:pPr>
        <w:spacing w:after="0" w:line="103"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Nasdaq Ticker Symbols</w:t>
      </w:r>
      <w:r>
        <w:rPr>
          <w:sz w:val="20"/>
          <w:szCs w:val="20"/>
          <w:color w:val="auto"/>
        </w:rPr>
        <w:tab/>
      </w:r>
      <w:r>
        <w:rPr>
          <w:rFonts w:ascii="Arial" w:cs="Arial" w:eastAsia="Arial" w:hAnsi="Arial"/>
          <w:sz w:val="16"/>
          <w:szCs w:val="16"/>
          <w:color w:val="auto"/>
        </w:rPr>
        <w:t>Class A common stock: “PWP” Warrants: “PWPPW”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6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636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FINANCIAL AND OTHER INFORMATION</w:t>
      </w:r>
    </w:p>
    <w:p>
      <w:pPr>
        <w:spacing w:after="0" w:line="175" w:lineRule="exact"/>
        <w:rPr>
          <w:sz w:val="20"/>
          <w:szCs w:val="20"/>
          <w:color w:val="auto"/>
        </w:rPr>
      </w:pPr>
    </w:p>
    <w:p>
      <w:pPr>
        <w:ind w:left="20" w:right="60"/>
        <w:spacing w:after="0" w:line="275" w:lineRule="auto"/>
        <w:rPr>
          <w:sz w:val="20"/>
          <w:szCs w:val="20"/>
          <w:color w:val="auto"/>
        </w:rPr>
      </w:pPr>
      <w:r>
        <w:rPr>
          <w:rFonts w:ascii="Arial" w:cs="Arial" w:eastAsia="Arial" w:hAnsi="Arial"/>
          <w:sz w:val="17"/>
          <w:szCs w:val="17"/>
          <w:color w:val="auto"/>
        </w:rPr>
        <w:t>The summary historical financial and operating data of PWP is presented below as of the dates and for the periods indicated. The statements of operations data for the years ended December 31, 2021, 2020 and 2019 and the statements of financial condition data as of December 31, 2021 and 2020 have been derived from PWP’s audited historical consolidated financial statements included elsewhere in this prospectus. The statements of financial condition data as of December 31, 2019 has been derived from PWP’s audited historical consolidated financial statements not included in this prospectus.</w:t>
      </w:r>
    </w:p>
    <w:p>
      <w:pPr>
        <w:spacing w:after="0" w:line="122" w:lineRule="exact"/>
        <w:rPr>
          <w:sz w:val="20"/>
          <w:szCs w:val="20"/>
          <w:color w:val="auto"/>
        </w:rPr>
      </w:pPr>
    </w:p>
    <w:p>
      <w:pPr>
        <w:ind w:left="20" w:right="380"/>
        <w:spacing w:after="0" w:line="308" w:lineRule="auto"/>
        <w:rPr>
          <w:sz w:val="20"/>
          <w:szCs w:val="20"/>
          <w:color w:val="auto"/>
        </w:rPr>
      </w:pPr>
      <w:r>
        <w:rPr>
          <w:rFonts w:ascii="Arial" w:cs="Arial" w:eastAsia="Arial" w:hAnsi="Arial"/>
          <w:sz w:val="17"/>
          <w:szCs w:val="17"/>
          <w:color w:val="auto"/>
        </w:rPr>
        <w:t>PWP’s historical results and revenue information presented below are not necessarily indicative of the results to be expected for any future period. In connection with the Business Combination, PWP was determined to be the accounting acquirer.</w:t>
      </w:r>
    </w:p>
    <w:p>
      <w:pPr>
        <w:spacing w:after="0" w:line="92" w:lineRule="exact"/>
        <w:rPr>
          <w:sz w:val="20"/>
          <w:szCs w:val="20"/>
          <w:color w:val="auto"/>
        </w:rPr>
      </w:pPr>
    </w:p>
    <w:p>
      <w:pPr>
        <w:ind w:left="20"/>
        <w:spacing w:after="0" w:line="263" w:lineRule="auto"/>
        <w:rPr>
          <w:sz w:val="20"/>
          <w:szCs w:val="20"/>
          <w:color w:val="auto"/>
        </w:rPr>
      </w:pPr>
      <w:r>
        <w:rPr>
          <w:rFonts w:ascii="Arial" w:cs="Arial" w:eastAsia="Arial" w:hAnsi="Arial"/>
          <w:sz w:val="18"/>
          <w:szCs w:val="18"/>
          <w:color w:val="auto"/>
        </w:rPr>
        <w:t>The following selected financial and other data should be read together with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PWP’s historical consolidated financial statements and related notes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6"/>
        </w:trPr>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12"/>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r>
      <w:tr>
        <w:trPr>
          <w:trHeight w:val="229"/>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r>
      <w:tr>
        <w:trPr>
          <w:trHeight w:val="229"/>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r>
      <w:tr>
        <w:trPr>
          <w:trHeight w:val="223"/>
        </w:trPr>
        <w:tc>
          <w:tcPr>
            <w:tcW w:w="5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compensation and benefits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r>
      <w:tr>
        <w:trPr>
          <w:trHeight w:val="229"/>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Non-compensation expenses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134,384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145,298</w:t>
            </w:r>
          </w:p>
        </w:tc>
      </w:tr>
      <w:tr>
        <w:trPr>
          <w:trHeight w:val="223"/>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735,078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688,416</w:t>
            </w:r>
          </w:p>
        </w:tc>
      </w:tr>
      <w:tr>
        <w:trPr>
          <w:trHeight w:val="223"/>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66,584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(155,119)</w:t>
            </w: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Related party revenues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8,810</w:t>
            </w: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(15,395)</w:t>
            </w:r>
          </w:p>
        </w:tc>
      </w:tr>
      <w:tr>
        <w:trPr>
          <w:trHeight w:val="223"/>
        </w:trPr>
        <w:tc>
          <w:tcPr>
            <w:tcW w:w="5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non-operating income (expenses)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(161,596)</w:t>
            </w:r>
          </w:p>
        </w:tc>
      </w:tr>
      <w:tr>
        <w:trPr>
          <w:trHeight w:val="229"/>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(164,019)</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8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13,444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840" w:type="dxa"/>
            <w:vAlign w:val="bottom"/>
            <w:tcBorders>
              <w:bottom w:val="single" w:sz="8" w:color="auto"/>
            </w:tcBorders>
          </w:tcPr>
          <w:p>
            <w:pPr>
              <w:spacing w:after="0"/>
              <w:rPr>
                <w:sz w:val="16"/>
                <w:szCs w:val="16"/>
                <w:color w:val="auto"/>
              </w:rPr>
            </w:pPr>
          </w:p>
        </w:tc>
      </w:tr>
      <w:tr>
        <w:trPr>
          <w:trHeight w:val="187"/>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Financial Condition Data (period end)</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718,327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542,953</w:t>
            </w:r>
          </w:p>
        </w:tc>
        <w:tc>
          <w:tcPr>
            <w:tcW w:w="540" w:type="dxa"/>
            <w:vAlign w:val="bottom"/>
            <w:gridSpan w:val="2"/>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92"/>
              </w:rPr>
              <w:t>524,845</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net of unamortized debt discounts and issuance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146,965</w:t>
            </w:r>
          </w:p>
        </w:tc>
        <w:tc>
          <w:tcPr>
            <w:tcW w:w="5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2"/>
              </w:rPr>
              <w:t>153,001</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446,975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468,770</w:t>
            </w:r>
          </w:p>
        </w:tc>
        <w:tc>
          <w:tcPr>
            <w:tcW w:w="540" w:type="dxa"/>
            <w:vAlign w:val="bottom"/>
            <w:gridSpan w:val="2"/>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w w:val="92"/>
              </w:rPr>
              <w:t>442,940</w:t>
            </w: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271,352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74,183</w:t>
            </w:r>
          </w:p>
        </w:tc>
        <w:tc>
          <w:tcPr>
            <w:tcW w:w="5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81,905</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Other Data and Metrics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Advisory professionals at period-end</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402</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Advisory Partners at period-end</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54</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fee-paying clients during the period</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179</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Number of fee-paying clients $1 million or more during the period</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100</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Percentage of total revenues from top 10 transactions during the period</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467"/>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187"/>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8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Advisory fees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794,584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511,251</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524,126</w:t>
            </w:r>
          </w:p>
        </w:tc>
      </w:tr>
      <w:tr>
        <w:trPr>
          <w:trHeight w:val="230"/>
        </w:trPr>
        <w:tc>
          <w:tcPr>
            <w:tcW w:w="5540" w:type="dxa"/>
            <w:vAlign w:val="bottom"/>
          </w:tcPr>
          <w:p>
            <w:pPr>
              <w:ind w:left="40"/>
              <w:spacing w:after="0" w:line="230" w:lineRule="exact"/>
              <w:rPr>
                <w:sz w:val="20"/>
                <w:szCs w:val="20"/>
                <w:color w:val="auto"/>
              </w:rPr>
            </w:pPr>
            <w:r>
              <w:rPr>
                <w:rFonts w:ascii="Arial" w:cs="Arial" w:eastAsia="Arial" w:hAnsi="Arial"/>
                <w:sz w:val="18"/>
                <w:szCs w:val="18"/>
                <w:color w:val="auto"/>
              </w:rPr>
              <w:t>Reimbursed expenses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6,729</w:t>
            </w:r>
          </w:p>
        </w:tc>
      </w:tr>
      <w:tr>
        <w:trPr>
          <w:trHeight w:val="229"/>
        </w:trPr>
        <w:tc>
          <w:tcPr>
            <w:tcW w:w="55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Co-advisor advisory fees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r>
      <w:tr>
        <w:trPr>
          <w:trHeight w:val="223"/>
        </w:trPr>
        <w:tc>
          <w:tcPr>
            <w:tcW w:w="55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801,662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533,297</w:t>
            </w:r>
          </w:p>
        </w:tc>
      </w:tr>
      <w:tr>
        <w:trPr>
          <w:trHeight w:val="20"/>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PWP clients for collection of expenses.</w:t>
      </w:r>
    </w:p>
    <w:p>
      <w:pPr>
        <w:spacing w:after="0" w:line="1" w:lineRule="exact"/>
        <w:rPr>
          <w:rFonts w:ascii="Arial" w:cs="Arial" w:eastAsia="Arial" w:hAnsi="Arial"/>
          <w:sz w:val="14"/>
          <w:szCs w:val="14"/>
          <w:color w:val="auto"/>
        </w:rPr>
      </w:pPr>
    </w:p>
    <w:p>
      <w:pPr>
        <w:ind w:left="340" w:right="40" w:hanging="326"/>
        <w:spacing w:after="0" w:line="276" w:lineRule="auto"/>
        <w:tabs>
          <w:tab w:leader="none" w:pos="332"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Revenue by Quarter</w:t>
      </w:r>
      <w:r>
        <w:rPr>
          <w:rFonts w:ascii="Arial" w:cs="Arial" w:eastAsia="Arial" w:hAnsi="Arial"/>
          <w:sz w:val="18"/>
          <w:szCs w:val="18"/>
          <w:b w:val="1"/>
          <w:bCs w:val="1"/>
          <w:color w:val="auto"/>
          <w:vertAlign w:val="superscript"/>
        </w:rPr>
        <w:t>(1)</w:t>
      </w:r>
    </w:p>
    <w:p>
      <w:pPr>
        <w:jc w:val="center"/>
        <w:ind w:right="-19"/>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00" w:type="dxa"/>
            <w:vAlign w:val="bottom"/>
            <w:tcBorders>
              <w:top w:val="single" w:sz="8" w:color="auto"/>
            </w:tcBorders>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top w:val="single" w:sz="8" w:color="auto"/>
            </w:tcBorders>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8"/>
              </w:rPr>
              <w:t>September 30,</w:t>
            </w:r>
          </w:p>
        </w:tc>
        <w:tc>
          <w:tcPr>
            <w:tcW w:w="1120" w:type="dxa"/>
            <w:vAlign w:val="bottom"/>
            <w:tcBorders>
              <w:top w:val="single" w:sz="8" w:color="auto"/>
            </w:tcBorders>
            <w:gridSpan w:val="3"/>
          </w:tcPr>
          <w:p>
            <w:pPr>
              <w:ind w:left="100"/>
              <w:spacing w:after="0" w:line="141" w:lineRule="exact"/>
              <w:rPr>
                <w:sz w:val="20"/>
                <w:szCs w:val="20"/>
                <w:color w:val="auto"/>
              </w:rPr>
            </w:pPr>
            <w:r>
              <w:rPr>
                <w:rFonts w:ascii="Arial" w:cs="Arial" w:eastAsia="Arial" w:hAnsi="Arial"/>
                <w:sz w:val="14"/>
                <w:szCs w:val="14"/>
                <w:b w:val="1"/>
                <w:bCs w:val="1"/>
                <w:color w:val="auto"/>
              </w:rPr>
              <w:t>June 30, 2021</w:t>
            </w:r>
          </w:p>
        </w:tc>
        <w:tc>
          <w:tcPr>
            <w:tcW w:w="11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March 31, 2021</w:t>
            </w:r>
          </w:p>
        </w:tc>
        <w:tc>
          <w:tcPr>
            <w:tcW w:w="1100" w:type="dxa"/>
            <w:vAlign w:val="bottom"/>
            <w:tcBorders>
              <w:top w:val="single" w:sz="8" w:color="auto"/>
            </w:tcBorders>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top w:val="single" w:sz="8" w:color="auto"/>
            </w:tcBorders>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8"/>
              </w:rPr>
              <w:t>September 30,</w:t>
            </w:r>
          </w:p>
        </w:tc>
        <w:tc>
          <w:tcPr>
            <w:tcW w:w="11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June 30, 2020</w:t>
            </w:r>
          </w:p>
        </w:tc>
        <w:tc>
          <w:tcPr>
            <w:tcW w:w="11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March 31, 2020</w:t>
            </w:r>
          </w:p>
        </w:tc>
        <w:tc>
          <w:tcPr>
            <w:tcW w:w="100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760" w:type="dxa"/>
            <w:vAlign w:val="bottom"/>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2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198,913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255,520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122,844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92,396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171,881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55"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Revenue information for each of the quarters in the years ended December 31, 2021 and 2020, have been derived from the books and records of PWP. Such quarterly revenue information has not been audited or reviewed in accordance with US generally accepted auditing standards.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ind w:left="20" w:right="260"/>
        <w:spacing w:after="0" w:line="259" w:lineRule="auto"/>
        <w:rPr>
          <w:sz w:val="20"/>
          <w:szCs w:val="20"/>
          <w:color w:val="auto"/>
        </w:rPr>
      </w:pPr>
      <w:r>
        <w:rPr>
          <w:rFonts w:ascii="Arial" w:cs="Arial" w:eastAsia="Arial" w:hAnsi="Arial"/>
          <w:sz w:val="18"/>
          <w:szCs w:val="18"/>
          <w:color w:val="auto"/>
        </w:rPr>
        <w:t>In addition to financial measures presented in accordance with GAAP, PWP monitors Adjusted total compensation and benefits, Adjusted non-compensation expense, Adjusted operating income (loss), Adjusted non-operating income (expenses), Adjusted income (loss) before income taxes and Adjusted net income (loss), each of which is a non-GAAP measure, to manage its business, make planning decisions, evaluate its performance and allocate resources.</w:t>
      </w:r>
    </w:p>
    <w:p>
      <w:pPr>
        <w:spacing w:after="0" w:line="133" w:lineRule="exact"/>
        <w:rPr>
          <w:sz w:val="20"/>
          <w:szCs w:val="20"/>
          <w:color w:val="auto"/>
        </w:rPr>
      </w:pPr>
    </w:p>
    <w:p>
      <w:pPr>
        <w:ind w:left="660" w:right="140" w:hanging="322"/>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PWP defines “Adjusted total compensation and benefits” as total compensation and benefits excluding (i) certain equity-based compensation related to Professional Partners ownership which is not dilutive to investors in PWP or PWP OpCo, and (ii) transaction-related compensation directly related to the Business Combination process and reorganization.</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784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40" w:right="260" w:hanging="322"/>
        <w:spacing w:after="0" w:line="263"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PWP defines “Adjusted non-compensation expense” as non-compensation expense excluding (i) TPH Business Combination related expenses, (ii) expenses related to the PWP Separation, (iii) delayed offering cost expense and (iv) transaction-related non-compensation expenses associated with the Business Combination.</w:t>
      </w:r>
    </w:p>
    <w:p>
      <w:pPr>
        <w:spacing w:after="0" w:line="129" w:lineRule="exact"/>
        <w:rPr>
          <w:rFonts w:ascii="Arial" w:cs="Arial" w:eastAsia="Arial" w:hAnsi="Arial"/>
          <w:sz w:val="18"/>
          <w:szCs w:val="18"/>
          <w:color w:val="auto"/>
        </w:rPr>
      </w:pPr>
    </w:p>
    <w:p>
      <w:pPr>
        <w:ind w:left="640" w:right="100" w:hanging="322"/>
        <w:spacing w:after="0" w:line="25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PWP defines “Adjusted operating income (loss)” as operating income (loss) excluding (i) certain equity-based compensation related to Professional Partners ownership which is not dilutive to investors in PWP or PWP OpCo, (ii) transaction-related compensation directly related to the Business Combination process and reorganization, (iii) TPH Business Combination related expenses, (iv) expenses related to the PWP Separation, (v) delayed offering cost expense and, (vi) transaction-related non-compensation expenses associated with the Business Combination.</w:t>
      </w:r>
    </w:p>
    <w:p>
      <w:pPr>
        <w:spacing w:after="0" w:line="133"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PWP defines “Adjusted non-operating income (expenses)” as non-operating income (expenses) excluding (i) the change in fair value of warrant liabilities, (ii) the loss on debt extinguishment and (iii) amortization of debt costs.</w:t>
      </w:r>
    </w:p>
    <w:p>
      <w:pPr>
        <w:spacing w:after="0" w:line="116" w:lineRule="exact"/>
        <w:rPr>
          <w:rFonts w:ascii="Arial" w:cs="Arial" w:eastAsia="Arial" w:hAnsi="Arial"/>
          <w:sz w:val="18"/>
          <w:szCs w:val="18"/>
          <w:color w:val="auto"/>
        </w:rPr>
      </w:pPr>
    </w:p>
    <w:p>
      <w:pPr>
        <w:ind w:left="640" w:right="40" w:hanging="322"/>
        <w:spacing w:after="0" w:line="273"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PWP defines “Adjusted income (loss) before income taxes” as income (loss) excluding income taxes before (i) certain equity-based compensation related to Professional Partners ownership which is not dilutive to investors in PWP or PWP OpCo, (ii) transaction-related compensation directly related to the Business Combination process and reorganization,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23" w:lineRule="exact"/>
        <w:rPr>
          <w:rFonts w:ascii="Arial" w:cs="Arial" w:eastAsia="Arial" w:hAnsi="Arial"/>
          <w:sz w:val="17"/>
          <w:szCs w:val="17"/>
          <w:color w:val="auto"/>
        </w:rPr>
      </w:pPr>
    </w:p>
    <w:p>
      <w:pPr>
        <w:ind w:left="640" w:right="240" w:hanging="322"/>
        <w:spacing w:after="0" w:line="286"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PWP defines “Adjusted income tax benefit (expense)" as income tax benefit (expense) adjusted using the non-GAAP tax rate representing the Company's calculated tax expense on adjusted non-GAAP income excluding the impact on income taxes of certain transaction-related items and other items not reflected in our adjusted non-GAAP results.</w:t>
      </w:r>
    </w:p>
    <w:p>
      <w:pPr>
        <w:spacing w:after="0" w:line="111" w:lineRule="exact"/>
        <w:rPr>
          <w:rFonts w:ascii="Arial" w:cs="Arial" w:eastAsia="Arial" w:hAnsi="Arial"/>
          <w:sz w:val="17"/>
          <w:szCs w:val="17"/>
          <w:color w:val="auto"/>
        </w:rPr>
      </w:pPr>
    </w:p>
    <w:p>
      <w:pPr>
        <w:ind w:left="640" w:right="40" w:hanging="322"/>
        <w:spacing w:after="0" w:line="287" w:lineRule="auto"/>
        <w:tabs>
          <w:tab w:leader="none" w:pos="6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PWP defines “Adjusted net income (loss)” as net income (loss) excluding amounts for (i) certain equity-based compensation related to Professional Partners ownership which is not dilutive to investors in PWP or PWP OpCo, (ii) transaction-related compensation directly related to the Business Combination process and reorganization,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 and applying the calculated adjusted tax rate which excludes the impact on income taxes of certain transaction-related items and other items not reflected in our adjusted non-GAAP results. PWP believes that these non-GAAP financial measures are key financial indicators of its business performance over the long term and provide useful information regarding whether cash provided by operating activities is sufficient to maintain and grow PWP’s business. We believe that the methodology for determining these non-GAAP financial measures can provide useful supplemental information to help investors better understand the economics of its platform.</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non-operating income (expenses),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59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735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0" w:right="180"/>
        <w:spacing w:after="0" w:line="263"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GAAP</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Adjusted (non-GAAP)</w:t>
            </w:r>
          </w:p>
        </w:tc>
        <w:tc>
          <w:tcPr>
            <w:tcW w:w="720" w:type="dxa"/>
            <w:vAlign w:val="bottom"/>
            <w:tcBorders>
              <w:bottom w:val="single" w:sz="8" w:color="auto"/>
            </w:tcBorders>
          </w:tcPr>
          <w:p>
            <w:pPr>
              <w:spacing w:after="0"/>
              <w:rPr>
                <w:sz w:val="16"/>
                <w:szCs w:val="16"/>
                <w:color w:val="auto"/>
              </w:rPr>
            </w:pPr>
          </w:p>
        </w:tc>
      </w:tr>
      <w:tr>
        <w:trPr>
          <w:trHeight w:val="187"/>
        </w:trPr>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3"/>
        </w:trPr>
        <w:tc>
          <w:tcPr>
            <w:tcW w:w="3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r>
      <w:tr>
        <w:trPr>
          <w:trHeight w:val="183"/>
        </w:trPr>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0"/>
              </w:rPr>
              <w:t>($ in thousands)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7"/>
        </w:trPr>
        <w:tc>
          <w:tcPr>
            <w:tcW w:w="3680" w:type="dxa"/>
            <w:vAlign w:val="bottom"/>
            <w:shd w:val="clear" w:color="auto" w:fill="CCEEFF"/>
          </w:tcPr>
          <w:p>
            <w:pPr>
              <w:ind w:left="40"/>
              <w:spacing w:after="0" w:line="218" w:lineRule="exact"/>
              <w:rPr>
                <w:sz w:val="20"/>
                <w:szCs w:val="20"/>
                <w:color w:val="auto"/>
              </w:rPr>
            </w:pPr>
            <w:r>
              <w:rPr>
                <w:rFonts w:ascii="Arial" w:cs="Arial" w:eastAsia="Arial" w:hAnsi="Arial"/>
                <w:sz w:val="16"/>
                <w:szCs w:val="16"/>
                <w:color w:val="auto"/>
              </w:rPr>
              <w:t>Total compensation and benefits</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600,694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399,147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543,118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504,257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365,618</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349,224</w:t>
            </w:r>
          </w:p>
        </w:tc>
      </w:tr>
      <w:tr>
        <w:trPr>
          <w:trHeight w:val="216"/>
        </w:trPr>
        <w:tc>
          <w:tcPr>
            <w:tcW w:w="3680" w:type="dxa"/>
            <w:vAlign w:val="bottom"/>
          </w:tcPr>
          <w:p>
            <w:pPr>
              <w:ind w:left="40"/>
              <w:spacing w:after="0" w:line="216" w:lineRule="exact"/>
              <w:rPr>
                <w:sz w:val="20"/>
                <w:szCs w:val="20"/>
                <w:color w:val="auto"/>
              </w:rPr>
            </w:pPr>
            <w:r>
              <w:rPr>
                <w:rFonts w:ascii="Arial" w:cs="Arial" w:eastAsia="Arial" w:hAnsi="Arial"/>
                <w:sz w:val="16"/>
                <w:szCs w:val="16"/>
                <w:color w:val="auto"/>
              </w:rPr>
              <w:t>Non-compensation expense</w:t>
            </w:r>
            <w:r>
              <w:rPr>
                <w:rFonts w:ascii="Arial" w:cs="Arial" w:eastAsia="Arial" w:hAnsi="Arial"/>
                <w:sz w:val="21"/>
                <w:szCs w:val="21"/>
                <w:color w:val="auto"/>
                <w:vertAlign w:val="superscript"/>
              </w:rPr>
              <w:t>(2)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134,384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134,435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145,298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122,973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113,024</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134,561</w:t>
            </w:r>
          </w:p>
        </w:tc>
      </w:tr>
      <w:tr>
        <w:trPr>
          <w:trHeight w:val="216"/>
        </w:trPr>
        <w:tc>
          <w:tcPr>
            <w:tcW w:w="368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Operating income (loss)</w:t>
            </w:r>
            <w:r>
              <w:rPr>
                <w:rFonts w:ascii="Arial" w:cs="Arial" w:eastAsia="Arial" w:hAnsi="Arial"/>
                <w:sz w:val="21"/>
                <w:szCs w:val="21"/>
                <w:color w:val="auto"/>
                <w:vertAlign w:val="superscript"/>
              </w:rPr>
              <w:t>(3)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66,584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(155,119)</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174,432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40,344</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49,512</w:t>
            </w:r>
          </w:p>
        </w:tc>
      </w:tr>
      <w:tr>
        <w:trPr>
          <w:trHeight w:val="216"/>
        </w:trPr>
        <w:tc>
          <w:tcPr>
            <w:tcW w:w="3680" w:type="dxa"/>
            <w:vAlign w:val="bottom"/>
          </w:tcPr>
          <w:p>
            <w:pPr>
              <w:ind w:left="40"/>
              <w:spacing w:after="0" w:line="216" w:lineRule="exact"/>
              <w:rPr>
                <w:sz w:val="20"/>
                <w:szCs w:val="20"/>
                <w:color w:val="auto"/>
              </w:rPr>
            </w:pPr>
            <w:r>
              <w:rPr>
                <w:rFonts w:ascii="Arial" w:cs="Arial" w:eastAsia="Arial" w:hAnsi="Arial"/>
                <w:sz w:val="16"/>
                <w:szCs w:val="16"/>
                <w:color w:val="auto"/>
              </w:rPr>
              <w:t>Income (loss) before income taxes</w:t>
            </w:r>
            <w:r>
              <w:rPr>
                <w:rFonts w:ascii="Arial" w:cs="Arial" w:eastAsia="Arial" w:hAnsi="Arial"/>
                <w:sz w:val="21"/>
                <w:szCs w:val="21"/>
                <w:color w:val="auto"/>
                <w:vertAlign w:val="superscript"/>
              </w:rPr>
              <w:t>(4)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22,950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(20,889)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(161,596)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177,190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38,015</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46,670</w:t>
            </w:r>
          </w:p>
        </w:tc>
      </w:tr>
      <w:tr>
        <w:trPr>
          <w:trHeight w:val="216"/>
        </w:trPr>
        <w:tc>
          <w:tcPr>
            <w:tcW w:w="368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Income tax benefit (expense)</w:t>
            </w:r>
            <w:r>
              <w:rPr>
                <w:rFonts w:ascii="Arial" w:cs="Arial" w:eastAsia="Arial" w:hAnsi="Arial"/>
                <w:sz w:val="21"/>
                <w:szCs w:val="21"/>
                <w:color w:val="auto"/>
                <w:vertAlign w:val="superscript"/>
              </w:rPr>
              <w:t>(5)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(2,423)</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(16,654)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r>
      <w:tr>
        <w:trPr>
          <w:trHeight w:val="279"/>
        </w:trPr>
        <w:tc>
          <w:tcPr>
            <w:tcW w:w="3680" w:type="dxa"/>
            <w:vAlign w:val="bottom"/>
          </w:tcPr>
          <w:p>
            <w:pPr>
              <w:ind w:left="40"/>
              <w:spacing w:after="0"/>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(4)(5)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4,023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(24,342)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(164,019)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160,536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34,562</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44,247</w:t>
            </w: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26"/>
        <w:spacing w:after="0" w:line="241"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adjustments to remove $96.4 million, $33.5 million and $193.9 million for the years ended December 31, 2021, 2020 and 2019,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1" w:lineRule="exact"/>
        <w:rPr>
          <w:rFonts w:ascii="Arial" w:cs="Arial" w:eastAsia="Arial" w:hAnsi="Arial"/>
          <w:sz w:val="14"/>
          <w:szCs w:val="14"/>
          <w:color w:val="auto"/>
        </w:rPr>
      </w:pPr>
    </w:p>
    <w:p>
      <w:pPr>
        <w:ind w:left="340" w:right="80" w:hanging="326"/>
        <w:spacing w:after="0" w:line="241"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adjustments to remove $11.4 million, $21.4 million and $10.7 million, for the years ended December 31, 2021, 2020 and 2019,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spacing w:after="0" w:line="1" w:lineRule="exact"/>
        <w:rPr>
          <w:rFonts w:ascii="Arial" w:cs="Arial" w:eastAsia="Arial" w:hAnsi="Arial"/>
          <w:sz w:val="14"/>
          <w:szCs w:val="14"/>
          <w:color w:val="auto"/>
        </w:rPr>
      </w:pPr>
    </w:p>
    <w:p>
      <w:pPr>
        <w:ind w:left="340" w:right="480" w:hanging="326"/>
        <w:spacing w:after="0" w:line="241"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adjustments to remove $107.8 million, $54.9 million and $204.6 million, for the years ended December 31, 2021, 2020 and 2019, respectively, in the Adjusted non-GAAP presentation, for the items noted in (1) and (2) above.</w:t>
      </w:r>
    </w:p>
    <w:p>
      <w:pPr>
        <w:ind w:left="340" w:right="200" w:hanging="326"/>
        <w:spacing w:after="0" w:line="260" w:lineRule="auto"/>
        <w:tabs>
          <w:tab w:leader="none" w:pos="332"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Reflects adjustments to remove $154.2 million, $58.9 million and $208.3 million, for the years ended December 31, 2021, 2020 and 2019, respectively, in the Adjusted non-GAAP presentation, for the items noted in (1) and (2) above as well as the change in fair value of warrant liabilities, the loss on debt extinguishment and amortization of debt costs composed of the amortization of debt discounts and issuance costs which is included in interest expense.</w:t>
      </w:r>
    </w:p>
    <w:p>
      <w:pPr>
        <w:ind w:left="340" w:hanging="326"/>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income tax impact from these adjustments.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left="455"/>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385"/>
        </w:trPr>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385"/>
        </w:trPr>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5"/>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compensation and benefits—GAAP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r>
      <w:tr>
        <w:trPr>
          <w:trHeight w:val="229"/>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Equity-based compensation not dilutive to investors in PWP or PWP OpCo</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(193,299)</w:t>
            </w:r>
          </w:p>
        </w:tc>
      </w:tr>
      <w:tr>
        <w:trPr>
          <w:trHeight w:val="230"/>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Public company transaction related incentives</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Adjusted total compensation and benefits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504,257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365,618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349,224</w:t>
            </w:r>
          </w:p>
        </w:tc>
      </w:tr>
      <w:tr>
        <w:trPr>
          <w:trHeight w:val="21"/>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60"/>
        </w:trPr>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55"/>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r>
      <w:tr>
        <w:trPr>
          <w:trHeight w:val="187"/>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183"/>
        </w:trPr>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1"/>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Non-compensation expense—GAAP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145,298</w:t>
            </w:r>
          </w:p>
        </w:tc>
      </w:tr>
      <w:tr>
        <w:trPr>
          <w:trHeight w:val="229"/>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TPH Business Combination related expenses</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r>
      <w:tr>
        <w:trPr>
          <w:trHeight w:val="230"/>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Combination transaction expenses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Delayed offering cost expense</w:t>
            </w:r>
            <w:r>
              <w:rPr>
                <w:rFonts w:ascii="Arial" w:cs="Arial" w:eastAsia="Arial" w:hAnsi="Arial"/>
                <w:sz w:val="23"/>
                <w:szCs w:val="23"/>
                <w:color w:val="auto"/>
                <w:vertAlign w:val="superscript"/>
              </w:rPr>
              <w:t>(5)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separation related expenses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r>
      <w:tr>
        <w:trPr>
          <w:trHeight w:val="223"/>
        </w:trPr>
        <w:tc>
          <w:tcPr>
            <w:tcW w:w="6800" w:type="dxa"/>
            <w:vAlign w:val="bottom"/>
          </w:tcPr>
          <w:p>
            <w:pPr>
              <w:ind w:left="40"/>
              <w:spacing w:after="0" w:line="223" w:lineRule="exact"/>
              <w:rPr>
                <w:sz w:val="20"/>
                <w:szCs w:val="20"/>
                <w:color w:val="auto"/>
              </w:rPr>
            </w:pPr>
            <w:r>
              <w:rPr>
                <w:rFonts w:ascii="Arial" w:cs="Arial" w:eastAsia="Arial" w:hAnsi="Arial"/>
                <w:sz w:val="18"/>
                <w:szCs w:val="18"/>
                <w:b w:val="1"/>
                <w:bCs w:val="1"/>
                <w:color w:val="auto"/>
              </w:rPr>
              <w:t>Adjusted non-compensation expense</w:t>
            </w:r>
            <w:r>
              <w:rPr>
                <w:rFonts w:ascii="Arial" w:cs="Arial" w:eastAsia="Arial" w:hAnsi="Arial"/>
                <w:sz w:val="23"/>
                <w:szCs w:val="23"/>
                <w:color w:val="auto"/>
                <w:vertAlign w:val="superscript"/>
              </w:rPr>
              <w:t>(7)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122,973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113,024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134,561</w:t>
            </w:r>
          </w:p>
        </w:tc>
      </w:tr>
      <w:tr>
        <w:trPr>
          <w:trHeight w:val="21"/>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35" w:name="page36"/>
    <w:bookmarkEnd w:id="35"/>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5"/>
        </w:trPr>
        <w:tc>
          <w:tcPr>
            <w:tcW w:w="660" w:type="dxa"/>
            <w:vAlign w:val="bottom"/>
            <w:tcBorders>
              <w:top w:val="single" w:sz="8" w:color="auto"/>
              <w:left w:val="single" w:sz="8" w:color="auto"/>
            </w:tcBorders>
          </w:tcPr>
          <w:p>
            <w:pPr>
              <w:spacing w:after="0"/>
              <w:rPr>
                <w:sz w:val="24"/>
                <w:szCs w:val="24"/>
                <w:color w:val="auto"/>
              </w:rPr>
            </w:pPr>
          </w:p>
        </w:tc>
        <w:tc>
          <w:tcPr>
            <w:tcW w:w="68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gridSpan w:val="6"/>
          </w:tcPr>
          <w:p>
            <w:pPr>
              <w:jc w:val="center"/>
              <w:ind w:left="45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(155,119)</w:t>
            </w:r>
          </w:p>
        </w:tc>
        <w:tc>
          <w:tcPr>
            <w:tcW w:w="680" w:type="dxa"/>
            <w:vAlign w:val="bottom"/>
            <w:tcBorders>
              <w:right w:val="single" w:sz="8" w:color="auto"/>
            </w:tcBorders>
          </w:tcPr>
          <w:p>
            <w:pPr>
              <w:spacing w:after="0"/>
              <w:rPr>
                <w:sz w:val="20"/>
                <w:szCs w:val="20"/>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Equity-based compensation not dilutive to investors in PWP or PWP OpCo</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193,299</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Public company transaction related incentives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TPH Business Combination related expenses</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Combination transaction expenses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Delayed offering cost expense</w:t>
            </w:r>
            <w:r>
              <w:rPr>
                <w:rFonts w:ascii="Arial" w:cs="Arial" w:eastAsia="Arial" w:hAnsi="Arial"/>
                <w:sz w:val="23"/>
                <w:szCs w:val="23"/>
                <w:color w:val="auto"/>
                <w:vertAlign w:val="superscript"/>
              </w:rPr>
              <w:t>(5)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separation related expenses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680" w:type="dxa"/>
            <w:vAlign w:val="bottom"/>
            <w:tcBorders>
              <w:right w:val="single" w:sz="8" w:color="auto"/>
            </w:tcBorders>
          </w:tcPr>
          <w:p>
            <w:pPr>
              <w:spacing w:after="0"/>
              <w:rPr>
                <w:sz w:val="19"/>
                <w:szCs w:val="19"/>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174,432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49,512</w:t>
            </w:r>
          </w:p>
        </w:tc>
        <w:tc>
          <w:tcPr>
            <w:tcW w:w="680" w:type="dxa"/>
            <w:vAlign w:val="bottom"/>
            <w:tcBorders>
              <w:right w:val="single" w:sz="8" w:color="auto"/>
            </w:tcBorders>
          </w:tcPr>
          <w:p>
            <w:pPr>
              <w:spacing w:after="0"/>
              <w:rPr>
                <w:sz w:val="19"/>
                <w:szCs w:val="19"/>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60"/>
        </w:trPr>
        <w:tc>
          <w:tcPr>
            <w:tcW w:w="660" w:type="dxa"/>
            <w:vAlign w:val="bottom"/>
            <w:tcBorders>
              <w:left w:val="single" w:sz="8" w:color="auto"/>
            </w:tcBorders>
          </w:tcPr>
          <w:p>
            <w:pPr>
              <w:spacing w:after="0"/>
              <w:rPr>
                <w:sz w:val="24"/>
                <w:szCs w:val="24"/>
                <w:color w:val="auto"/>
              </w:rPr>
            </w:pPr>
          </w:p>
        </w:tc>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(43,634)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680" w:type="dxa"/>
            <w:vAlign w:val="bottom"/>
            <w:tcBorders>
              <w:right w:val="single" w:sz="8" w:color="auto"/>
            </w:tcBorders>
          </w:tcPr>
          <w:p>
            <w:pPr>
              <w:spacing w:after="0"/>
              <w:rPr>
                <w:sz w:val="20"/>
                <w:szCs w:val="20"/>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Change in fair value of warrant liabilities</w:t>
            </w:r>
            <w:r>
              <w:rPr>
                <w:rFonts w:ascii="Arial" w:cs="Arial" w:eastAsia="Arial" w:hAnsi="Arial"/>
                <w:sz w:val="23"/>
                <w:szCs w:val="23"/>
                <w:color w:val="auto"/>
                <w:vertAlign w:val="superscript"/>
              </w:rPr>
              <w:t>(8)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Loss on debt extinguishment</w:t>
            </w:r>
            <w:r>
              <w:rPr>
                <w:rFonts w:ascii="Arial" w:cs="Arial" w:eastAsia="Arial" w:hAnsi="Arial"/>
                <w:sz w:val="23"/>
                <w:szCs w:val="23"/>
                <w:color w:val="auto"/>
                <w:vertAlign w:val="superscript"/>
              </w:rPr>
              <w:t>(9)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8"/>
                <w:szCs w:val="18"/>
                <w:color w:val="auto"/>
              </w:rPr>
              <w:t>Amortization of debt costs</w:t>
            </w:r>
            <w:r>
              <w:rPr>
                <w:rFonts w:ascii="Arial" w:cs="Arial" w:eastAsia="Arial" w:hAnsi="Arial"/>
                <w:sz w:val="23"/>
                <w:szCs w:val="23"/>
                <w:color w:val="auto"/>
                <w:vertAlign w:val="superscript"/>
              </w:rPr>
              <w:t>(10)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680" w:type="dxa"/>
            <w:vAlign w:val="bottom"/>
            <w:tcBorders>
              <w:right w:val="single" w:sz="8" w:color="auto"/>
            </w:tcBorders>
          </w:tcPr>
          <w:p>
            <w:pPr>
              <w:spacing w:after="0"/>
              <w:rPr>
                <w:sz w:val="19"/>
                <w:szCs w:val="19"/>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non-operating income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680" w:type="dxa"/>
            <w:vAlign w:val="bottom"/>
            <w:tcBorders>
              <w:right w:val="single" w:sz="8" w:color="auto"/>
            </w:tcBorders>
          </w:tcPr>
          <w:p>
            <w:pPr>
              <w:spacing w:after="0"/>
              <w:rPr>
                <w:sz w:val="21"/>
                <w:szCs w:val="2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40"/>
        </w:trPr>
        <w:tc>
          <w:tcPr>
            <w:tcW w:w="660" w:type="dxa"/>
            <w:vAlign w:val="bottom"/>
            <w:tcBorders>
              <w:left w:val="single" w:sz="8" w:color="auto"/>
            </w:tcBorders>
          </w:tcPr>
          <w:p>
            <w:pPr>
              <w:spacing w:after="0"/>
              <w:rPr>
                <w:sz w:val="24"/>
                <w:szCs w:val="24"/>
                <w:color w:val="auto"/>
              </w:rPr>
            </w:pPr>
          </w:p>
        </w:tc>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(161,596)</w:t>
            </w:r>
          </w:p>
        </w:tc>
        <w:tc>
          <w:tcPr>
            <w:tcW w:w="680" w:type="dxa"/>
            <w:vAlign w:val="bottom"/>
            <w:tcBorders>
              <w:right w:val="single" w:sz="8" w:color="auto"/>
            </w:tcBorders>
          </w:tcPr>
          <w:p>
            <w:pPr>
              <w:spacing w:after="0"/>
              <w:rPr>
                <w:sz w:val="20"/>
                <w:szCs w:val="20"/>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Equity-based compensation not dilutive to investors in PWP or PWP OpCo</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193,299</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Public company transaction related incentives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TPH Business Combination related expenses</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Combination transaction expenses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Delayed offering cost expense</w:t>
            </w:r>
            <w:r>
              <w:rPr>
                <w:rFonts w:ascii="Arial" w:cs="Arial" w:eastAsia="Arial" w:hAnsi="Arial"/>
                <w:sz w:val="23"/>
                <w:szCs w:val="23"/>
                <w:color w:val="auto"/>
                <w:vertAlign w:val="superscript"/>
              </w:rPr>
              <w:t>(5)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separation related expenses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Change in fair value of warrant liabilities</w:t>
            </w:r>
            <w:r>
              <w:rPr>
                <w:rFonts w:ascii="Arial" w:cs="Arial" w:eastAsia="Arial" w:hAnsi="Arial"/>
                <w:sz w:val="23"/>
                <w:szCs w:val="23"/>
                <w:color w:val="auto"/>
                <w:vertAlign w:val="superscript"/>
              </w:rPr>
              <w:t>(8)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Loss on debt extinguishment</w:t>
            </w:r>
            <w:r>
              <w:rPr>
                <w:rFonts w:ascii="Arial" w:cs="Arial" w:eastAsia="Arial" w:hAnsi="Arial"/>
                <w:sz w:val="23"/>
                <w:szCs w:val="23"/>
                <w:color w:val="auto"/>
                <w:vertAlign w:val="superscript"/>
              </w:rPr>
              <w:t>(9)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8"/>
                <w:szCs w:val="18"/>
                <w:color w:val="auto"/>
              </w:rPr>
              <w:t>Amortization of debt costs</w:t>
            </w:r>
            <w:r>
              <w:rPr>
                <w:rFonts w:ascii="Arial" w:cs="Arial" w:eastAsia="Arial" w:hAnsi="Arial"/>
                <w:sz w:val="23"/>
                <w:szCs w:val="23"/>
                <w:color w:val="auto"/>
                <w:vertAlign w:val="superscript"/>
              </w:rPr>
              <w:t>(10)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680" w:type="dxa"/>
            <w:vAlign w:val="bottom"/>
            <w:tcBorders>
              <w:right w:val="single" w:sz="8" w:color="auto"/>
            </w:tcBorders>
          </w:tcPr>
          <w:p>
            <w:pPr>
              <w:spacing w:after="0"/>
              <w:rPr>
                <w:sz w:val="19"/>
                <w:szCs w:val="19"/>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 (loss)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177,190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46,670</w:t>
            </w:r>
          </w:p>
        </w:tc>
        <w:tc>
          <w:tcPr>
            <w:tcW w:w="680" w:type="dxa"/>
            <w:vAlign w:val="bottom"/>
            <w:tcBorders>
              <w:right w:val="single" w:sz="8" w:color="auto"/>
            </w:tcBorders>
          </w:tcPr>
          <w:p>
            <w:pPr>
              <w:spacing w:after="0"/>
              <w:rPr>
                <w:sz w:val="21"/>
                <w:szCs w:val="2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427"/>
        </w:trPr>
        <w:tc>
          <w:tcPr>
            <w:tcW w:w="660" w:type="dxa"/>
            <w:vAlign w:val="bottom"/>
            <w:tcBorders>
              <w:left w:val="single" w:sz="8" w:color="auto"/>
            </w:tcBorders>
          </w:tcPr>
          <w:p>
            <w:pPr>
              <w:spacing w:after="0"/>
              <w:rPr>
                <w:sz w:val="24"/>
                <w:szCs w:val="24"/>
                <w:color w:val="auto"/>
              </w:rPr>
            </w:pPr>
          </w:p>
        </w:tc>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6"/>
                <w:szCs w:val="16"/>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r>
      <w:tr>
        <w:trPr>
          <w:trHeight w:val="231"/>
        </w:trPr>
        <w:tc>
          <w:tcPr>
            <w:tcW w:w="660" w:type="dxa"/>
            <w:vAlign w:val="bottom"/>
            <w:tcBorders>
              <w:left w:val="single" w:sz="8" w:color="auto"/>
            </w:tcBorders>
          </w:tcPr>
          <w:p>
            <w:pPr>
              <w:spacing w:after="0"/>
              <w:rPr>
                <w:sz w:val="20"/>
                <w:szCs w:val="20"/>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 (expense)—GAAP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(18,927)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680" w:type="dxa"/>
            <w:vAlign w:val="bottom"/>
            <w:tcBorders>
              <w:right w:val="single" w:sz="8" w:color="auto"/>
            </w:tcBorders>
          </w:tcPr>
          <w:p>
            <w:pPr>
              <w:spacing w:after="0"/>
              <w:rPr>
                <w:sz w:val="20"/>
                <w:szCs w:val="20"/>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Tax impact at effective non-GAAP tax rate</w:t>
            </w:r>
            <w:r>
              <w:rPr>
                <w:rFonts w:ascii="Arial" w:cs="Arial" w:eastAsia="Arial" w:hAnsi="Arial"/>
                <w:sz w:val="23"/>
                <w:szCs w:val="23"/>
                <w:color w:val="auto"/>
                <w:vertAlign w:val="superscript"/>
              </w:rPr>
              <w:t>(11)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6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 tax benefit (expense)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2"/>
              </w:rPr>
              <w:t>(16,654)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680" w:type="dxa"/>
            <w:vAlign w:val="bottom"/>
            <w:tcBorders>
              <w:right w:val="single" w:sz="8" w:color="auto"/>
            </w:tcBorders>
          </w:tcPr>
          <w:p>
            <w:pPr>
              <w:spacing w:after="0"/>
              <w:rPr>
                <w:sz w:val="21"/>
                <w:szCs w:val="2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-6207760</wp:posOffset>
            </wp:positionV>
            <wp:extent cx="6283325"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-5916295</wp:posOffset>
            </wp:positionV>
            <wp:extent cx="628332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-5624830</wp:posOffset>
            </wp:positionV>
            <wp:extent cx="628332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-5333365</wp:posOffset>
            </wp:positionV>
            <wp:extent cx="628332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-4441825</wp:posOffset>
            </wp:positionV>
            <wp:extent cx="6283325"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-4150360</wp:posOffset>
            </wp:positionV>
            <wp:extent cx="628332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-3113405</wp:posOffset>
            </wp:positionV>
            <wp:extent cx="628332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-2821940</wp:posOffset>
            </wp:positionV>
            <wp:extent cx="628332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-2530475</wp:posOffset>
            </wp:positionV>
            <wp:extent cx="628332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-2239010</wp:posOffset>
            </wp:positionV>
            <wp:extent cx="628332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-1947545</wp:posOffset>
            </wp:positionV>
            <wp:extent cx="628332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-918845</wp:posOffset>
            </wp:positionV>
            <wp:extent cx="628332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83325" cy="1460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13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721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left="453"/>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187"/>
        </w:trPr>
        <w:tc>
          <w:tcPr>
            <w:tcW w:w="6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r>
      <w:tr>
        <w:trPr>
          <w:trHeight w:val="183"/>
        </w:trPr>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1"/>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(loss)—GAAP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(164,019)</w:t>
            </w:r>
          </w:p>
        </w:tc>
      </w:tr>
      <w:tr>
        <w:trPr>
          <w:trHeight w:val="229"/>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Equity-based compensation not dilutive to investors in PWP or PWP OpCo</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193,299</w:t>
            </w:r>
          </w:p>
        </w:tc>
      </w:tr>
      <w:tr>
        <w:trPr>
          <w:trHeight w:val="230"/>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Public company transaction related incentives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TPH Business Combination related expenses</w:t>
            </w:r>
            <w:r>
              <w:rPr>
                <w:rFonts w:ascii="Arial" w:cs="Arial" w:eastAsia="Arial" w:hAnsi="Arial"/>
                <w:sz w:val="23"/>
                <w:szCs w:val="23"/>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6,580</w:t>
            </w:r>
          </w:p>
        </w:tc>
      </w:tr>
      <w:tr>
        <w:trPr>
          <w:trHeight w:val="229"/>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Combination transaction expenses</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Delayed offering cost expense</w:t>
            </w:r>
            <w:r>
              <w:rPr>
                <w:rFonts w:ascii="Arial" w:cs="Arial" w:eastAsia="Arial" w:hAnsi="Arial"/>
                <w:sz w:val="23"/>
                <w:szCs w:val="23"/>
                <w:color w:val="auto"/>
                <w:vertAlign w:val="superscript"/>
              </w:rPr>
              <w:t>(5)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separation related expenses</w:t>
            </w:r>
            <w:r>
              <w:rPr>
                <w:rFonts w:ascii="Arial" w:cs="Arial" w:eastAsia="Arial" w:hAnsi="Arial"/>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r>
      <w:tr>
        <w:trPr>
          <w:trHeight w:val="230"/>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Change in fair value of warrant liabilities</w:t>
            </w:r>
            <w:r>
              <w:rPr>
                <w:rFonts w:ascii="Arial" w:cs="Arial" w:eastAsia="Arial" w:hAnsi="Arial"/>
                <w:sz w:val="23"/>
                <w:szCs w:val="23"/>
                <w:color w:val="auto"/>
                <w:vertAlign w:val="superscript"/>
              </w:rPr>
              <w:t>(8)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Loss on debt extinguishment</w:t>
            </w:r>
            <w:r>
              <w:rPr>
                <w:rFonts w:ascii="Arial" w:cs="Arial" w:eastAsia="Arial" w:hAnsi="Arial"/>
                <w:sz w:val="23"/>
                <w:szCs w:val="23"/>
                <w:color w:val="auto"/>
                <w:vertAlign w:val="superscript"/>
              </w:rPr>
              <w:t>(9)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40"/>
              <w:spacing w:after="0" w:line="230" w:lineRule="exact"/>
              <w:rPr>
                <w:sz w:val="20"/>
                <w:szCs w:val="20"/>
                <w:color w:val="auto"/>
              </w:rPr>
            </w:pPr>
            <w:r>
              <w:rPr>
                <w:rFonts w:ascii="Arial" w:cs="Arial" w:eastAsia="Arial" w:hAnsi="Arial"/>
                <w:sz w:val="18"/>
                <w:szCs w:val="18"/>
                <w:color w:val="auto"/>
              </w:rPr>
              <w:t>Amortization of debt costs</w:t>
            </w:r>
            <w:r>
              <w:rPr>
                <w:rFonts w:ascii="Arial" w:cs="Arial" w:eastAsia="Arial" w:hAnsi="Arial"/>
                <w:sz w:val="23"/>
                <w:szCs w:val="23"/>
                <w:color w:val="auto"/>
                <w:vertAlign w:val="superscript"/>
              </w:rPr>
              <w:t>(10)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3,635</w:t>
            </w:r>
          </w:p>
        </w:tc>
      </w:tr>
      <w:tr>
        <w:trPr>
          <w:trHeight w:val="230"/>
        </w:trPr>
        <w:tc>
          <w:tcPr>
            <w:tcW w:w="68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Tax impact at effective non-GAAP tax rate</w:t>
            </w:r>
            <w:r>
              <w:rPr>
                <w:rFonts w:ascii="Arial" w:cs="Arial" w:eastAsia="Arial" w:hAnsi="Arial"/>
                <w:sz w:val="23"/>
                <w:szCs w:val="23"/>
                <w:color w:val="auto"/>
                <w:vertAlign w:val="superscript"/>
              </w:rPr>
              <w:t>(11)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160,536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44,247</w:t>
            </w:r>
          </w:p>
        </w:tc>
      </w:tr>
      <w:tr>
        <w:trPr>
          <w:trHeight w:val="21"/>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GAAP Reconciliation of Adjusted Results:</w:t>
      </w:r>
    </w:p>
    <w:p>
      <w:pPr>
        <w:spacing w:after="0" w:line="1" w:lineRule="exact"/>
        <w:rPr>
          <w:sz w:val="20"/>
          <w:szCs w:val="20"/>
          <w:color w:val="auto"/>
        </w:rPr>
      </w:pPr>
    </w:p>
    <w:p>
      <w:pPr>
        <w:ind w:left="340" w:right="60" w:hanging="326"/>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Equity-based compensation not dilutive to investors in PWP or PWP OpCo includes amortization of legacy awards granted to certain partners prior to the Business Combination and Professional Partners' alignment capital units ("ACUs") and value capital units ("VCUs") awards. The vesting of these awards does not dilute PWP shareholders relative to Professional Partners as Professional Partners' interest in PWP OpCo does not change as a result of granting those equity awards to its working partners.</w:t>
      </w:r>
    </w:p>
    <w:p>
      <w:pPr>
        <w:spacing w:after="0" w:line="1" w:lineRule="exact"/>
        <w:rPr>
          <w:rFonts w:ascii="Arial" w:cs="Arial" w:eastAsia="Arial" w:hAnsi="Arial"/>
          <w:sz w:val="14"/>
          <w:szCs w:val="14"/>
          <w:color w:val="auto"/>
        </w:rPr>
      </w:pPr>
    </w:p>
    <w:p>
      <w:pPr>
        <w:ind w:left="340" w:right="180" w:hanging="326"/>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discretionary bonus payments as well as equity-based compensation for transaction-related restricted stock units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w:t>
      </w:r>
    </w:p>
    <w:p>
      <w:pPr>
        <w:spacing w:after="0" w:line="1" w:lineRule="exact"/>
        <w:rPr>
          <w:rFonts w:ascii="Arial" w:cs="Arial" w:eastAsia="Arial" w:hAnsi="Arial"/>
          <w:sz w:val="14"/>
          <w:szCs w:val="14"/>
          <w:color w:val="auto"/>
        </w:rPr>
      </w:pPr>
    </w:p>
    <w:p>
      <w:pPr>
        <w:ind w:left="340" w:right="80" w:hanging="326"/>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as well as equity-based vesting for transaction-related restricted stock units issued to non-employees.</w:t>
      </w: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the public company transaction process in May of 2020.</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Business separation related expenses include charges associated with the PWP Separation.</w:t>
      </w:r>
    </w:p>
    <w:p>
      <w:pPr>
        <w:spacing w:after="0" w:line="9" w:lineRule="exact"/>
        <w:rPr>
          <w:rFonts w:ascii="Arial" w:cs="Arial" w:eastAsia="Arial" w:hAnsi="Arial"/>
          <w:sz w:val="14"/>
          <w:szCs w:val="14"/>
          <w:color w:val="auto"/>
        </w:rPr>
      </w:pPr>
    </w:p>
    <w:p>
      <w:pPr>
        <w:ind w:left="340" w:right="140" w:hanging="326"/>
        <w:spacing w:after="0" w:line="248"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reconciliation below for the components of the consolidated statements of operations included in non-compensation expense</w:t>
      </w:r>
      <w:r>
        <w:rPr>
          <w:rFonts w:ascii="Arial" w:cs="Arial" w:eastAsia="Arial" w:hAnsi="Arial"/>
          <w:sz w:val="17"/>
          <w:szCs w:val="17"/>
          <w:color w:val="auto"/>
        </w:rPr>
        <w:t>—</w:t>
      </w:r>
      <w:r>
        <w:rPr>
          <w:rFonts w:ascii="Arial" w:cs="Arial" w:eastAsia="Arial" w:hAnsi="Arial"/>
          <w:sz w:val="14"/>
          <w:szCs w:val="14"/>
          <w:color w:val="auto"/>
        </w:rPr>
        <w:t>GAAP as well as Adjusted non-compensation expense.</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1" w:lineRule="exact"/>
        <w:rPr>
          <w:rFonts w:ascii="Arial" w:cs="Arial" w:eastAsia="Arial" w:hAnsi="Arial"/>
          <w:sz w:val="14"/>
          <w:szCs w:val="14"/>
          <w:color w:val="auto"/>
        </w:rPr>
      </w:pPr>
    </w:p>
    <w:p>
      <w:pPr>
        <w:ind w:left="340" w:right="760" w:hanging="326"/>
        <w:spacing w:after="0" w:line="241"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ind w:left="340" w:hanging="326"/>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jc w:val="both"/>
        <w:ind w:left="340" w:right="120" w:hanging="326"/>
        <w:spacing w:after="0" w:line="248" w:lineRule="auto"/>
        <w:tabs>
          <w:tab w:leader="none" w:pos="331"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non-GAAP tax rate represents the Company's calculated tax expense on adjusted non-GAAP income because it excludes the impact on income taxes of certain transaction-related items and other items not reflected in our adjusted non-GAAP results. It does not represent the cash that the Company expects to pay for taxes in the current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2"/>
              </w:rPr>
              <w:t>Year Ended December 31, 2021</w:t>
            </w:r>
          </w:p>
        </w:tc>
        <w:tc>
          <w:tcPr>
            <w:tcW w:w="1100" w:type="dxa"/>
            <w:vAlign w:val="bottom"/>
            <w:tcBorders>
              <w:bottom w:val="single" w:sz="8" w:color="auto"/>
            </w:tcBorders>
          </w:tcPr>
          <w:p>
            <w:pPr>
              <w:spacing w:after="0"/>
              <w:rPr>
                <w:sz w:val="16"/>
                <w:szCs w:val="16"/>
                <w:color w:val="auto"/>
              </w:rPr>
            </w:pPr>
          </w:p>
        </w:tc>
      </w:tr>
      <w:tr>
        <w:trPr>
          <w:trHeight w:val="187"/>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GAAP</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 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xml:space="preserve">(4,831) </w:t>
            </w:r>
            <w:r>
              <w:rPr>
                <w:rFonts w:ascii="Arial" w:cs="Arial" w:eastAsia="Arial" w:hAnsi="Arial"/>
                <w:sz w:val="14"/>
                <w:szCs w:val="14"/>
                <w:color w:val="auto"/>
              </w:rPr>
              <w:t>(a)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37,060</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Technology and infrastructure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28,355</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and occupancy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Travel and related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6,261</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administrative and other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74"/>
              <w:spacing w:after="0"/>
              <w:rPr>
                <w:sz w:val="20"/>
                <w:szCs w:val="20"/>
                <w:color w:val="auto"/>
              </w:rPr>
            </w:pPr>
            <w:r>
              <w:rPr>
                <w:rFonts w:ascii="Arial" w:cs="Arial" w:eastAsia="Arial" w:hAnsi="Arial"/>
                <w:sz w:val="18"/>
                <w:szCs w:val="18"/>
                <w:color w:val="auto"/>
                <w:w w:val="93"/>
              </w:rPr>
              <w:t xml:space="preserve">(6,580) </w:t>
            </w:r>
            <w:r>
              <w:rPr>
                <w:rFonts w:ascii="Arial" w:cs="Arial" w:eastAsia="Arial" w:hAnsi="Arial"/>
                <w:sz w:val="14"/>
                <w:szCs w:val="14"/>
                <w:color w:val="auto"/>
                <w:w w:val="93"/>
              </w:rPr>
              <w:t>(b)</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7,909</w:t>
            </w:r>
          </w:p>
        </w:tc>
      </w:tr>
      <w:tr>
        <w:trPr>
          <w:trHeight w:val="248"/>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Non-compensation expense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495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449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2"/>
              </w:rPr>
              <w:t>Year Ended December 31, 2020</w:t>
            </w:r>
          </w:p>
        </w:tc>
        <w:tc>
          <w:tcPr>
            <w:tcW w:w="1100" w:type="dxa"/>
            <w:vAlign w:val="bottom"/>
            <w:tcBorders>
              <w:bottom w:val="single" w:sz="8" w:color="auto"/>
            </w:tcBorders>
          </w:tcPr>
          <w:p>
            <w:pPr>
              <w:spacing w:after="0"/>
              <w:rPr>
                <w:sz w:val="16"/>
                <w:szCs w:val="16"/>
                <w:color w:val="auto"/>
              </w:rPr>
            </w:pPr>
          </w:p>
        </w:tc>
      </w:tr>
      <w:tr>
        <w:trPr>
          <w:trHeight w:val="187"/>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GAAP</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 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(14,831) </w:t>
            </w:r>
            <w:r>
              <w:rPr>
                <w:rFonts w:ascii="Arial" w:cs="Arial" w:eastAsia="Arial" w:hAnsi="Arial"/>
                <w:sz w:val="14"/>
                <w:szCs w:val="14"/>
                <w:color w:val="auto"/>
              </w:rPr>
              <w:t>(c)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Technology and infrastructure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27,281</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and occupancy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27,958</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Travel and related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5,725</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administrative and other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74"/>
              <w:spacing w:after="0"/>
              <w:rPr>
                <w:sz w:val="20"/>
                <w:szCs w:val="20"/>
                <w:color w:val="auto"/>
              </w:rPr>
            </w:pPr>
            <w:r>
              <w:rPr>
                <w:rFonts w:ascii="Arial" w:cs="Arial" w:eastAsia="Arial" w:hAnsi="Arial"/>
                <w:sz w:val="18"/>
                <w:szCs w:val="18"/>
                <w:color w:val="auto"/>
                <w:w w:val="93"/>
              </w:rPr>
              <w:t xml:space="preserve">(6,580) </w:t>
            </w:r>
            <w:r>
              <w:rPr>
                <w:rFonts w:ascii="Arial" w:cs="Arial" w:eastAsia="Arial" w:hAnsi="Arial"/>
                <w:sz w:val="14"/>
                <w:szCs w:val="14"/>
                <w:color w:val="auto"/>
                <w:w w:val="93"/>
              </w:rPr>
              <w:t>(b)</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8,951</w:t>
            </w:r>
          </w:p>
        </w:tc>
      </w:tr>
      <w:tr>
        <w:trPr>
          <w:trHeight w:val="248"/>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Non-compensation expense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(21,411)</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113,024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0"/>
        </w:trPr>
        <w:tc>
          <w:tcPr>
            <w:tcW w:w="5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2"/>
              </w:rPr>
              <w:t>Year Ended December 31, 2019</w:t>
            </w:r>
          </w:p>
        </w:tc>
        <w:tc>
          <w:tcPr>
            <w:tcW w:w="1100" w:type="dxa"/>
            <w:vAlign w:val="bottom"/>
            <w:tcBorders>
              <w:bottom w:val="single" w:sz="8" w:color="auto"/>
            </w:tcBorders>
          </w:tcPr>
          <w:p>
            <w:pPr>
              <w:spacing w:after="0"/>
              <w:rPr>
                <w:sz w:val="24"/>
                <w:szCs w:val="24"/>
                <w:color w:val="auto"/>
              </w:rPr>
            </w:pPr>
          </w:p>
        </w:tc>
      </w:tr>
      <w:tr>
        <w:trPr>
          <w:trHeight w:val="187"/>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GAAP</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 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3"/>
              </w:rPr>
              <w:t xml:space="preserve">(4,157) </w:t>
            </w:r>
            <w:r>
              <w:rPr>
                <w:rFonts w:ascii="Arial" w:cs="Arial" w:eastAsia="Arial" w:hAnsi="Arial"/>
                <w:sz w:val="14"/>
                <w:szCs w:val="14"/>
                <w:color w:val="auto"/>
                <w:w w:val="93"/>
              </w:rPr>
              <w:t>(d)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35,108</w:t>
            </w: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Technology and infrastructure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27,070</w:t>
            </w: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and occupancy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Travel and related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19,656</w:t>
            </w: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administrative and other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w:t>
            </w: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left="74"/>
              <w:spacing w:after="0"/>
              <w:rPr>
                <w:sz w:val="20"/>
                <w:szCs w:val="20"/>
                <w:color w:val="auto"/>
              </w:rPr>
            </w:pPr>
            <w:r>
              <w:rPr>
                <w:rFonts w:ascii="Arial" w:cs="Arial" w:eastAsia="Arial" w:hAnsi="Arial"/>
                <w:sz w:val="18"/>
                <w:szCs w:val="18"/>
                <w:color w:val="auto"/>
                <w:w w:val="93"/>
              </w:rPr>
              <w:t xml:space="preserve">(6,580) </w:t>
            </w:r>
            <w:r>
              <w:rPr>
                <w:rFonts w:ascii="Arial" w:cs="Arial" w:eastAsia="Arial" w:hAnsi="Arial"/>
                <w:sz w:val="14"/>
                <w:szCs w:val="14"/>
                <w:color w:val="auto"/>
                <w:w w:val="93"/>
              </w:rPr>
              <w:t>(b)</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9,272</w:t>
            </w:r>
          </w:p>
        </w:tc>
      </w:tr>
      <w:tr>
        <w:trPr>
          <w:trHeight w:val="248"/>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Non-compensation expense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(10,737)</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134,561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an adjustment to exclude previously deferred offering costs that were expensed due to termination of the public company transaction process in May of 2020.</w:t>
      </w:r>
    </w:p>
    <w:p>
      <w:pPr>
        <w:spacing w:after="0" w:line="12" w:lineRule="exact"/>
        <w:rPr>
          <w:rFonts w:ascii="Arial" w:cs="Arial" w:eastAsia="Arial" w:hAnsi="Arial"/>
          <w:sz w:val="13"/>
          <w:szCs w:val="13"/>
          <w:color w:val="auto"/>
        </w:rPr>
      </w:pPr>
    </w:p>
    <w:p>
      <w:pPr>
        <w:ind w:left="340" w:hanging="326"/>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an adjustment to remove business separation related expenses including charges associated with the PWP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875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175" w:lineRule="exact"/>
        <w:rPr>
          <w:sz w:val="20"/>
          <w:szCs w:val="20"/>
          <w:color w:val="auto"/>
        </w:rPr>
      </w:pPr>
    </w:p>
    <w:p>
      <w:pPr>
        <w:ind w:left="20" w:right="100"/>
        <w:spacing w:after="0" w:line="273" w:lineRule="auto"/>
        <w:rPr>
          <w:sz w:val="20"/>
          <w:szCs w:val="20"/>
          <w:color w:val="auto"/>
        </w:rPr>
      </w:pPr>
      <w:r>
        <w:rPr>
          <w:rFonts w:ascii="Arial" w:cs="Arial" w:eastAsia="Arial" w:hAnsi="Arial"/>
          <w:sz w:val="17"/>
          <w:szCs w:val="17"/>
          <w:color w:val="auto"/>
        </w:rPr>
        <w:t>The summary unaudited pro forma condensed combined financial information is presented for informational purposes only. The summary pro forma condensed combined financial information does not purport to represent what our results of operations or financial condition would have been had the Business Combination and the January 2022 Offering actually occurred on December 31, 2021 with respect to the summary unaudited pro forma condensed combined statement of financial condition and January 1, 2021 with respect to the summary unaudited pro forma condensed combined statement of operations and does not purport to project our results of operations or financial condition for any future period or as of any future date.</w:t>
      </w:r>
    </w:p>
    <w:p>
      <w:pPr>
        <w:spacing w:after="0" w:line="124" w:lineRule="exact"/>
        <w:rPr>
          <w:sz w:val="20"/>
          <w:szCs w:val="20"/>
          <w:color w:val="auto"/>
        </w:rPr>
      </w:pPr>
    </w:p>
    <w:p>
      <w:pPr>
        <w:ind w:left="20" w:right="540"/>
        <w:spacing w:after="0" w:line="277" w:lineRule="auto"/>
        <w:rPr>
          <w:sz w:val="20"/>
          <w:szCs w:val="20"/>
          <w:color w:val="auto"/>
        </w:rPr>
      </w:pPr>
      <w:r>
        <w:rPr>
          <w:rFonts w:ascii="Arial" w:cs="Arial" w:eastAsia="Arial" w:hAnsi="Arial"/>
          <w:sz w:val="18"/>
          <w:szCs w:val="18"/>
          <w:color w:val="auto"/>
        </w:rPr>
        <w:t>The summary unaudited pro forma condensed combined financial information was derived from the following historical financial statements:</w:t>
      </w:r>
    </w:p>
    <w:p>
      <w:pPr>
        <w:spacing w:after="0" w:line="116" w:lineRule="exact"/>
        <w:rPr>
          <w:sz w:val="20"/>
          <w:szCs w:val="20"/>
          <w:color w:val="auto"/>
        </w:rPr>
      </w:pPr>
    </w:p>
    <w:p>
      <w:pPr>
        <w:ind w:left="660" w:right="300" w:hanging="322"/>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for the period from January 1, 2021 through June 24, 2021 (the Closing Date), which is not included in this prospectus; and</w:t>
      </w:r>
    </w:p>
    <w:p>
      <w:pPr>
        <w:spacing w:after="0" w:line="116" w:lineRule="exact"/>
        <w:rPr>
          <w:rFonts w:ascii="Arial" w:cs="Arial" w:eastAsia="Arial" w:hAnsi="Arial"/>
          <w:sz w:val="18"/>
          <w:szCs w:val="18"/>
          <w:color w:val="auto"/>
        </w:rPr>
      </w:pPr>
    </w:p>
    <w:p>
      <w:pPr>
        <w:ind w:left="660" w:right="440" w:hanging="322"/>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PWP as of and for the year ended December 31, 2021, which is included elsewhere in this prospectus.</w:t>
      </w:r>
    </w:p>
    <w:p>
      <w:pPr>
        <w:spacing w:after="0" w:line="116" w:lineRule="exact"/>
        <w:rPr>
          <w:sz w:val="20"/>
          <w:szCs w:val="20"/>
          <w:color w:val="auto"/>
        </w:rPr>
      </w:pPr>
    </w:p>
    <w:p>
      <w:pPr>
        <w:ind w:left="20" w:right="600"/>
        <w:spacing w:after="0" w:line="277" w:lineRule="auto"/>
        <w:rPr>
          <w:sz w:val="20"/>
          <w:szCs w:val="20"/>
          <w:color w:val="auto"/>
        </w:rPr>
      </w:pPr>
      <w:r>
        <w:rPr>
          <w:rFonts w:ascii="Arial" w:cs="Arial" w:eastAsia="Arial" w:hAnsi="Arial"/>
          <w:sz w:val="18"/>
          <w:szCs w:val="18"/>
          <w:color w:val="auto"/>
        </w:rPr>
        <w:t>The information below should be read in conjunction with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included elsewhere in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83"/>
              <w:spacing w:after="0"/>
              <w:rPr>
                <w:sz w:val="20"/>
                <w:szCs w:val="20"/>
                <w:color w:val="auto"/>
              </w:rPr>
            </w:pPr>
            <w:r>
              <w:rPr>
                <w:rFonts w:ascii="Arial" w:cs="Arial" w:eastAsia="Arial" w:hAnsi="Arial"/>
                <w:sz w:val="14"/>
                <w:szCs w:val="14"/>
                <w:b w:val="1"/>
                <w:bCs w:val="1"/>
                <w:color w:val="auto"/>
                <w:w w:val="93"/>
              </w:rPr>
              <w:t>Year Ended</w:t>
            </w:r>
          </w:p>
        </w:tc>
      </w:tr>
      <w:tr>
        <w:trPr>
          <w:trHeight w:val="188"/>
        </w:trPr>
        <w:tc>
          <w:tcPr>
            <w:tcW w:w="8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December 31, 2021</w:t>
            </w:r>
          </w:p>
        </w:tc>
      </w:tr>
      <w:tr>
        <w:trPr>
          <w:trHeight w:val="183"/>
        </w:trPr>
        <w:tc>
          <w:tcPr>
            <w:tcW w:w="8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Combined Pro Forma</w:t>
            </w:r>
          </w:p>
        </w:tc>
      </w:tr>
      <w:tr>
        <w:trPr>
          <w:trHeight w:val="130"/>
        </w:trPr>
        <w:tc>
          <w:tcPr>
            <w:tcW w:w="8200" w:type="dxa"/>
            <w:vAlign w:val="bottom"/>
          </w:tcPr>
          <w:p>
            <w:pPr>
              <w:spacing w:after="0"/>
              <w:rPr>
                <w:sz w:val="11"/>
                <w:szCs w:val="11"/>
                <w:color w:val="auto"/>
              </w:rPr>
            </w:pPr>
          </w:p>
        </w:tc>
        <w:tc>
          <w:tcPr>
            <w:tcW w:w="17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89"/>
              </w:rPr>
              <w:t>(in thousands, except share</w:t>
            </w:r>
          </w:p>
        </w:tc>
      </w:tr>
      <w:tr>
        <w:trPr>
          <w:trHeight w:val="188"/>
        </w:trPr>
        <w:tc>
          <w:tcPr>
            <w:tcW w:w="8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and per share data)</w:t>
            </w:r>
          </w:p>
        </w:tc>
      </w:tr>
      <w:tr>
        <w:trPr>
          <w:trHeight w:val="217"/>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Summary Unaudited Pro Forma Condensed Combined Statement of Operations Data</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801,662</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(70,329)</w:t>
            </w: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(64,991)</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Perella Weinberg Partners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(5,338)</w:t>
            </w: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i w:val="1"/>
                <w:iCs w:val="1"/>
                <w:color w:val="auto"/>
              </w:rPr>
              <w:t>Net income (loss) per share of Class A common stock:</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Diluted</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Weighted average shares of Class A common stock outstanding:</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46,899,646</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93,556,111</w:t>
            </w:r>
          </w:p>
        </w:tc>
      </w:tr>
      <w:tr>
        <w:trPr>
          <w:trHeight w:val="467"/>
        </w:trPr>
        <w:tc>
          <w:tcPr>
            <w:tcW w:w="8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December 31, 2021</w:t>
            </w:r>
          </w:p>
        </w:tc>
      </w:tr>
      <w:tr>
        <w:trPr>
          <w:trHeight w:val="134"/>
        </w:trPr>
        <w:tc>
          <w:tcPr>
            <w:tcW w:w="8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jc w:val="center"/>
              <w:ind w:right="103"/>
              <w:spacing w:after="0" w:line="135" w:lineRule="exact"/>
              <w:rPr>
                <w:sz w:val="20"/>
                <w:szCs w:val="20"/>
                <w:color w:val="auto"/>
              </w:rPr>
            </w:pPr>
            <w:r>
              <w:rPr>
                <w:rFonts w:ascii="Arial" w:cs="Arial" w:eastAsia="Arial" w:hAnsi="Arial"/>
                <w:sz w:val="14"/>
                <w:szCs w:val="14"/>
                <w:b w:val="1"/>
                <w:bCs w:val="1"/>
                <w:color w:val="auto"/>
                <w:w w:val="94"/>
              </w:rPr>
              <w:t>Combined Pro</w:t>
            </w:r>
          </w:p>
        </w:tc>
      </w:tr>
      <w:tr>
        <w:trPr>
          <w:trHeight w:val="188"/>
        </w:trPr>
        <w:tc>
          <w:tcPr>
            <w:tcW w:w="8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8"/>
              </w:rPr>
              <w:t>Forma</w:t>
            </w:r>
          </w:p>
        </w:tc>
      </w:tr>
      <w:tr>
        <w:trPr>
          <w:trHeight w:val="183"/>
        </w:trPr>
        <w:tc>
          <w:tcPr>
            <w:tcW w:w="8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center"/>
              <w:ind w:right="43"/>
              <w:spacing w:after="0"/>
              <w:rPr>
                <w:sz w:val="20"/>
                <w:szCs w:val="20"/>
                <w:color w:val="auto"/>
              </w:rPr>
            </w:pPr>
            <w:r>
              <w:rPr>
                <w:rFonts w:ascii="Arial" w:cs="Arial" w:eastAsia="Arial" w:hAnsi="Arial"/>
                <w:sz w:val="14"/>
                <w:szCs w:val="14"/>
                <w:b w:val="1"/>
                <w:bCs w:val="1"/>
                <w:color w:val="auto"/>
                <w:w w:val="91"/>
              </w:rPr>
              <w:t>(in thousands)</w:t>
            </w:r>
          </w:p>
        </w:tc>
      </w:tr>
      <w:tr>
        <w:trPr>
          <w:trHeight w:val="217"/>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Summary Unaudited Pro Forma Condensed Combined Statement of Financial Condition Data</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722,628</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451,737</w:t>
            </w:r>
          </w:p>
        </w:tc>
      </w:tr>
      <w:tr>
        <w:trPr>
          <w:trHeight w:val="213"/>
        </w:trPr>
        <w:tc>
          <w:tcPr>
            <w:tcW w:w="820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270,891</w:t>
            </w:r>
          </w:p>
        </w:tc>
      </w:tr>
      <w:tr>
        <w:trPr>
          <w:trHeight w:val="219"/>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134,060</w:t>
            </w: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598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459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left="20" w:right="340"/>
        <w:spacing w:after="0" w:line="277" w:lineRule="auto"/>
        <w:rPr>
          <w:sz w:val="20"/>
          <w:szCs w:val="20"/>
          <w:color w:val="auto"/>
        </w:rPr>
      </w:pPr>
      <w:r>
        <w:rPr>
          <w:rFonts w:ascii="Arial" w:cs="Arial" w:eastAsia="Arial" w:hAnsi="Arial"/>
          <w:sz w:val="18"/>
          <w:szCs w:val="18"/>
          <w:color w:val="auto"/>
        </w:rPr>
        <w:t>The following table sets forth the unaudited pro forma per share information of the Company for the fiscal year ended December 31, 2021, after giving effect to the Business Combination and the January 2022 Offering.</w:t>
      </w:r>
    </w:p>
    <w:p>
      <w:pPr>
        <w:spacing w:after="0" w:line="116"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the January 2022 Offering as if they had occurred on December 31, 2021 and January 1, 2021, respectively.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historical information should be read in conjunction with “</w:t>
      </w:r>
      <w:r>
        <w:rPr>
          <w:rFonts w:ascii="Arial" w:cs="Arial" w:eastAsia="Arial" w:hAnsi="Arial"/>
          <w:sz w:val="18"/>
          <w:szCs w:val="18"/>
          <w:i w:val="1"/>
          <w:iCs w:val="1"/>
          <w:color w:val="auto"/>
        </w:rPr>
        <w:t>Summary Historical Financial and Other Information</w:t>
      </w:r>
      <w:r>
        <w:rPr>
          <w:rFonts w:ascii="Arial" w:cs="Arial" w:eastAsia="Arial" w:hAnsi="Arial"/>
          <w:sz w:val="18"/>
          <w:szCs w:val="18"/>
          <w:color w:val="auto"/>
        </w:rPr>
        <w:t>” and</w:t>
      </w:r>
    </w:p>
    <w:p>
      <w:pPr>
        <w:spacing w:after="0" w:line="23" w:lineRule="exact"/>
        <w:rPr>
          <w:sz w:val="20"/>
          <w:szCs w:val="20"/>
          <w:color w:val="auto"/>
        </w:rPr>
      </w:pPr>
    </w:p>
    <w:p>
      <w:pPr>
        <w:ind w:left="20" w:right="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contained elsewhere in this prospectus and the audited historical financial 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the January 2022 Offering or to project our results of operations that may be achieved after the Business Combination or the January 2022 Offering. The unaudited pro forma book value per share information below does not purport to represent our actual book value giving effect to the Business Combination and the January 2022 Offering nor the book value per share for any future date or period.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PWP</w:t>
            </w:r>
          </w:p>
        </w:tc>
        <w:tc>
          <w:tcPr>
            <w:tcW w:w="220" w:type="dxa"/>
            <w:vAlign w:val="bottom"/>
          </w:tcPr>
          <w:p>
            <w:pPr>
              <w:spacing w:after="0"/>
              <w:rPr>
                <w:sz w:val="14"/>
                <w:szCs w:val="14"/>
                <w:color w:val="auto"/>
              </w:rPr>
            </w:pPr>
          </w:p>
        </w:tc>
        <w:tc>
          <w:tcPr>
            <w:tcW w:w="1080" w:type="dxa"/>
            <w:vAlign w:val="bottom"/>
          </w:tcPr>
          <w:p>
            <w:pPr>
              <w:jc w:val="right"/>
              <w:ind w:right="222"/>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220" w:type="dxa"/>
            <w:vAlign w:val="bottom"/>
          </w:tcPr>
          <w:p>
            <w:pPr>
              <w:spacing w:after="0"/>
              <w:rPr>
                <w:sz w:val="16"/>
                <w:szCs w:val="16"/>
                <w:color w:val="auto"/>
              </w:rPr>
            </w:pPr>
          </w:p>
        </w:tc>
        <w:tc>
          <w:tcPr>
            <w:tcW w:w="1080" w:type="dxa"/>
            <w:vAlign w:val="bottom"/>
          </w:tcPr>
          <w:p>
            <w:pPr>
              <w:jc w:val="right"/>
              <w:ind w:right="242"/>
              <w:spacing w:after="0"/>
              <w:rPr>
                <w:sz w:val="20"/>
                <w:szCs w:val="20"/>
                <w:color w:val="auto"/>
              </w:rPr>
            </w:pPr>
            <w:r>
              <w:rPr>
                <w:rFonts w:ascii="Arial" w:cs="Arial" w:eastAsia="Arial" w:hAnsi="Arial"/>
                <w:sz w:val="14"/>
                <w:szCs w:val="14"/>
                <w:b w:val="1"/>
                <w:bCs w:val="1"/>
                <w:color w:val="auto"/>
              </w:rPr>
              <w:t>Combined</w:t>
            </w:r>
          </w:p>
        </w:tc>
      </w:tr>
      <w:tr>
        <w:trPr>
          <w:trHeight w:val="211"/>
        </w:trPr>
        <w:tc>
          <w:tcPr>
            <w:tcW w:w="7240" w:type="dxa"/>
            <w:vAlign w:val="bottom"/>
            <w:tcBorders>
              <w:top w:val="single" w:sz="8" w:color="CCEEFF"/>
            </w:tcBorders>
            <w:shd w:val="clear" w:color="auto" w:fill="CCEEFF"/>
          </w:tcPr>
          <w:p>
            <w:pPr>
              <w:ind w:left="40"/>
              <w:spacing w:after="0" w:line="211" w:lineRule="exact"/>
              <w:rPr>
                <w:sz w:val="20"/>
                <w:szCs w:val="20"/>
                <w:color w:val="auto"/>
              </w:rPr>
            </w:pPr>
            <w:r>
              <w:rPr>
                <w:rFonts w:ascii="Arial" w:cs="Arial" w:eastAsia="Arial" w:hAnsi="Arial"/>
                <w:sz w:val="16"/>
                <w:szCs w:val="16"/>
                <w:color w:val="auto"/>
              </w:rPr>
              <w:t>Book value per share, December 31, 2021</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2.90</w:t>
            </w:r>
          </w:p>
        </w:tc>
      </w:tr>
      <w:tr>
        <w:trPr>
          <w:trHeight w:val="213"/>
        </w:trPr>
        <w:tc>
          <w:tcPr>
            <w:tcW w:w="7240" w:type="dxa"/>
            <w:vAlign w:val="bottom"/>
          </w:tcPr>
          <w:p>
            <w:pPr>
              <w:ind w:left="40"/>
              <w:spacing w:after="0"/>
              <w:rPr>
                <w:sz w:val="20"/>
                <w:szCs w:val="20"/>
                <w:color w:val="auto"/>
              </w:rPr>
            </w:pPr>
            <w:r>
              <w:rPr>
                <w:rFonts w:ascii="Arial" w:cs="Arial" w:eastAsia="Arial" w:hAnsi="Arial"/>
                <w:sz w:val="16"/>
                <w:szCs w:val="16"/>
                <w:color w:val="auto"/>
              </w:rPr>
              <w:t>Basic net income (loss) per share of Class A common stock, December 31, 2021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19"/>
        </w:trPr>
        <w:tc>
          <w:tcPr>
            <w:tcW w:w="7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share of Class A common stock, December 31, 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13"/>
        </w:trPr>
        <w:tc>
          <w:tcPr>
            <w:tcW w:w="7240" w:type="dxa"/>
            <w:vAlign w:val="bottom"/>
          </w:tcPr>
          <w:p>
            <w:pPr>
              <w:ind w:left="40"/>
              <w:spacing w:after="0"/>
              <w:rPr>
                <w:sz w:val="20"/>
                <w:szCs w:val="20"/>
                <w:color w:val="auto"/>
              </w:rPr>
            </w:pPr>
            <w:r>
              <w:rPr>
                <w:rFonts w:ascii="Arial" w:cs="Arial" w:eastAsia="Arial" w:hAnsi="Arial"/>
                <w:sz w:val="16"/>
                <w:szCs w:val="16"/>
                <w:color w:val="auto"/>
              </w:rPr>
              <w:t>Weighted average shares of Class A common stock outstanding—basic, December 31, 2021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42,595,712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46,899,646</w:t>
            </w:r>
          </w:p>
        </w:tc>
      </w:tr>
      <w:tr>
        <w:trPr>
          <w:trHeight w:val="219"/>
        </w:trPr>
        <w:tc>
          <w:tcPr>
            <w:tcW w:w="7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of Class A common stock outstanding—diluted, December 31, 2021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92,749,911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93,556,111</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340" w:hanging="326"/>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shares of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40" w:name="page41"/>
    <w:bookmarkEnd w:id="4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 investment in our securities involves risks and uncertainties. You should carefully consider the following risks as well as the other information included in this prospectus, including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and the consolidated financial statements and the related notes thereto included elsewhere in this prospectus,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in our securities.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 and you may lose all or part of your investment in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implemented various initiatives to reduce the impact of COVID-19 on our Company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2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11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1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6"/>
          <w:szCs w:val="16"/>
          <w:i w:val="1"/>
          <w:iCs w:val="1"/>
          <w:color w:val="auto"/>
        </w:rPr>
        <w:t>Risks Related to our Business—Our growth strategy may involve opening or acquiring new offices and/or expanding,</w:t>
      </w:r>
      <w:r>
        <w:rPr>
          <w:rFonts w:ascii="Arial" w:cs="Arial" w:eastAsia="Arial" w:hAnsi="Arial"/>
          <w:sz w:val="16"/>
          <w:szCs w:val="16"/>
          <w:color w:val="auto"/>
        </w:rPr>
        <w:t xml:space="preserve"> </w:t>
      </w:r>
      <w:r>
        <w:rPr>
          <w:rFonts w:ascii="Arial" w:cs="Arial" w:eastAsia="Arial" w:hAnsi="Arial"/>
          <w:sz w:val="16"/>
          <w:szCs w:val="16"/>
          <w:i w:val="1"/>
          <w:iCs w:val="1"/>
          <w:color w:val="auto"/>
        </w:rPr>
        <w:t>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6"/>
          <w:szCs w:val="16"/>
          <w:color w:val="auto"/>
        </w:rPr>
        <w:t>.” There can be no assurance that we will be able to manage our</w:t>
      </w:r>
      <w:r>
        <w:rPr>
          <w:rFonts w:ascii="Arial" w:cs="Arial" w:eastAsia="Arial" w:hAnsi="Arial"/>
          <w:sz w:val="16"/>
          <w:szCs w:val="16"/>
          <w:i w:val="1"/>
          <w:iCs w:val="1"/>
          <w:color w:val="auto"/>
        </w:rPr>
        <w:t xml:space="preserve"> </w:t>
      </w:r>
      <w:r>
        <w:rPr>
          <w:rFonts w:ascii="Arial" w:cs="Arial" w:eastAsia="Arial" w:hAnsi="Arial"/>
          <w:sz w:val="16"/>
          <w:szCs w:val="16"/>
          <w:color w:val="auto"/>
        </w:rPr>
        <w:t>expanding operations effectively, and any failure to do so could materially adversely affect our ability to grow revenue and control our expenses.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2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international hostilities, including the recent hostilities between Russia and Ukraine,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 for an extended period of time. In addition, during periods of strong market and economic conditions, the volume and value of recapitalization and restructuring transactions may decrease, thereby reducing 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3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revenue in any given period is dependent on the number of fee-paying clients in such period. For the year ended December 31, 2021, we earned revenues from 232 advisory clients, 142 of which generated fees equal to or greater than $1.0 million. For the year ended December 31, 2020 we earned revenues from 175 advisory clients, 99 of which generated fees equal to or greater than $1.0 million. For the year ended December 31, 2019, we earned revenues from 179 advisory clients, 100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years ended December 31, 2020 and 2019, we recorded operating losses of $14.6 million and $155.1 million, respectively. These operating losses were largely due to amortization of the equity-based compensation awards granted by Professional Partners, which have no economic impact on PWP or PWP OpCo. The vesting of equity awards granted in connection with the Business Combination have been and will be recorded as equity-based compensation expense at PWP OpCo for GAAP accounting purposes. Although we did not record an operating loss for the year ended December 31, 2021, we need to continue to compensate personnel competitively in order to continue building our business and as a result, we may again experience operating losses in future periods.</w:t>
      </w:r>
    </w:p>
    <w:p>
      <w:pPr>
        <w:spacing w:after="0" w:line="138"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1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U.S. Department of Justice and the SEC continue to devote significant resources to the enforcement of the Foreign Corrupt Practices Act (the</w:t>
      </w:r>
    </w:p>
    <w:p>
      <w:pPr>
        <w:spacing w:after="0" w:line="3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In addition, the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securities. For further detail regarding the FCPA and other regulations that we are subject to, see “</w:t>
      </w:r>
      <w:r>
        <w:rPr>
          <w:rFonts w:ascii="Arial" w:cs="Arial" w:eastAsia="Arial" w:hAnsi="Arial"/>
          <w:sz w:val="17"/>
          <w:szCs w:val="17"/>
          <w:i w:val="1"/>
          <w:iCs w:val="1"/>
          <w:color w:val="auto"/>
        </w:rPr>
        <w:t>Business—Regulation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2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3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Goodwill and other intangible assets represent a significant portion of our assets, and totaled $66.7 million and $73.3 million as of December 31, 2021 and 2020,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Restrictions in the Credit Agreement, dated November 30, 2016 (the “</w:t>
      </w:r>
      <w:r>
        <w:rPr>
          <w:rFonts w:ascii="Arial" w:cs="Arial" w:eastAsia="Arial" w:hAnsi="Arial"/>
          <w:sz w:val="18"/>
          <w:szCs w:val="18"/>
          <w:b w:val="1"/>
          <w:bCs w:val="1"/>
          <w:i w:val="1"/>
          <w:iCs w:val="1"/>
          <w:u w:val="single" w:color="auto"/>
          <w:color w:val="auto"/>
        </w:rPr>
        <w:t>Credit Agreement</w:t>
      </w:r>
      <w:r>
        <w:rPr>
          <w:rFonts w:ascii="Arial" w:cs="Arial" w:eastAsia="Arial" w:hAnsi="Arial"/>
          <w:sz w:val="18"/>
          <w:szCs w:val="18"/>
          <w:b w:val="1"/>
          <w:bCs w:val="1"/>
          <w:i w:val="1"/>
          <w:iCs w:val="1"/>
          <w:color w:val="auto"/>
        </w:rPr>
        <w:t>”), with Cadence Bank, N.A. (“</w:t>
      </w:r>
      <w:r>
        <w:rPr>
          <w:rFonts w:ascii="Arial" w:cs="Arial" w:eastAsia="Arial" w:hAnsi="Arial"/>
          <w:sz w:val="18"/>
          <w:szCs w:val="18"/>
          <w:b w:val="1"/>
          <w:bCs w:val="1"/>
          <w:i w:val="1"/>
          <w:iCs w:val="1"/>
          <w:u w:val="single" w:color="auto"/>
          <w:color w:val="auto"/>
        </w:rPr>
        <w:t>Cadence</w:t>
      </w:r>
      <w:r>
        <w:rPr>
          <w:rFonts w:ascii="Arial" w:cs="Arial" w:eastAsia="Arial" w:hAnsi="Arial"/>
          <w:sz w:val="18"/>
          <w:szCs w:val="18"/>
          <w:b w:val="1"/>
          <w:bCs w:val="1"/>
          <w:i w:val="1"/>
          <w:iCs w:val="1"/>
          <w:color w:val="auto"/>
        </w:rPr>
        <w:t>”), as amended and restated on December 11, 2018, governing our revolving credit facility (the “Revolving Credit Facility”) or the credit agreement governing any replacement credit facility may impair our ability to finance our future operations or capital needs or engage in other business activities that may be in our interests.</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11, 2018, Group LP, a wholly owned subsidiary of PWP OpCo, entered into the Revolving Credit Facility in order to pay in full the outstanding Credit Agreement, through which the Company borrowed an aggregate of $50.0 million, plus outstanding interest, fees and expenses related thereto and provide for the future working capital needs and other general corporate purposes of Group LP and its subsidiaries. The Revolving Credit Facility, as amended in connection with the Closing, provides for a $50.0 million unsecured revolving credit facility that matures on July 1, 2025, and contains a number of significant covenants that, among other things, require PWP OpCo and certain of its subsidiaries (the “</w:t>
      </w:r>
      <w:r>
        <w:rPr>
          <w:rFonts w:ascii="Arial" w:cs="Arial" w:eastAsia="Arial" w:hAnsi="Arial"/>
          <w:sz w:val="18"/>
          <w:szCs w:val="18"/>
          <w:u w:val="single" w:color="auto"/>
          <w:color w:val="auto"/>
        </w:rPr>
        <w:t>Loan Parties</w:t>
      </w:r>
      <w:r>
        <w:rPr>
          <w:rFonts w:ascii="Arial" w:cs="Arial" w:eastAsia="Arial" w:hAnsi="Arial"/>
          <w:sz w:val="18"/>
          <w:szCs w:val="18"/>
          <w:color w:val="auto"/>
        </w:rPr>
        <w:t>”) to maintain (on a consolidated basis) minimum liquidity levels, a minimum debt service coverage ratio and a maximum leverage ratio and restrict the ability of the Loan Parties to:</w:t>
      </w:r>
    </w:p>
    <w:p>
      <w:pPr>
        <w:spacing w:after="0" w:line="14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w:t>
      </w:r>
    </w:p>
    <w:p>
      <w:pPr>
        <w:spacing w:after="0" w:line="12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declare the commitments of all of the lenders under the Revolving Credit Facility (or any replacement credit facility) to be terminated; and</w:t>
      </w:r>
    </w:p>
    <w:p>
      <w:pPr>
        <w:spacing w:after="0" w:line="182" w:lineRule="exact"/>
        <w:rPr>
          <w:rFonts w:ascii="Arial" w:cs="Arial" w:eastAsia="Arial" w:hAnsi="Arial"/>
          <w:sz w:val="17"/>
          <w:szCs w:val="17"/>
          <w:color w:val="auto"/>
        </w:rPr>
      </w:pPr>
    </w:p>
    <w:p>
      <w:pPr>
        <w:jc w:val="both"/>
        <w:ind w:left="660" w:right="140" w:hanging="328"/>
        <w:spacing w:after="0" w:line="31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declare all outstanding debt, accrued interest and fees to be due and immediately payable. 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is subject to various U.S. and international laws and regulations that could lead to enforcement actions, fines, civil or criminal penalties or 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 an adverse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1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had not previously managed our advisory business as a separate public company prior to the Business Combination.</w:t>
      </w:r>
    </w:p>
    <w:p>
      <w:pPr>
        <w:spacing w:after="0" w:line="1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individuals who now constitute our management had not previously managed our advisory business as a separate publicly traded company prior to the Business Combination. Compliance with public company requirements places significant additional demands on our management and requires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years ended December 31, 2021, 2020 and 2019, we earned approximately 17.7%, 25.4% and 16.3%,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3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language barriers and cultural differences, including the need to adopt different business practices in different geographic areas;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terrorism, international hostilities, war and other civil disturbances or other catastrophic events that reduce business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3" w:name="page54"/>
    <w:bookmarkEnd w:id="53"/>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13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European Union (the “</w:t>
      </w:r>
      <w:r>
        <w:rPr>
          <w:rFonts w:ascii="Arial" w:cs="Arial" w:eastAsia="Arial" w:hAnsi="Arial"/>
          <w:sz w:val="17"/>
          <w:szCs w:val="17"/>
          <w:u w:val="single" w:color="auto"/>
          <w:color w:val="auto"/>
        </w:rPr>
        <w:t>E.U.</w:t>
      </w:r>
      <w:r>
        <w:rPr>
          <w:rFonts w:ascii="Arial" w:cs="Arial" w:eastAsia="Arial" w:hAnsi="Arial"/>
          <w:sz w:val="17"/>
          <w:szCs w:val="17"/>
          <w:color w:val="auto"/>
        </w:rPr>
        <w:t>”),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6"/>
          <w:szCs w:val="16"/>
          <w:i w:val="1"/>
          <w:iCs w:val="1"/>
          <w:color w:val="auto"/>
        </w:rPr>
        <w:t>Risks Related to Our Business—Our failure to deal appropriately with</w:t>
      </w:r>
      <w:r>
        <w:rPr>
          <w:rFonts w:ascii="Arial" w:cs="Arial" w:eastAsia="Arial" w:hAnsi="Arial"/>
          <w:sz w:val="16"/>
          <w:szCs w:val="16"/>
          <w:color w:val="auto"/>
        </w:rPr>
        <w:t xml:space="preserve"> </w:t>
      </w:r>
      <w:r>
        <w:rPr>
          <w:rFonts w:ascii="Arial" w:cs="Arial" w:eastAsia="Arial" w:hAnsi="Arial"/>
          <w:sz w:val="16"/>
          <w:szCs w:val="16"/>
          <w:i w:val="1"/>
          <w:iCs w:val="1"/>
          <w:color w:val="auto"/>
        </w:rPr>
        <w:t>actual, potential or perceived conflicts of interest could damage our reputation and materially adversely affect our business</w:t>
      </w:r>
      <w:r>
        <w:rPr>
          <w:rFonts w:ascii="Arial" w:cs="Arial" w:eastAsia="Arial" w:hAnsi="Arial"/>
          <w:sz w:val="16"/>
          <w:szCs w:val="16"/>
          <w:color w:val="auto"/>
        </w:rPr>
        <w:t>” above.</w:t>
      </w:r>
    </w:p>
    <w:p>
      <w:pPr>
        <w:spacing w:after="0" w:line="112"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addition, PFAC is a SPAC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our financial statements are denominated in U.S. dollars and we receive a portion of our net revenue in other currencies (including the Euro, pound sterling and Canadian dollars), we are exposed to fluctuations in foreign currencies. During the years ended December 31, 2021 and 2020, 14.5% and</w:t>
      </w:r>
    </w:p>
    <w:p>
      <w:pPr>
        <w:ind w:right="260"/>
        <w:spacing w:after="0" w:line="295" w:lineRule="auto"/>
        <w:rPr>
          <w:sz w:val="20"/>
          <w:szCs w:val="20"/>
          <w:color w:val="auto"/>
        </w:rPr>
      </w:pPr>
      <w:r>
        <w:rPr>
          <w:rFonts w:ascii="Arial" w:cs="Arial" w:eastAsia="Arial" w:hAnsi="Arial"/>
          <w:sz w:val="16"/>
          <w:szCs w:val="16"/>
          <w:color w:val="auto"/>
        </w:rPr>
        <w:t>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w:t>
      </w:r>
      <w:r>
        <w:rPr>
          <w:rFonts w:ascii="Arial" w:cs="Arial" w:eastAsia="Arial" w:hAnsi="Arial"/>
          <w:sz w:val="17"/>
          <w:szCs w:val="17"/>
          <w:u w:val="single" w:color="auto"/>
          <w:color w:val="auto"/>
        </w:rPr>
        <w:t>TCA</w:t>
      </w:r>
      <w:r>
        <w:rPr>
          <w:rFonts w:ascii="Arial" w:cs="Arial" w:eastAsia="Arial" w:hAnsi="Arial"/>
          <w:sz w:val="17"/>
          <w:szCs w:val="17"/>
          <w:color w:val="auto"/>
        </w:rPr>
        <w:t>”), which was applied on a provisional basis from January 1, 2021 and entered into full force on May 1, 2021, following formal approval by the U.K. and the E.U.</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13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phasing out of the London Interbank Offered Rate (“LIBOR”) may adversely affect the value of our outstanding debt instruments.</w:t>
      </w:r>
    </w:p>
    <w:p>
      <w:pPr>
        <w:spacing w:after="0" w:line="18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in 2021, the Financial Conduct Authority (“</w:t>
      </w:r>
      <w:r>
        <w:rPr>
          <w:rFonts w:ascii="Arial" w:cs="Arial" w:eastAsia="Arial" w:hAnsi="Arial"/>
          <w:sz w:val="17"/>
          <w:szCs w:val="17"/>
          <w:u w:val="single" w:color="auto"/>
          <w:color w:val="auto"/>
        </w:rPr>
        <w:t>FCA</w:t>
      </w:r>
      <w:r>
        <w:rPr>
          <w:rFonts w:ascii="Arial" w:cs="Arial" w:eastAsia="Arial" w:hAnsi="Arial"/>
          <w:sz w:val="17"/>
          <w:szCs w:val="17"/>
          <w:color w:val="auto"/>
        </w:rPr>
        <w:t>”) announced the future cessation or loss of representativeness of the U.S. dollar LIBOR tenors. At the end of 2021, the ICE Benchmark Administration, the administrator of LIBOR, ceased the publication of all settings of non-U.S. dollar LIBOR and the one-week and two-month U.S. dollar LIBOR settings, with the publication of the remaining U.S. dollar LIBOR settings being discontinued after June 30, 2023. It is unclear if LIBOR will cease to exist at that time or if new methods of calculating LIBOR will be established. The U.S. Federal Reserve, in conjunction with the Alternative Reference Rates Committee, a steering committee comprised of, among other entities, large U.S. financial institutions, has recommended replacing U.S. dollar LIBOR with a new index that measures the cost of borrowing cash overnight, backed by U.S. Treasury securities (“</w:t>
      </w:r>
      <w:r>
        <w:rPr>
          <w:rFonts w:ascii="Arial" w:cs="Arial" w:eastAsia="Arial" w:hAnsi="Arial"/>
          <w:sz w:val="17"/>
          <w:szCs w:val="17"/>
          <w:u w:val="single" w:color="auto"/>
          <w:color w:val="auto"/>
        </w:rPr>
        <w:t>SOFR</w:t>
      </w:r>
      <w:r>
        <w:rPr>
          <w:rFonts w:ascii="Arial" w:cs="Arial" w:eastAsia="Arial" w:hAnsi="Arial"/>
          <w:sz w:val="17"/>
          <w:szCs w:val="17"/>
          <w:color w:val="auto"/>
        </w:rPr>
        <w:t>”). SOFR is observed and backward-looking, which stands in contrast with LIBOR under the current methodology, which is an estimated forward-looking rate and relies, to some degree, on the expert judgment of submitting panel members.</w:t>
      </w:r>
    </w:p>
    <w:p>
      <w:pPr>
        <w:spacing w:after="0" w:line="12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While we continue to monitor market developments to assess replacement rate options, the consequences of these developments, with respect to LIBOR cannot be entirely predicted and may result in the level of interest payments on the portion of our indebtedness that bears interest at variable rates to be affected, which may adversely impact the amount of our interest payments under such debt. Uncertainty as to the nature of such developments may materially adversely affect the trading market for securities linked to related benchmarks.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-178435</wp:posOffset>
            </wp:positionV>
            <wp:extent cx="285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The historical consolidated financial information for periods prior to the Business Combination on June 24, 2021 and the unaudited pro forma financial information in this prospectus is not representative of the results we would have achieved as a stand-alone public company and may not permit you to predict our future results.</w:t>
      </w:r>
    </w:p>
    <w:p>
      <w:pPr>
        <w:spacing w:after="0" w:line="13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historical consolidated financial information for periods prior to the Business Combination on June 24, 2021 and the unaudited pro forma financial information in this prospectus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t>
      </w:r>
      <w:r>
        <w:rPr>
          <w:rFonts w:ascii="Arial" w:cs="Arial" w:eastAsia="Arial" w:hAnsi="Arial"/>
          <w:sz w:val="17"/>
          <w:szCs w:val="17"/>
          <w:u w:val="single" w:color="auto"/>
          <w:color w:val="auto"/>
        </w:rPr>
        <w:t>TPH Securities</w:t>
      </w:r>
      <w:r>
        <w:rPr>
          <w:rFonts w:ascii="Arial" w:cs="Arial" w:eastAsia="Arial" w:hAnsi="Arial"/>
          <w:sz w:val="17"/>
          <w:szCs w:val="17"/>
          <w:color w:val="auto"/>
        </w:rPr>
        <w:t>”). We are subject to regulatory restrictions and requirements imposed by applicable statutes, regulations and policies in the jurisdictions in which we operate. U.S. and non-U.S. government agencies and self-regulatory organizations, including the Financial Industry Regulatory Authority (“</w:t>
      </w:r>
      <w:r>
        <w:rPr>
          <w:rFonts w:ascii="Arial" w:cs="Arial" w:eastAsia="Arial" w:hAnsi="Arial"/>
          <w:sz w:val="17"/>
          <w:szCs w:val="17"/>
          <w:u w:val="single" w:color="auto"/>
          <w:color w:val="auto"/>
        </w:rPr>
        <w:t>FINRA</w:t>
      </w:r>
      <w:r>
        <w:rPr>
          <w:rFonts w:ascii="Arial" w:cs="Arial" w:eastAsia="Arial" w:hAnsi="Arial"/>
          <w:sz w:val="17"/>
          <w:szCs w:val="17"/>
          <w:color w:val="auto"/>
        </w:rPr>
        <w:t>”)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7"/>
          <w:szCs w:val="17"/>
          <w:i w:val="1"/>
          <w:iCs w:val="1"/>
          <w:color w:val="auto"/>
        </w:rPr>
        <w:t>Business—Regulation</w:t>
      </w:r>
      <w:r>
        <w:rPr>
          <w:rFonts w:ascii="Arial" w:cs="Arial" w:eastAsia="Arial" w:hAnsi="Arial"/>
          <w:sz w:val="17"/>
          <w:szCs w:val="17"/>
          <w:color w:val="auto"/>
        </w:rPr>
        <w:t>.”</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There are also examples of changes to legislation in non-U.S. jurisdictions that directly or indirectly affect our business. For instance, in the U.K. and E.U., there are extensive changes to the prudential framework applicable to investment firms which are likely to impact the way in which we remunerate staff, including by imposing malus and clawback requirements on variable remuneration, that may impair our ability to attract and retain talent.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Investment Industry Regulatory Organization of Canada (“</w:t>
      </w:r>
      <w:r>
        <w:rPr>
          <w:rFonts w:ascii="Arial" w:cs="Arial" w:eastAsia="Arial" w:hAnsi="Arial"/>
          <w:sz w:val="16"/>
          <w:szCs w:val="16"/>
          <w:u w:val="single" w:color="auto"/>
          <w:color w:val="auto"/>
        </w:rPr>
        <w:t>IIROC</w:t>
      </w:r>
      <w:r>
        <w:rPr>
          <w:rFonts w:ascii="Arial" w:cs="Arial" w:eastAsia="Arial" w:hAnsi="Arial"/>
          <w:sz w:val="16"/>
          <w:szCs w:val="16"/>
          <w:color w:val="auto"/>
        </w:rPr>
        <w:t>”), the Autorité de contrôle prudentiel et de resolution (“</w:t>
      </w:r>
      <w:r>
        <w:rPr>
          <w:rFonts w:ascii="Arial" w:cs="Arial" w:eastAsia="Arial" w:hAnsi="Arial"/>
          <w:sz w:val="16"/>
          <w:szCs w:val="16"/>
          <w:u w:val="single" w:color="auto"/>
          <w:color w:val="auto"/>
        </w:rPr>
        <w:t>ACPR</w:t>
      </w:r>
      <w:r>
        <w:rPr>
          <w:rFonts w:ascii="Arial" w:cs="Arial" w:eastAsia="Arial" w:hAnsi="Arial"/>
          <w:sz w:val="16"/>
          <w:szCs w:val="16"/>
          <w:color w:val="auto"/>
        </w:rPr>
        <w:t>”)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1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1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GDPR,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Tax Receivable Agreement and pay other expenses.</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are required to pay our ILPs and/or Limited Partners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Tax Receivable Agreement may be accelerated and/or significantly exceed the actual tax benefits we realize.</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acquisition of PWP OpCo Class A partnership units in connection with the Business Combination or pursuant to future exchanges of PWP OpCo Class A partnership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may challenge all or part of these tax basis increases, and a court could sustain such a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 the Closing, we entered into a Tax Receivable Agreement with PWP OpCo, Professional Partners and certain other persons party thereto. The Tax Receivable Agreement generally provides for payment by us to ILPs and certain Partners (as defined therein)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 We expect to retain the benefit of the remaining 15% of these cash tax savings. While the actual increase in tax basis,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Tax Receivable Agreement, the payments that we may make under the Tax Receivable Agreement could be substantial.</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payment obligation under the Tax Receivable Agreement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Tax Receivable Agreement if such basis increases or other benefits are subsequently disallowed, although excess payments made to any ILP and/or Limited Partner may be netted against payments otherwise to be made, if any, to the relevant party after our determination of such excess. As a result, in certain circumstances we could make payments to the relevant ILPs and/or Limited Partners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4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0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Under the amended and restated agreement of limited partnership of PWP OpCo,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0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holders of PWP OpCo Class A partnership units may 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13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If Perella Weinberg Partners were to cease participation in the management of PWP OpCo, its interests in PWP OpCo could be deemed an “investment security” for purposes of the Investment Company Act of 1940 (the “</w:t>
      </w:r>
      <w:r>
        <w:rPr>
          <w:rFonts w:ascii="Arial" w:cs="Arial" w:eastAsia="Arial" w:hAnsi="Arial"/>
          <w:sz w:val="17"/>
          <w:szCs w:val="17"/>
          <w:u w:val="single" w:color="auto"/>
          <w:color w:val="auto"/>
        </w:rPr>
        <w:t>1940 Act</w:t>
      </w:r>
      <w:r>
        <w:rPr>
          <w:rFonts w:ascii="Arial" w:cs="Arial" w:eastAsia="Arial" w:hAnsi="Arial"/>
          <w:sz w:val="17"/>
          <w:szCs w:val="17"/>
          <w:color w:val="auto"/>
        </w:rPr>
        <w: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securities.</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Restated Certificate of Incorporation could prevent us from benefiting from corporate opportunities that might have otherwise been available to us.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w:t>
      </w:r>
      <w:r>
        <w:rPr>
          <w:rFonts w:ascii="Arial" w:cs="Arial" w:eastAsia="Arial" w:hAnsi="Arial"/>
          <w:sz w:val="16"/>
          <w:szCs w:val="16"/>
          <w:u w:val="single" w:color="auto"/>
          <w:color w:val="auto"/>
        </w:rPr>
        <w:t>PWP Partner Group</w:t>
      </w:r>
      <w:r>
        <w:rPr>
          <w:rFonts w:ascii="Arial" w:cs="Arial" w:eastAsia="Arial" w:hAnsi="Arial"/>
          <w:sz w:val="16"/>
          <w:szCs w:val="16"/>
          <w:color w:val="auto"/>
        </w:rPr>
        <w:t>”)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 See “</w:t>
      </w:r>
      <w:r>
        <w:rPr>
          <w:rFonts w:ascii="Arial" w:cs="Arial" w:eastAsia="Arial" w:hAnsi="Arial"/>
          <w:sz w:val="16"/>
          <w:szCs w:val="16"/>
          <w:i w:val="1"/>
          <w:iCs w:val="1"/>
          <w:color w:val="auto"/>
        </w:rPr>
        <w:t>Description of Securities—Corporate Opportunities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9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Tax Receivable Agreement and would not be able to recover any of our previously made payments under the Tax Receivable Agreement, even if the corresponding tax benefits (including any claimed increase in the tax basis of PWP OpCo’s assets) were subsequently determined to have been unavailable.</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Professional Partners beneficially owns all of the outstanding shares of our Class B-1 common stock, representing approximately 90.1% of our total voting power, ILPs beneficially own all of the outstanding shares of our Class B-2 common stock, representing approximately less than 0.4% of our total voting power, and holders of Class A common stock own shares of our Class A common stock, representing approximately 9.5%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 approximately 90.1% of the voting interest in us as of February 28, 2022. The shares of Class B-1 common stock will entitle Professional Partners to (i) for so long as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6"/>
          <w:szCs w:val="16"/>
          <w:i w:val="1"/>
          <w:iCs w:val="1"/>
          <w:color w:val="auto"/>
        </w:rPr>
        <w:t>Description of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Class B Common Stock</w:t>
      </w:r>
      <w:r>
        <w:rPr>
          <w:rFonts w:ascii="Arial" w:cs="Arial" w:eastAsia="Arial" w:hAnsi="Arial"/>
          <w:sz w:val="16"/>
          <w:szCs w:val="16"/>
          <w:color w:val="auto"/>
        </w:rPr>
        <w:t>.” In addition, we are party to the Stockholders Agreement with Professional Partners, pursuant to which, for so long as the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April 12, 2021, the staff of the Securities and Exchange Commission issued a public statement entitled “Staff Statement on Accounting and Reporting Considerations for Warrants issued by SPACs" (the “</w:t>
      </w:r>
      <w:r>
        <w:rPr>
          <w:rFonts w:ascii="Arial" w:cs="Arial" w:eastAsia="Arial" w:hAnsi="Arial"/>
          <w:sz w:val="16"/>
          <w:szCs w:val="16"/>
          <w:u w:val="single" w:color="auto"/>
          <w:color w:val="auto"/>
        </w:rPr>
        <w:t>SEC Staff Statement</w:t>
      </w:r>
      <w:r>
        <w:rPr>
          <w:rFonts w:ascii="Arial" w:cs="Arial" w:eastAsia="Arial" w:hAnsi="Arial"/>
          <w:sz w:val="16"/>
          <w:szCs w:val="16"/>
          <w:color w:val="auto"/>
        </w:rPr>
        <w: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the Company’s consolidated statements of financial condition as of December 31, 2021 included elsewhere in this prospectus are derivative liabilities related to embedded features contained within the Warrants. Accounting Standards Codification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performance does not meet market expectations, the price of our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our performance does not meet market expectations, the price of our securities may decline.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44" w:lineRule="exact"/>
        <w:rPr>
          <w:sz w:val="20"/>
          <w:szCs w:val="20"/>
          <w:color w:val="auto"/>
        </w:rPr>
      </w:pPr>
    </w:p>
    <w:p>
      <w:pPr>
        <w:ind w:left="660" w:right="4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international hostilities and acts of war or terrorism.</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any time in the future, the Public Warrants may not be in the money and they may expire worthless.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exercise price for our Warrants is $11.50 per share. There can be no assurance that the Public Warrants will be in the money prior to their expiration and, as such, the Warrants may expire worthless.</w:t>
      </w:r>
    </w:p>
    <w:p>
      <w:pPr>
        <w:spacing w:after="0" w:line="1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terms of our Warrants may be amended in a manner that may be adverse to the holders. The warrant agreement with American Stock Transfer &amp; Trust Company, LLC, as warrant agent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19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the ability to redeem outstanding Warrants (excluding any Private Placement Warrants held by the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Warrants to purchase our Class A common stock are exercisable, which could increase the number of shares eligible for future resale in the public market and result in dilution to our stockholders.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Outstanding Warrants to purchase an aggregate of 7,869,975 shares of our Class A common stock became exercisable on September 29, 2021, the one-year anniversary of the IPO, in accordance with the terms of the warrant agreement governing those securities. These Warrants consist of 7,666,642 Public Warrants originally included in the units issued in the IPO and 203,333 Private Placement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securities.</w:t>
      </w:r>
    </w:p>
    <w:p>
      <w:pPr>
        <w:spacing w:after="0" w:line="11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stockholders may be diluted by the future issuance of common stock, preferred stock or securities convertible or exchangeable into common or preferred stock, in connection with exchanges of PWP OpCo Class A partnership units for shares of Class A common stock, our incentive plans, acquisitions, capital raises or otherwise.</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February 28, 2022, we had 1,500,000,000 shares of Class A common stock authorized, of which 47,939,793 had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Subject to the exchange procedures and restrictions set forth in the PWP OpCo LPA (as defined herein),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or Class B-2 common stock into Class A common stock.</w:t>
      </w:r>
    </w:p>
    <w:p>
      <w:pPr>
        <w:spacing w:after="0" w:line="1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7" w:name="page68"/>
    <w:bookmarkEnd w:id="67"/>
    <w:p>
      <w:pPr>
        <w:spacing w:after="0" w:line="14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trading market for our securities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securities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may reduce the market price of our Class A common stock.</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were subject to transfer restrictions for six months following the closing of the Business Combination and 80% of the Founder Shares held by the Sponsor continue to be subject to transfer restrictions based on certain closing share price thresholds of the Company’s Class A common stock for 20 out of any 30 consecutive trading days. On January 7, 2022, the Sponsor distributed 5,456,667 shares of Class A common stock (Founder Shares and Placement Shares) and 203,333 Private Placement Warrants to its members, after which the Sponsor owns 1,000,000 shares of Class A common stock. The 1,000,000 shares of Class A common stock retained by the Sponsor continue to be subject to transfer restrictions until the $15 Threshold (as defined below) is met. 1,738,680 of the shares distributed in the Sponsor Distribution remain subject to transfer restrictions until either the $15 Threshold or the $17 Threshold (as defined below), as applicable, is met. See the section of this prospectus entitled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Agreements—Sponsor Share Surrender and Share Restriction Agreement</w:t>
      </w:r>
      <w:r>
        <w:rPr>
          <w:rFonts w:ascii="Arial" w:cs="Arial" w:eastAsia="Arial" w:hAnsi="Arial"/>
          <w:sz w:val="16"/>
          <w:szCs w:val="16"/>
          <w:color w:val="auto"/>
        </w:rPr>
        <w:t>.”</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amended and restated the existing registration rights agreement with the Sponsor by entering into an amended and restated registration rights agreement (the “</w:t>
      </w:r>
      <w:r>
        <w:rPr>
          <w:rFonts w:ascii="Arial" w:cs="Arial" w:eastAsia="Arial" w:hAnsi="Arial"/>
          <w:sz w:val="18"/>
          <w:szCs w:val="18"/>
          <w:u w:val="single" w:color="auto"/>
          <w:color w:val="auto"/>
        </w:rPr>
        <w:t>Amended and Restated Registration Rights Agreement</w:t>
      </w:r>
      <w:r>
        <w:rPr>
          <w:rFonts w:ascii="Arial" w:cs="Arial" w:eastAsia="Arial" w:hAnsi="Arial"/>
          <w:sz w:val="18"/>
          <w:szCs w:val="18"/>
          <w:color w:val="auto"/>
        </w:rPr>
        <w:t>”) with the RRA Parties with respect to the shares of our Class A common stock and certain other equity securities held by the RRA Parties. We filed the registration statement of which this prospectus is a part on July 15, 2021 pursuant to the Amended and Restated Registration Rights Agreement.</w:t>
      </w:r>
    </w:p>
    <w:p>
      <w:pPr>
        <w:spacing w:after="0" w:line="13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connection with the January 2022 Offering, which closed on January 21, 2022, the Sponsor and certain of its affiliated investors entered into lockup agreements covering 3,975,095 shares of Class A common stock and three Private Placement Warrants held by certain affiliates of the Sponsor, and such investors (including 2,067,274 shares subject to transfer restrictions until either the $15 Threshold or the $17 Threshold, as applicable, is met, pursuant to the Sponsor Share Surrender and Share Restriction Agreement described above) which expire 90 days after January 18, 2022, the date of the prospectus related to the January 2022 Offering. Upon such expiration, the Sponsor and these affiliated investors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and obligations as a result of being a public company.</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privately held company, PWP had not been required to comply with many corporate governance and financial reporting practices and policies required of a publicly traded company. As a publicly traded company, we incur significant legal, accounting and other expenses that PWP was not required to incur in the past. These expenses will increase once we are no longer an “emerging growth company” as defined under the JOBS Act. In addition, new and changing laws, regulations and standards relating to corporate governance and public disclosure for public companies, including Dodd-Frank Wall Street Reform and Consumer Protection Act,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December 31,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1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securities on the Nasdaq.</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11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As permitted by Section 215.02 of the SEC Division of Corporation Finance’s Regulation S-K Compliance &amp; Disclosure Interpretations, management excluded its assessment of internal controls over financial reporting from the Company’s Annual Report on Form 10-K for the year ended December 31, 2021, which is the year the Business Combination was completed, and we do not expect to have to include such assessment until our annual report for the year ended December 31, 2022. Management may not be able to effectively and timely implement controls and procedures that adequately respond to the increased regulatory compliance and reporting requirements that are now applicable to us after the Business Combination or will be applicable to us in the future.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2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 financial reporting was not effective as of December 31, 2020. This material weakness of FTIV did not result in a material weakness of PWP and we identified no material weakness in our internal control over financial reporting as of December 31, 2021.</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securities are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securities.</w:t>
      </w:r>
    </w:p>
    <w:p>
      <w:pPr>
        <w:spacing w:after="0" w:line="11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can give no assurance that material weaknesses or restatements of financial results will not arise in the future due to a failure to implement and maintain adequate internal control over financial reporting or circumvention of these controls, or that any measures we take will be sufficient to remediate such material weaknesses.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-733425</wp:posOffset>
            </wp:positionV>
            <wp:extent cx="285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175"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classification of our board of directors may have anti-takeover effects, including discouraging, delaying or preventing our change of control.</w:t>
      </w:r>
    </w:p>
    <w:p>
      <w:pPr>
        <w:spacing w:after="0" w:line="1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 See “</w:t>
      </w:r>
      <w:r>
        <w:rPr>
          <w:rFonts w:ascii="Arial" w:cs="Arial" w:eastAsia="Arial" w:hAnsi="Arial"/>
          <w:sz w:val="17"/>
          <w:szCs w:val="17"/>
          <w:i w:val="1"/>
          <w:iCs w:val="1"/>
          <w:color w:val="auto"/>
        </w:rPr>
        <w:t>Description of Securities.</w:t>
      </w:r>
      <w:r>
        <w:rPr>
          <w:rFonts w:ascii="Arial" w:cs="Arial" w:eastAsia="Arial" w:hAnsi="Arial"/>
          <w:sz w:val="17"/>
          <w:szCs w:val="17"/>
          <w:color w:val="auto"/>
        </w:rPr>
        <w:t>”</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Similarly, our U.K. subsidiary, Perella Weinberg UK Limited (“</w:t>
      </w:r>
      <w:r>
        <w:rPr>
          <w:rFonts w:ascii="Arial" w:cs="Arial" w:eastAsia="Arial" w:hAnsi="Arial"/>
          <w:sz w:val="18"/>
          <w:szCs w:val="18"/>
          <w:u w:val="single" w:color="auto"/>
          <w:color w:val="auto"/>
        </w:rPr>
        <w:t>PWP U.K.</w:t>
      </w:r>
      <w:r>
        <w:rPr>
          <w:rFonts w:ascii="Arial" w:cs="Arial" w:eastAsia="Arial" w:hAnsi="Arial"/>
          <w:sz w:val="18"/>
          <w:szCs w:val="18"/>
          <w:color w:val="auto"/>
        </w:rPr>
        <w:t>”),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4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w:t>
      </w:r>
      <w:r>
        <w:rPr>
          <w:rFonts w:ascii="Arial" w:cs="Arial" w:eastAsia="Arial" w:hAnsi="Arial"/>
          <w:sz w:val="16"/>
          <w:szCs w:val="16"/>
          <w:u w:val="single" w:color="auto"/>
          <w:color w:val="auto"/>
        </w:rPr>
        <w:t>enforcement action</w:t>
      </w:r>
      <w:r>
        <w:rPr>
          <w:rFonts w:ascii="Arial" w:cs="Arial" w:eastAsia="Arial" w:hAnsi="Arial"/>
          <w:sz w:val="16"/>
          <w:szCs w:val="16"/>
          <w:color w:val="auto"/>
        </w:rPr>
        <w:t>”), and (y) having service of process made upon such stockholder in any such enforcement action by service upon such stockholder’s counsel in the foreign action as agent for such stockholder.</w:t>
      </w:r>
    </w:p>
    <w:p>
      <w:pPr>
        <w:spacing w:after="0" w:line="12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All of the securities offered by the Selling Holders pursuant to this prospectus will be sold by the Selling Holders for their respective accounts. We will not receive any of the proceeds from these sales. We will receive up to an aggregate of approximately $90,504,712.50 from the exercise of all Public Warrants and Private Placement Warrants assuming the exercise in full of all such Warrants for cash. Unless we inform you otherwise in a prospectus supplement, to the extent we elect the exercise of such Warrants for cash, we intend to use the net proceeds from such exercise for general corporate purposes. To the extent the Warrants are exercised on a “cashless” basis, we will receive no proceeds.</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4" w:name="page75"/>
    <w:bookmarkEnd w:id="74"/>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We expect to declare and pay dividends subject to the determination by our board of directors that (i) such dividends are permitted by applicable law and</w:t>
      </w:r>
    </w:p>
    <w:p>
      <w:pPr>
        <w:spacing w:after="0" w:line="46" w:lineRule="exact"/>
        <w:rPr>
          <w:sz w:val="20"/>
          <w:szCs w:val="20"/>
          <w:color w:val="auto"/>
        </w:rPr>
      </w:pPr>
    </w:p>
    <w:p>
      <w:pPr>
        <w:ind w:firstLine="8"/>
        <w:spacing w:after="0" w:line="285" w:lineRule="auto"/>
        <w:tabs>
          <w:tab w:leader="none" w:pos="2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have paid quarterly dividends to our stockholders of $0.07 per share of Class A common stock on each of September 21, 2021 and December 17, 2021, and on February 16, 2022, our board of directors declared a quarterly dividend of $0.07 per share of Class A common stock to be paid on March 17, 2022.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our board of directors and depends on various factors including our results of operations, financial condition, cash requirements, prospects and other factors deemed relevant by our board of directors. We cannot assure you that we will not reduce or eliminate dividends in the future.</w:t>
      </w:r>
    </w:p>
    <w:p>
      <w:pPr>
        <w:spacing w:after="0" w:line="11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addition, under Delaware law, our board of directors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reflects the impact of the January 2022 Offering, the Business Combination and the related adjustments.</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unaudited pro forma condensed combined statement of financial condition as of December 31, 2021 gives effect to the impact of the January 2022 Offering as if it had been consummated on that date.</w:t>
      </w:r>
    </w:p>
    <w:p>
      <w:pPr>
        <w:spacing w:after="0" w:line="11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unaudited pro forma condensed combined statement of operations for the year ended December 31, 2021 combines the unaudited condensed statement of operations of FTIV for the period from January 1, 2021 through June 24, 2021 (the Closing Date) with the audited consolidated statement of operations of PWP for the year ended December 31, 2021. The unaudited pro forma condensed combined statement of operations gives effect to the Business Combination, the January 2022 Offering and related adjustments as if they had been consummated on January 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which are not included in this prospectus; and</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PWP as of and for the year ended December 31, 2021, which are included elsewhere in this prospectus.</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had the Business Combination and the January 2022 Offering been consummated on the dates assumed or to project our consolidated results of operations or consolidated financial position for any future date or period.</w:t>
      </w:r>
    </w:p>
    <w:p>
      <w:pPr>
        <w:spacing w:after="0" w:line="12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Historical Financial and Other Information,</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related notes included elsewhere in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w:t>
      </w:r>
    </w:p>
    <w:p>
      <w:pPr>
        <w:spacing w:after="0" w:line="171" w:lineRule="exact"/>
        <w:rPr>
          <w:sz w:val="20"/>
          <w:szCs w:val="20"/>
          <w:color w:val="auto"/>
        </w:rPr>
      </w:pPr>
    </w:p>
    <w:p>
      <w:pPr>
        <w:ind w:left="660" w:right="660" w:hanging="328"/>
        <w:spacing w:after="0" w:line="277"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7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respectively, following the Closing; and</w:t>
      </w:r>
    </w:p>
    <w:p>
      <w:pPr>
        <w:spacing w:after="0" w:line="132" w:lineRule="exact"/>
        <w:rPr>
          <w:rFonts w:ascii="Arial" w:cs="Arial" w:eastAsia="Arial" w:hAnsi="Arial"/>
          <w:sz w:val="18"/>
          <w:szCs w:val="18"/>
          <w:color w:val="auto"/>
        </w:rPr>
      </w:pPr>
    </w:p>
    <w:p>
      <w:pPr>
        <w:ind w:left="660" w:right="460" w:hanging="328"/>
        <w:spacing w:after="0" w:line="263" w:lineRule="auto"/>
        <w:tabs>
          <w:tab w:leader="none" w:pos="6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33"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At the Closing, the Company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 The Company expects to retain the benefit of the remaining 15% of these cash tax savings.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the ownership interests in the Company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Shares</w:t>
            </w:r>
          </w:p>
        </w:tc>
        <w:tc>
          <w:tcPr>
            <w:tcW w:w="1520" w:type="dxa"/>
            <w:vAlign w:val="bottom"/>
          </w:tcPr>
          <w:p>
            <w:pPr>
              <w:jc w:val="right"/>
              <w:ind w:right="5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Founder Shares and Placement Shares*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at Closing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42,957</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Class A Common Stock Assuming All PWP OpCo Class A Partnership Units Exchanged**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50,154</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Class A Partnership Units Fully Exchanged)**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93,111</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Class B-2 Common Stock***</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vMerge w:val="continue"/>
          </w:tcPr>
          <w:p>
            <w:pPr>
              <w:spacing w:after="0"/>
              <w:rPr>
                <w:sz w:val="17"/>
                <w:szCs w:val="17"/>
                <w:color w:val="auto"/>
              </w:rPr>
            </w:pP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50,154</w:t>
            </w:r>
          </w:p>
        </w:tc>
        <w:tc>
          <w:tcPr>
            <w:tcW w:w="80" w:type="dxa"/>
            <w:vAlign w:val="bottom"/>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100% of Founder Shares and Placement Shares, including those subject to performance targets.</w:t>
      </w:r>
    </w:p>
    <w:p>
      <w:pPr>
        <w:spacing w:after="0" w:line="1" w:lineRule="exact"/>
        <w:rPr>
          <w:sz w:val="20"/>
          <w:szCs w:val="20"/>
          <w:color w:val="auto"/>
        </w:rPr>
      </w:pPr>
    </w:p>
    <w:p>
      <w:pPr>
        <w:ind w:left="340" w:right="80" w:hanging="332"/>
        <w:spacing w:after="0" w:line="260" w:lineRule="auto"/>
        <w:tabs>
          <w:tab w:leader="none" w:pos="301"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280" w:hanging="332"/>
        <w:spacing w:after="0" w:line="255" w:lineRule="auto"/>
        <w:tabs>
          <w:tab w:leader="none" w:pos="3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Upon consummation of the January 2022 Offering and the use of proceeds thereof, the ownership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Capitalization (in thousands)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Shares</w:t>
            </w:r>
          </w:p>
        </w:tc>
        <w:tc>
          <w:tcPr>
            <w:tcW w:w="1520" w:type="dxa"/>
            <w:vAlign w:val="bottom"/>
          </w:tcPr>
          <w:p>
            <w:pPr>
              <w:jc w:val="right"/>
              <w:ind w:right="5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39,881</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Founder Shares and Placement Shares*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Upon Consummation of January 2022 Offering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46,338</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Class A Common Stock Assuming All PWP OpCo Class A Partnership Units Exchanged**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46,656</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(Assuming PWP OpCo Units Fully Exchanged)**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92,994</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B-1 Common Stock and B-2 Common Stock***</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vMerge w:val="continue"/>
          </w:tcPr>
          <w:p>
            <w:pPr>
              <w:spacing w:after="0"/>
              <w:rPr>
                <w:sz w:val="17"/>
                <w:szCs w:val="17"/>
                <w:color w:val="auto"/>
              </w:rPr>
            </w:pP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46,656</w:t>
            </w:r>
          </w:p>
        </w:tc>
        <w:tc>
          <w:tcPr>
            <w:tcW w:w="80" w:type="dxa"/>
            <w:vAlign w:val="bottom"/>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100% of Founder Shares and Placement Shares, including those subject to performance targets.</w:t>
      </w:r>
    </w:p>
    <w:p>
      <w:pPr>
        <w:spacing w:after="0" w:line="1" w:lineRule="exact"/>
        <w:rPr>
          <w:sz w:val="20"/>
          <w:szCs w:val="20"/>
          <w:color w:val="auto"/>
        </w:rPr>
      </w:pPr>
    </w:p>
    <w:p>
      <w:pPr>
        <w:ind w:left="340" w:right="80" w:hanging="332"/>
        <w:spacing w:after="0" w:line="260" w:lineRule="auto"/>
        <w:tabs>
          <w:tab w:leader="none" w:pos="30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280" w:hanging="332"/>
        <w:spacing w:after="0" w:line="255" w:lineRule="auto"/>
        <w:tabs>
          <w:tab w:leader="none" w:pos="3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B-2 common stock carry 1 vote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has been treated as the equivalent of a capital transaction in which PWP issued stock for the net assets of FTIV. The net assets of FTIV have been recorded at historical cost, with no goodwill or other intangible assets recorded.</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Arial" w:cs="Arial" w:eastAsia="Arial" w:hAnsi="Arial"/>
          <w:sz w:val="16"/>
          <w:szCs w:val="16"/>
          <w:i w:val="1"/>
          <w:iCs w:val="1"/>
          <w:color w:val="auto"/>
        </w:rPr>
        <w:t>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7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adjustments in the unaudited pro forma condensed combined financial information have been identified and presented to provide relevant information necessary for an accurate understanding of the combined entity upon the Closing and consummation of the January 2022 Offering.</w:t>
      </w:r>
    </w:p>
    <w:p>
      <w:pPr>
        <w:spacing w:after="0" w:line="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Closing, the Company entered into a Tax Receivable Agreement with PWP OpCo, Professional Partners and certain other persons party thereto that will generally provide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 except for exchanges that occurred concurrently with the January 2022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ACUs and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1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the unaudited pro forma condensed combined financial information gives effect to the issuance of restricted stock units pursuant to the Transaction Pool Share Reserve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January 2022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PWP</w:t>
            </w:r>
          </w:p>
        </w:tc>
        <w:tc>
          <w:tcPr>
            <w:tcW w:w="160" w:type="dxa"/>
            <w:vAlign w:val="bottom"/>
          </w:tcPr>
          <w:p>
            <w:pPr>
              <w:spacing w:after="0"/>
              <w:rPr>
                <w:sz w:val="11"/>
                <w:szCs w:val="11"/>
                <w:color w:val="auto"/>
              </w:rPr>
            </w:pPr>
          </w:p>
        </w:tc>
        <w:tc>
          <w:tcPr>
            <w:tcW w:w="116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99"/>
              </w:rPr>
              <w:t>Offering</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Pro Forma Combined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Adjustments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502,773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ind w:left="600"/>
              <w:spacing w:after="0"/>
              <w:rPr>
                <w:sz w:val="20"/>
                <w:szCs w:val="20"/>
                <w:color w:val="auto"/>
              </w:rPr>
            </w:pPr>
            <w:r>
              <w:rPr>
                <w:rFonts w:ascii="Arial" w:cs="Arial" w:eastAsia="Arial" w:hAnsi="Arial"/>
                <w:sz w:val="18"/>
                <w:szCs w:val="18"/>
                <w:color w:val="auto"/>
              </w:rPr>
              <w:t>(1,302) (f)</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501,471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Accounts receivable, net of allowance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46,914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related parties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Fixed assets, net of accumulated 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 of accumulated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Right-of-use lease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39,912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26,694</w:t>
            </w: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722,628</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311,500</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Deferred compensation programs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27,805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due pursuant to Tax Receivable Agreement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451,737</w:t>
            </w:r>
          </w:p>
        </w:tc>
        <w:tc>
          <w:tcPr>
            <w:tcW w:w="0" w:type="dxa"/>
            <w:vAlign w:val="bottom"/>
          </w:tcPr>
          <w:p>
            <w:pPr>
              <w:spacing w:after="0"/>
              <w:rPr>
                <w:sz w:val="1"/>
                <w:szCs w:val="1"/>
                <w:color w:val="auto"/>
              </w:rPr>
            </w:pPr>
          </w:p>
        </w:tc>
      </w:tr>
      <w:tr>
        <w:trPr>
          <w:trHeight w:val="399"/>
        </w:trPr>
        <w:tc>
          <w:tcPr>
            <w:tcW w:w="6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Common stock, Class 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ind w:left="20"/>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Class B</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Additional paid-in-capital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10,972</w:t>
            </w:r>
          </w:p>
        </w:tc>
        <w:tc>
          <w:tcPr>
            <w:tcW w:w="500" w:type="dxa"/>
            <w:vAlign w:val="bottom"/>
          </w:tcPr>
          <w:p>
            <w:pPr>
              <w:ind w:left="20"/>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168,642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0"/>
              <w:spacing w:after="0"/>
              <w:rPr>
                <w:sz w:val="20"/>
                <w:szCs w:val="20"/>
                <w:color w:val="auto"/>
              </w:rPr>
            </w:pPr>
            <w:r>
              <w:rPr>
                <w:rFonts w:ascii="Arial" w:cs="Arial" w:eastAsia="Arial" w:hAnsi="Arial"/>
                <w:sz w:val="18"/>
                <w:szCs w:val="18"/>
                <w:color w:val="auto"/>
              </w:rPr>
              <w:t>(1,302) (f)</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 Accumulated deficit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Arial" w:cs="Arial" w:eastAsia="Arial" w:hAnsi="Arial"/>
                <w:sz w:val="18"/>
                <w:szCs w:val="18"/>
                <w:color w:val="auto"/>
              </w:rPr>
              <w:t>Total Perella Weinberg Partners equity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10,512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136,831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(10,973) (d)</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134,060</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equity</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271,352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5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270,891</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722,628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80" w:name="page81"/>
    <w:bookmarkEnd w:id="8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0"/>
              </w:rPr>
              <w:t>Transaction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Adjusted</w:t>
            </w:r>
          </w:p>
        </w:tc>
        <w:tc>
          <w:tcPr>
            <w:tcW w:w="14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9"/>
              </w:rPr>
              <w:t>January 2022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Before</w:t>
            </w:r>
          </w:p>
        </w:tc>
        <w:tc>
          <w:tcPr>
            <w:tcW w:w="14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FTIV</w:t>
            </w:r>
          </w:p>
        </w:tc>
        <w:tc>
          <w:tcPr>
            <w:tcW w:w="160" w:type="dxa"/>
            <w:vAlign w:val="bottom"/>
          </w:tcPr>
          <w:p>
            <w:pPr>
              <w:spacing w:after="0"/>
              <w:rPr>
                <w:sz w:val="11"/>
                <w:szCs w:val="11"/>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PWP</w:t>
            </w:r>
          </w:p>
        </w:tc>
        <w:tc>
          <w:tcPr>
            <w:tcW w:w="100" w:type="dxa"/>
            <w:vAlign w:val="bottom"/>
          </w:tcPr>
          <w:p>
            <w:pPr>
              <w:spacing w:after="0"/>
              <w:rPr>
                <w:sz w:val="11"/>
                <w:szCs w:val="11"/>
                <w:color w:val="auto"/>
              </w:rPr>
            </w:pPr>
          </w:p>
        </w:tc>
        <w:tc>
          <w:tcPr>
            <w:tcW w:w="86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January 2022</w:t>
            </w:r>
          </w:p>
        </w:tc>
        <w:tc>
          <w:tcPr>
            <w:tcW w:w="160" w:type="dxa"/>
            <w:vAlign w:val="bottom"/>
          </w:tcPr>
          <w:p>
            <w:pPr>
              <w:spacing w:after="0"/>
              <w:rPr>
                <w:sz w:val="11"/>
                <w:szCs w:val="11"/>
                <w:color w:val="auto"/>
              </w:rPr>
            </w:pPr>
          </w:p>
        </w:tc>
        <w:tc>
          <w:tcPr>
            <w:tcW w:w="1240" w:type="dxa"/>
            <w:vAlign w:val="bottom"/>
            <w:gridSpan w:val="2"/>
          </w:tcPr>
          <w:p>
            <w:pPr>
              <w:jc w:val="right"/>
              <w:ind w:right="660"/>
              <w:spacing w:after="0" w:line="135" w:lineRule="exact"/>
              <w:rPr>
                <w:sz w:val="20"/>
                <w:szCs w:val="20"/>
                <w:color w:val="auto"/>
              </w:rPr>
            </w:pPr>
            <w:r>
              <w:rPr>
                <w:rFonts w:ascii="Arial" w:cs="Arial" w:eastAsia="Arial" w:hAnsi="Arial"/>
                <w:sz w:val="14"/>
                <w:szCs w:val="14"/>
                <w:b w:val="1"/>
                <w:bCs w:val="1"/>
                <w:color w:val="auto"/>
              </w:rPr>
              <w:t>Offering</w:t>
            </w: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Offering</w:t>
            </w:r>
          </w:p>
        </w:tc>
        <w:tc>
          <w:tcPr>
            <w:tcW w:w="14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(aa)</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(bb)</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801,662</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504,364</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96,330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31,615</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w w:val="96"/>
              </w:rPr>
              <w:t>(dd)</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157,446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157,446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29,501</w:t>
            </w:r>
          </w:p>
        </w:tc>
        <w:tc>
          <w:tcPr>
            <w:tcW w:w="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4"/>
              </w:rPr>
              <w:t>(cc)</w:t>
            </w: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240"/>
              <w:spacing w:after="0"/>
              <w:rPr>
                <w:sz w:val="20"/>
                <w:szCs w:val="20"/>
                <w:color w:val="auto"/>
              </w:rPr>
            </w:pPr>
            <w:r>
              <w:rPr>
                <w:rFonts w:ascii="Arial" w:cs="Arial" w:eastAsia="Arial" w:hAnsi="Arial"/>
                <w:sz w:val="14"/>
                <w:szCs w:val="14"/>
                <w:color w:val="auto"/>
              </w:rPr>
              <w:t>Total compensation and benefits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600,694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61,116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661,810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661,810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41,891</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28,355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28,355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6,261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19,887</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14,489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expenses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735,078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61,116</w:t>
            </w: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799,099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799,099</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140"/>
              <w:spacing w:after="0"/>
              <w:rPr>
                <w:sz w:val="20"/>
                <w:szCs w:val="20"/>
                <w:color w:val="auto"/>
              </w:rPr>
            </w:pPr>
            <w:r>
              <w:rPr>
                <w:rFonts w:ascii="Arial" w:cs="Arial" w:eastAsia="Arial" w:hAnsi="Arial"/>
                <w:sz w:val="14"/>
                <w:szCs w:val="14"/>
                <w:color w:val="auto"/>
              </w:rPr>
              <w:t>Operating income (loss)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66,584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340"/>
              <w:spacing w:after="0"/>
              <w:rPr>
                <w:sz w:val="20"/>
                <w:szCs w:val="20"/>
                <w:color w:val="auto"/>
              </w:rPr>
            </w:pPr>
            <w:r>
              <w:rPr>
                <w:rFonts w:ascii="Arial" w:cs="Arial" w:eastAsia="Arial" w:hAnsi="Arial"/>
                <w:sz w:val="14"/>
                <w:szCs w:val="14"/>
                <w:color w:val="auto"/>
                <w:w w:val="95"/>
              </w:rPr>
              <w:t>(61,116)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income</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(10) (kk)</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debt extinguishment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Change in fair value of warrants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(10,440)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7,606</w:t>
            </w:r>
          </w:p>
        </w:tc>
        <w:tc>
          <w:tcPr>
            <w:tcW w:w="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(hh)</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before income taxes</w:t>
            </w: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w w:val="95"/>
              </w:rPr>
              <w:t>(53,520)</w:t>
            </w: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(39,008)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(39,008)</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Arial" w:cs="Arial" w:eastAsia="Arial" w:hAnsi="Arial"/>
                <w:sz w:val="14"/>
                <w:szCs w:val="14"/>
                <w:color w:val="auto"/>
              </w:rPr>
              <w:t>(10,698) (ee)</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(1,696) (jj)</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(31,321)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 (loss)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w w:val="95"/>
              </w:rPr>
              <w:t>(64,218)</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(70,329)</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13,444</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4"/>
                <w:szCs w:val="14"/>
                <w:color w:val="auto"/>
              </w:rPr>
              <w:t>(35,195) (ff)</w:t>
            </w: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(63,993)</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Arial" w:cs="Arial" w:eastAsia="Arial" w:hAnsi="Arial"/>
                <w:sz w:val="14"/>
                <w:szCs w:val="14"/>
                <w:color w:val="auto"/>
              </w:rPr>
              <w:t>(998) (jj)</w:t>
            </w: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(64,991)</w:t>
            </w: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(29,501) (cc)</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Arial" w:cs="Arial" w:eastAsia="Arial" w:hAnsi="Arial"/>
                <w:sz w:val="14"/>
                <w:szCs w:val="14"/>
                <w:color w:val="auto"/>
              </w:rPr>
              <w:t>(12,741) (ii)</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 (loss) attributable to Perella Weinberg Partners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13,219</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(5,338)</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Net income (loss) per share attributable to Class A common</w:t>
            </w: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0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80"/>
              <w:spacing w:after="0"/>
              <w:rPr>
                <w:sz w:val="20"/>
                <w:szCs w:val="20"/>
                <w:color w:val="auto"/>
              </w:rPr>
            </w:pPr>
            <w:r>
              <w:rPr>
                <w:rFonts w:ascii="Arial" w:cs="Arial" w:eastAsia="Arial" w:hAnsi="Arial"/>
                <w:sz w:val="14"/>
                <w:szCs w:val="14"/>
                <w:color w:val="auto"/>
              </w:rPr>
              <w:t>shareholders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(0.11) (gg)</w:t>
            </w:r>
          </w:p>
        </w:tc>
        <w:tc>
          <w:tcPr>
            <w:tcW w:w="0" w:type="dxa"/>
            <w:vAlign w:val="bottom"/>
          </w:tcPr>
          <w:p>
            <w:pPr>
              <w:spacing w:after="0"/>
              <w:rPr>
                <w:sz w:val="1"/>
                <w:szCs w:val="1"/>
                <w:color w:val="auto"/>
              </w:rPr>
            </w:pPr>
          </w:p>
        </w:tc>
      </w:tr>
      <w:tr>
        <w:trPr>
          <w:trHeight w:val="186"/>
        </w:trPr>
        <w:tc>
          <w:tcPr>
            <w:tcW w:w="408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480"/>
              <w:spacing w:after="0"/>
              <w:rPr>
                <w:sz w:val="20"/>
                <w:szCs w:val="20"/>
                <w:color w:val="auto"/>
              </w:rPr>
            </w:pPr>
            <w:r>
              <w:rPr>
                <w:rFonts w:ascii="Arial" w:cs="Arial" w:eastAsia="Arial" w:hAnsi="Arial"/>
                <w:sz w:val="14"/>
                <w:szCs w:val="14"/>
                <w:color w:val="auto"/>
              </w:rPr>
              <w:t>(0.71) (gg)</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42,595,712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46,899,646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92,749,911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93,556,111</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pro forma adjustments have been prepared as if the January 2022 Offering had occurred on December 31, 2021, in the case of the unaudited pro forma condensed combined statement of financial condition, and as if the January 2022 Offering and the Business Combination had been consummated on January 1, 2021, the beginning of the earliest period presented, in the case of the unaudited pro forma condensed combined statement of operations.</w:t>
      </w:r>
    </w:p>
    <w:p>
      <w:pPr>
        <w:spacing w:after="0" w:line="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GAAP.</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3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One-time direct and incremental transaction costs incurred prior to, or concurrent with, the January 2022 Offering are reflected in the unaudited pro forma condensed combined statement of financial condition as a direct reduction to the combined entity’s additional paid-in capital and are assumed to be cash settled.</w:t>
      </w:r>
    </w:p>
    <w:p>
      <w:pPr>
        <w:spacing w:after="0" w:line="13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Adjustments and Assumptions to the Unaudited Pro Forma Condensed Combined Statement of Financial Condition as of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condensed combined statement of financial condition as of December 31, 2021 reflects the following adjustments:</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PWP historical audited consolidated statement of financial condition as of December 31, 2021.</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pro forma adjustments to deferred tax assets to reflect the step-up for tax purposes of certain assets of PWP OpCo as a result of the acquisition of PWP OpCo Class A partnership units with the proceeds of the January 2022 Offering.</w:t>
      </w:r>
    </w:p>
    <w:p>
      <w:pPr>
        <w:spacing w:after="0" w:line="116" w:lineRule="exact"/>
        <w:rPr>
          <w:rFonts w:ascii="Arial" w:cs="Arial" w:eastAsia="Arial" w:hAnsi="Arial"/>
          <w:sz w:val="18"/>
          <w:szCs w:val="18"/>
          <w:color w:val="auto"/>
        </w:rPr>
      </w:pPr>
    </w:p>
    <w:p>
      <w:pPr>
        <w:ind w:left="660" w:hanging="328"/>
        <w:spacing w:after="0" w:line="301" w:lineRule="auto"/>
        <w:tabs>
          <w:tab w:leader="none" w:pos="657"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pro forma adjustments to record the Amount due pursuant to the Tax Receivable Agreement as a result of the acquisition discussed in (b) above. Under the terms of the Tax Receivable Agreement, the Company will make payments to the TRA Parties in respect of 85% of the net tax benefit to the Company of certain tax attributes (calculated using certain assumptions, and subject to the terms of the Tax Receivable Agreement). The tax impacts of the transaction were estimated based on the applicable law in effect on December 31, 2021.</w:t>
      </w:r>
    </w:p>
    <w:p>
      <w:pPr>
        <w:spacing w:after="0" w:line="103" w:lineRule="exact"/>
        <w:rPr>
          <w:rFonts w:ascii="Arial" w:cs="Arial" w:eastAsia="Arial" w:hAnsi="Arial"/>
          <w:sz w:val="16"/>
          <w:szCs w:val="16"/>
          <w:color w:val="auto"/>
        </w:rPr>
      </w:pPr>
    </w:p>
    <w:p>
      <w:pPr>
        <w:ind w:left="660" w:right="20" w:hanging="328"/>
        <w:spacing w:after="0" w:line="257"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pro forma adjustments to reflect the exchange of PWP OpCo Class A partnership units (and the redemption of a corresponding number of shares of Class B common stock) for cash, pursuant to the PWP OpCo LPA, using the proceeds from the issuance of shares of Class A common stock from the January 2022 Offering. Included in such adjustment is an additional $1.3 million of direct and incremental costs associated with the January 2022 Offering and the adjustment to non-controlling interests as a result of PWP’s increased ownership in PWP OpCo as a result of the January 2022 Offering and the exchanges described above.</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pro forma adjustment for the net impact to equity resulting from the tax adjustments in (b) and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2" w:name="page83"/>
    <w:bookmarkEnd w:id="82"/>
    <w:p>
      <w:pPr>
        <w:spacing w:after="0" w:line="144" w:lineRule="exact"/>
        <w:rPr>
          <w:sz w:val="20"/>
          <w:szCs w:val="20"/>
          <w:color w:val="auto"/>
        </w:rPr>
      </w:pPr>
    </w:p>
    <w:p>
      <w:pPr>
        <w:ind w:left="660" w:right="280" w:hanging="328"/>
        <w:spacing w:after="0" w:line="277" w:lineRule="auto"/>
        <w:tabs>
          <w:tab w:leader="none" w:pos="651"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Represents the pro forma adjustments to record direct and incremental costs associated with the January 2022 Offering, including certain legal, accounting and other related expenses, which are reflected as a reduction to additional paid-in capital.</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Adjustments and Assumptions to the Unaudited Pro Forma Condensed Combined Statement of Operations for the Year Ended 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statement of operations for the year ended December 31, 2021 reflects the following adjustments:</w:t>
      </w:r>
    </w:p>
    <w:p>
      <w:pPr>
        <w:spacing w:after="0" w:line="183" w:lineRule="exact"/>
        <w:rPr>
          <w:sz w:val="20"/>
          <w:szCs w:val="20"/>
          <w:color w:val="auto"/>
        </w:rPr>
      </w:pPr>
    </w:p>
    <w:p>
      <w:pPr>
        <w:ind w:left="660" w:right="480" w:hanging="328"/>
        <w:spacing w:after="0" w:line="277" w:lineRule="auto"/>
        <w:tabs>
          <w:tab w:leader="none" w:pos="6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period from January 1, 2021 through June 24, 2021 (the Closing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(bb)Represents the PWP historical audited consolidated statement of operations for the year ended December 31, 2021.</w:t>
      </w:r>
    </w:p>
    <w:p>
      <w:pPr>
        <w:spacing w:after="0" w:line="171" w:lineRule="exact"/>
        <w:rPr>
          <w:sz w:val="20"/>
          <w:szCs w:val="20"/>
          <w:color w:val="auto"/>
        </w:rPr>
      </w:pPr>
    </w:p>
    <w:p>
      <w:pPr>
        <w:ind w:left="660" w:right="300" w:hanging="328"/>
        <w:spacing w:after="0" w:line="301" w:lineRule="auto"/>
        <w:tabs>
          <w:tab w:leader="none" w:pos="6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03" w:lineRule="exact"/>
        <w:rPr>
          <w:sz w:val="20"/>
          <w:szCs w:val="20"/>
          <w:color w:val="auto"/>
        </w:rPr>
      </w:pPr>
    </w:p>
    <w:p>
      <w:pPr>
        <w:ind w:left="660" w:hanging="323"/>
        <w:spacing w:after="0" w:line="277" w:lineRule="auto"/>
        <w:rPr>
          <w:sz w:val="20"/>
          <w:szCs w:val="20"/>
          <w:color w:val="auto"/>
        </w:rPr>
      </w:pPr>
      <w:r>
        <w:rPr>
          <w:rFonts w:ascii="Arial" w:cs="Arial" w:eastAsia="Arial" w:hAnsi="Arial"/>
          <w:sz w:val="18"/>
          <w:szCs w:val="18"/>
          <w:color w:val="auto"/>
        </w:rPr>
        <w:t>(dd)Represents the pro forma adjustment to record the expense related to the restricted stock units ("RSUs") and performance stock units ("PSUs") that were granted in connection with the Business Combination.</w:t>
      </w:r>
    </w:p>
    <w:p>
      <w:pPr>
        <w:spacing w:after="0" w:line="116" w:lineRule="exact"/>
        <w:rPr>
          <w:sz w:val="20"/>
          <w:szCs w:val="20"/>
          <w:color w:val="auto"/>
        </w:rPr>
      </w:pPr>
    </w:p>
    <w:p>
      <w:pPr>
        <w:ind w:left="660" w:right="40" w:hanging="328"/>
        <w:spacing w:after="0" w:line="254"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660" w:right="20" w:hanging="328"/>
        <w:spacing w:after="0" w:line="255" w:lineRule="auto"/>
        <w:tabs>
          <w:tab w:leader="none" w:pos="6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RSUs during the year ended December 31, 2021. Historical equity-based compensation amounts and the expense related to ACUs and VCUs discussed in adjustment (cc) have been allocated to non-controlling interests as the vesting of ACUs and VCUs do not impact the Company as there is no additional dilution to the Company’s shareholders and no impact to the allocation of distributions from PWP OpCo to each of its investors (including the Company).</w:t>
      </w:r>
    </w:p>
    <w:p>
      <w:pPr>
        <w:spacing w:after="0" w:line="138" w:lineRule="exact"/>
        <w:rPr>
          <w:sz w:val="20"/>
          <w:szCs w:val="20"/>
          <w:color w:val="auto"/>
        </w:rPr>
      </w:pPr>
    </w:p>
    <w:p>
      <w:pPr>
        <w:jc w:val="both"/>
        <w:ind w:left="660" w:right="280" w:hanging="323"/>
        <w:spacing w:after="0" w:line="301" w:lineRule="auto"/>
        <w:rPr>
          <w:sz w:val="20"/>
          <w:szCs w:val="20"/>
          <w:color w:val="auto"/>
        </w:rPr>
      </w:pPr>
      <w:r>
        <w:rPr>
          <w:rFonts w:ascii="Arial" w:cs="Arial" w:eastAsia="Arial" w:hAnsi="Arial"/>
          <w:sz w:val="16"/>
          <w:szCs w:val="16"/>
          <w:color w:val="auto"/>
        </w:rPr>
        <w:t>(gg)Basic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03"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Weighted average number of Class A common stock outstanding Basic and Diluted for the year ended December 31, 2021 includes 42,957,000 shares that were outstanding as of the completion of the Business Combination, 1,440,613 shares related to RSUs that were granted following the completion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44" w:lineRule="exact"/>
        <w:rPr>
          <w:sz w:val="20"/>
          <w:szCs w:val="20"/>
          <w:color w:val="auto"/>
        </w:rPr>
      </w:pPr>
    </w:p>
    <w:p>
      <w:pPr>
        <w:ind w:left="328" w:right="380"/>
        <w:spacing w:after="0" w:line="277" w:lineRule="auto"/>
        <w:rPr>
          <w:sz w:val="20"/>
          <w:szCs w:val="20"/>
          <w:color w:val="auto"/>
        </w:rPr>
      </w:pPr>
      <w:r>
        <w:rPr>
          <w:rFonts w:ascii="Arial" w:cs="Arial" w:eastAsia="Arial" w:hAnsi="Arial"/>
          <w:sz w:val="18"/>
          <w:szCs w:val="18"/>
          <w:color w:val="auto"/>
        </w:rPr>
        <w:t>Combination and are subject to a time-based vesting schedule, 3,502,033 shares related to the January 2022 Offering, and an adjustment for treasury stock purchases that occurred in 2021.</w:t>
      </w:r>
    </w:p>
    <w:p>
      <w:pPr>
        <w:spacing w:after="0" w:line="116" w:lineRule="exact"/>
        <w:rPr>
          <w:sz w:val="20"/>
          <w:szCs w:val="20"/>
          <w:color w:val="auto"/>
        </w:rPr>
      </w:pPr>
    </w:p>
    <w:p>
      <w:pPr>
        <w:ind w:left="328"/>
        <w:spacing w:after="0" w:line="277" w:lineRule="auto"/>
        <w:rPr>
          <w:sz w:val="20"/>
          <w:szCs w:val="20"/>
          <w:color w:val="auto"/>
        </w:rPr>
      </w:pPr>
      <w:r>
        <w:rPr>
          <w:rFonts w:ascii="Arial" w:cs="Arial" w:eastAsia="Arial" w:hAnsi="Arial"/>
          <w:sz w:val="18"/>
          <w:szCs w:val="18"/>
          <w:color w:val="auto"/>
        </w:rPr>
        <w:t>The following table sets forth a reconciliation of the numerators and denominators used to compute pro forma diluted net income (loss) per share of Class A common stock:</w:t>
      </w:r>
    </w:p>
    <w:p>
      <w:pPr>
        <w:spacing w:after="0" w:line="112"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w w:val="95"/>
              </w:rPr>
              <w:t>Diluted net income (loss) per share of Class A common stock for the year ended December 31, 2021:</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9"/>
        </w:trPr>
        <w:tc>
          <w:tcPr>
            <w:tcW w:w="8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Net income (loss) attributable to the Company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(5,338)</w:t>
            </w:r>
          </w:p>
        </w:tc>
      </w:tr>
      <w:tr>
        <w:trPr>
          <w:trHeight w:val="230"/>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assumed exchange of PWP OpCo common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(64,991)</w:t>
            </w:r>
          </w:p>
        </w:tc>
      </w:tr>
      <w:tr>
        <w:trPr>
          <w:trHeight w:val="229"/>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8"/>
              </w:rPr>
              <w:t>Estimated tax expense of assumed exchange of PWP OpCo common units for Class A common stock</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Weighted average number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46,899,646</w:t>
            </w: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 exchange of PWP OpCo common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46,656,465</w:t>
            </w:r>
          </w:p>
        </w:tc>
      </w:tr>
      <w:tr>
        <w:trPr>
          <w:trHeight w:val="223"/>
        </w:trPr>
        <w:tc>
          <w:tcPr>
            <w:tcW w:w="8260" w:type="dxa"/>
            <w:vAlign w:val="bottom"/>
          </w:tcPr>
          <w:p>
            <w:pPr>
              <w:ind w:left="240"/>
              <w:spacing w:after="0"/>
              <w:rPr>
                <w:sz w:val="20"/>
                <w:szCs w:val="20"/>
                <w:color w:val="auto"/>
              </w:rPr>
            </w:pPr>
            <w:r>
              <w:rPr>
                <w:rFonts w:ascii="Arial" w:cs="Arial" w:eastAsia="Arial" w:hAnsi="Arial"/>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93,556,111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28"/>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328" w:right="780" w:hanging="323"/>
        <w:spacing w:after="0" w:line="277" w:lineRule="auto"/>
        <w:rPr>
          <w:sz w:val="20"/>
          <w:szCs w:val="20"/>
          <w:color w:val="auto"/>
        </w:rPr>
      </w:pPr>
      <w:r>
        <w:rPr>
          <w:rFonts w:ascii="Arial" w:cs="Arial" w:eastAsia="Arial" w:hAnsi="Arial"/>
          <w:sz w:val="18"/>
          <w:szCs w:val="18"/>
          <w:color w:val="auto"/>
        </w:rPr>
        <w:t>(hh)Reflects the pro forma adjustment to interest expense assuming the paydown of all outstanding debt from the proceeds of the Business Combination as if it occurred on January 1, 2021.</w:t>
      </w:r>
    </w:p>
    <w:p>
      <w:pPr>
        <w:spacing w:after="0" w:line="116" w:lineRule="exact"/>
        <w:rPr>
          <w:sz w:val="20"/>
          <w:szCs w:val="20"/>
          <w:color w:val="auto"/>
        </w:rPr>
      </w:pPr>
    </w:p>
    <w:p>
      <w:pPr>
        <w:jc w:val="both"/>
        <w:ind w:left="328" w:right="440" w:hanging="328"/>
        <w:spacing w:after="0" w:line="286" w:lineRule="auto"/>
        <w:tabs>
          <w:tab w:leader="none" w:pos="3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the pro forma adjustments to adjust non-controlling interests for the portion of net income (loss) attributable to non-controlling interests resulting from adjustments (dd), (hh) and (kk) based on the aggregate Professional Partners and ILPs ownership as depicted in the Capitalization table above, adjusted for the assumed vesting of RSUs during the year ended December 31, 2021.</w:t>
      </w:r>
    </w:p>
    <w:p>
      <w:pPr>
        <w:spacing w:after="0" w:line="111" w:lineRule="exact"/>
        <w:rPr>
          <w:rFonts w:ascii="Arial" w:cs="Arial" w:eastAsia="Arial" w:hAnsi="Arial"/>
          <w:sz w:val="17"/>
          <w:szCs w:val="17"/>
          <w:color w:val="auto"/>
        </w:rPr>
      </w:pPr>
    </w:p>
    <w:p>
      <w:pPr>
        <w:ind w:left="328" w:hanging="328"/>
        <w:spacing w:after="0" w:line="308" w:lineRule="auto"/>
        <w:tabs>
          <w:tab w:leader="none" w:pos="3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the pro forma impact to Income tax benefit (expense) and Net income (loss) attributable to non-controlling interests as a result of PWP’s increased ownership in PWP OpCo as a result of the January 2022 Offering and the related acquisition described above.</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8"/>
          <w:szCs w:val="18"/>
          <w:color w:val="auto"/>
        </w:rPr>
        <w:t>(kk)Reflects the pro forma adjustment to eliminate the interest income on the investments held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652" w:top="1440" w:right="479" w:bottom="1440" w:gutter="0" w:footer="0" w:header="0"/>
        </w:sectPr>
      </w:pPr>
    </w:p>
    <w:bookmarkStart w:id="84" w:name="page85"/>
    <w:bookmarkEnd w:id="8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unaudited pro forma per share information of the Company for the fiscal year ended December 31, 2021, after giving effect to the Business Combination and the January 2022 Offering.</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the January 2022 Offering as if they had occurred on December 31, 2021 and January 1, 2021, respectively.</w:t>
      </w:r>
    </w:p>
    <w:p>
      <w:pPr>
        <w:spacing w:after="0" w:line="1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w:t>
      </w:r>
      <w:r>
        <w:rPr>
          <w:rFonts w:ascii="Arial" w:cs="Arial" w:eastAsia="Arial" w:hAnsi="Arial"/>
          <w:sz w:val="16"/>
          <w:szCs w:val="16"/>
          <w:color w:val="auto"/>
        </w:rPr>
        <w:t>” and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w:t>
      </w:r>
      <w:r>
        <w:rPr>
          <w:rFonts w:ascii="Arial" w:cs="Arial" w:eastAsia="Arial" w:hAnsi="Arial"/>
          <w:sz w:val="16"/>
          <w:szCs w:val="16"/>
          <w:color w:val="auto"/>
        </w:rPr>
        <w:t>” contained elsewhere in this prospectus and the audited historical financial statements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the January 2022 Offering or to project our results of operations that may be achieved after the Business Combination or the January 2022 Offering. The unaudited pro forma book value per share information below does not purport to represent our actual book value giving effect to the Business Combination and the January 2022 Offering nor the book value per share for any future date or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PWP</w:t>
            </w:r>
          </w:p>
        </w:tc>
        <w:tc>
          <w:tcPr>
            <w:tcW w:w="260" w:type="dxa"/>
            <w:vAlign w:val="bottom"/>
          </w:tcPr>
          <w:p>
            <w:pPr>
              <w:spacing w:after="0"/>
              <w:rPr>
                <w:sz w:val="14"/>
                <w:szCs w:val="14"/>
                <w:color w:val="auto"/>
              </w:rPr>
            </w:pPr>
          </w:p>
        </w:tc>
        <w:tc>
          <w:tcPr>
            <w:tcW w:w="1200" w:type="dxa"/>
            <w:vAlign w:val="bottom"/>
          </w:tcPr>
          <w:p>
            <w:pPr>
              <w:jc w:val="right"/>
              <w:ind w:right="322"/>
              <w:spacing w:after="0"/>
              <w:rPr>
                <w:sz w:val="20"/>
                <w:szCs w:val="20"/>
                <w:color w:val="auto"/>
              </w:rPr>
            </w:pPr>
            <w:r>
              <w:rPr>
                <w:rFonts w:ascii="Arial" w:cs="Arial" w:eastAsia="Arial" w:hAnsi="Arial"/>
                <w:sz w:val="14"/>
                <w:szCs w:val="14"/>
                <w:b w:val="1"/>
                <w:bCs w:val="1"/>
                <w:color w:val="auto"/>
              </w:rPr>
              <w:t>Pro Forma</w:t>
            </w:r>
          </w:p>
        </w:tc>
      </w:tr>
      <w:tr>
        <w:trPr>
          <w:trHeight w:val="186"/>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Historical</w:t>
            </w:r>
          </w:p>
        </w:tc>
        <w:tc>
          <w:tcPr>
            <w:tcW w:w="260" w:type="dxa"/>
            <w:vAlign w:val="bottom"/>
          </w:tcPr>
          <w:p>
            <w:pPr>
              <w:spacing w:after="0"/>
              <w:rPr>
                <w:sz w:val="16"/>
                <w:szCs w:val="16"/>
                <w:color w:val="auto"/>
              </w:rPr>
            </w:pPr>
          </w:p>
        </w:tc>
        <w:tc>
          <w:tcPr>
            <w:tcW w:w="1200" w:type="dxa"/>
            <w:vAlign w:val="bottom"/>
          </w:tcPr>
          <w:p>
            <w:pPr>
              <w:jc w:val="right"/>
              <w:ind w:right="322"/>
              <w:spacing w:after="0"/>
              <w:rPr>
                <w:sz w:val="20"/>
                <w:szCs w:val="20"/>
                <w:color w:val="auto"/>
              </w:rPr>
            </w:pPr>
            <w:r>
              <w:rPr>
                <w:rFonts w:ascii="Arial" w:cs="Arial" w:eastAsia="Arial" w:hAnsi="Arial"/>
                <w:sz w:val="14"/>
                <w:szCs w:val="14"/>
                <w:b w:val="1"/>
                <w:bCs w:val="1"/>
                <w:color w:val="auto"/>
              </w:rPr>
              <w:t>Combined</w:t>
            </w:r>
          </w:p>
        </w:tc>
      </w:tr>
      <w:tr>
        <w:trPr>
          <w:trHeight w:val="26"/>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2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Book value per share, December 31, 2021</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Basic net income (loss) per share of Class A common stock, December 31, 2021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share of Class A common stock, December 31, 2021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Weighted average shares of Class A common stock outstanding—basic, December 31, 2021</w:t>
            </w:r>
          </w:p>
        </w:tc>
        <w:tc>
          <w:tcPr>
            <w:tcW w:w="2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42,595,712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46,899,646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of Class A common stock outstanding—diluted, December 31, 2021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92,749,911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93,556,111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shares of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Business Combination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33" w:lineRule="exact"/>
        <w:rPr>
          <w:sz w:val="20"/>
          <w:szCs w:val="20"/>
          <w:color w:val="auto"/>
        </w:rPr>
      </w:pPr>
    </w:p>
    <w:p>
      <w:pPr>
        <w:ind w:left="660" w:right="220" w:hanging="328"/>
        <w:spacing w:after="0" w:line="311" w:lineRule="auto"/>
        <w:tabs>
          <w:tab w:leader="none" w:pos="65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acquired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w:t>
      </w:r>
    </w:p>
    <w:p>
      <w:pPr>
        <w:spacing w:after="0" w:line="94"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60" w:right="60" w:hanging="328"/>
        <w:spacing w:after="0" w:line="273"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23" w:lineRule="exact"/>
        <w:rPr>
          <w:rFonts w:ascii="Arial" w:cs="Arial" w:eastAsia="Arial" w:hAnsi="Arial"/>
          <w:sz w:val="17"/>
          <w:szCs w:val="17"/>
          <w:color w:val="auto"/>
        </w:rPr>
      </w:pPr>
    </w:p>
    <w:p>
      <w:pPr>
        <w:ind w:left="660" w:hanging="328"/>
        <w:spacing w:after="0" w:line="259"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repayment of all outstanding borrowings under the Revolving Credit Agreement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Proxy Statement.</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as well as the PIPE Investment in the amount of $125,000,000.</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Amended and Restated Registration Rights Agreement and Stockholders Agreement (each of which is described below).</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the Closing Date, the combined company was organized into an “Up-C” structure, pursuant to which, among other things, the Company acquired interests in PWP OpCo, which is jointly-owned by the Company, Professional Partners and certain existing partners of PWP OpCo, following which PWP OpCo serves as the Company’s operating partnership.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1700" w:type="dxa"/>
            <w:vAlign w:val="bottom"/>
          </w:tcPr>
          <w:p>
            <w:pPr>
              <w:jc w:val="right"/>
              <w:ind w:right="6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5"/>
        </w:trPr>
        <w:tc>
          <w:tcPr>
            <w:tcW w:w="788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Founder Shares Held by the Sponsor</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Founder Shares and Placement Shares</w:t>
            </w:r>
            <w:r>
              <w:rPr>
                <w:rFonts w:ascii="Arial" w:cs="Arial" w:eastAsia="Arial" w:hAnsi="Arial"/>
                <w:sz w:val="23"/>
                <w:szCs w:val="23"/>
                <w:color w:val="auto"/>
                <w:vertAlign w:val="superscript"/>
              </w:rPr>
              <w:t>(1)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5,456,667</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Total Founder and Placement Shares</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6,456,667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A Common Stock (Excluding Founder Shares and Placement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40,483,126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46,939,793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7"/>
              </w:rPr>
              <w:t>Additional Class A Common Stock Assuming All PWP OpCo Class A Partnership Units Exchanged</w:t>
            </w:r>
            <w:r>
              <w:rPr>
                <w:rFonts w:ascii="Arial" w:cs="Arial" w:eastAsia="Arial" w:hAnsi="Arial"/>
                <w:sz w:val="23"/>
                <w:szCs w:val="23"/>
                <w:color w:val="auto"/>
                <w:w w:val="97"/>
                <w:vertAlign w:val="superscript"/>
              </w:rPr>
              <w:t>(2)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46,365,273</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49.7 %</w:t>
            </w:r>
          </w:p>
        </w:tc>
        <w:tc>
          <w:tcPr>
            <w:tcW w:w="0" w:type="dxa"/>
            <w:vAlign w:val="bottom"/>
          </w:tcPr>
          <w:p>
            <w:pPr>
              <w:spacing w:after="0"/>
              <w:rPr>
                <w:sz w:val="1"/>
                <w:szCs w:val="1"/>
                <w:color w:val="auto"/>
              </w:rPr>
            </w:pPr>
          </w:p>
        </w:tc>
      </w:tr>
      <w:tr>
        <w:trPr>
          <w:trHeight w:val="156"/>
        </w:trPr>
        <w:tc>
          <w:tcPr>
            <w:tcW w:w="7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Class A Common Stock (Assuming PWP OpCo Class A Partnership Units are Fully Exchanged) Excluding</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93,305,066</w:t>
            </w:r>
          </w:p>
        </w:tc>
        <w:tc>
          <w:tcPr>
            <w:tcW w:w="100" w:type="dxa"/>
            <w:vAlign w:val="bottom"/>
            <w:shd w:val="clear" w:color="auto" w:fill="CCEEFF"/>
          </w:tcPr>
          <w:p>
            <w:pPr>
              <w:spacing w:after="0"/>
              <w:rPr>
                <w:sz w:val="13"/>
                <w:szCs w:val="13"/>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Unvested RSUs and Warrants</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Warrants Struck at $11.50 (Excluded Above)</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80" w:type="dxa"/>
            <w:vAlign w:val="bottom"/>
            <w:vMerge w:val="continue"/>
          </w:tcPr>
          <w:p>
            <w:pPr>
              <w:spacing w:after="0"/>
              <w:rPr>
                <w:sz w:val="17"/>
                <w:szCs w:val="17"/>
                <w:color w:val="auto"/>
              </w:rPr>
            </w:pPr>
          </w:p>
        </w:tc>
        <w:tc>
          <w:tcPr>
            <w:tcW w:w="1560" w:type="dxa"/>
            <w:vAlign w:val="bottom"/>
          </w:tcPr>
          <w:p>
            <w:pPr>
              <w:jc w:val="right"/>
              <w:spacing w:after="0" w:line="204" w:lineRule="exact"/>
              <w:rPr>
                <w:sz w:val="20"/>
                <w:szCs w:val="20"/>
                <w:color w:val="auto"/>
              </w:rPr>
            </w:pPr>
            <w:r>
              <w:rPr>
                <w:rFonts w:ascii="Arial" w:cs="Arial" w:eastAsia="Arial" w:hAnsi="Arial"/>
                <w:sz w:val="18"/>
                <w:szCs w:val="18"/>
                <w:color w:val="auto"/>
              </w:rPr>
              <w:t>7,869,975</w:t>
            </w:r>
          </w:p>
        </w:tc>
        <w:tc>
          <w:tcPr>
            <w:tcW w:w="100" w:type="dxa"/>
            <w:vAlign w:val="bottom"/>
          </w:tcPr>
          <w:p>
            <w:pPr>
              <w:spacing w:after="0"/>
              <w:rPr>
                <w:sz w:val="17"/>
                <w:szCs w:val="17"/>
                <w:color w:val="auto"/>
              </w:rPr>
            </w:pPr>
          </w:p>
        </w:tc>
        <w:tc>
          <w:tcPr>
            <w:tcW w:w="170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All amounts on this capitalization table are approximate and are provided as of February 28, 2022.</w:t>
      </w:r>
    </w:p>
    <w:p>
      <w:pPr>
        <w:spacing w:after="0" w:line="43" w:lineRule="exact"/>
        <w:rPr>
          <w:sz w:val="20"/>
          <w:szCs w:val="20"/>
          <w:color w:val="auto"/>
        </w:rPr>
      </w:pPr>
    </w:p>
    <w:p>
      <w:pPr>
        <w:ind w:left="340" w:right="20" w:hanging="332"/>
        <w:spacing w:after="0" w:line="262" w:lineRule="auto"/>
        <w:tabs>
          <w:tab w:leader="none" w:pos="332"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August 9, 2021, the Company repurchased 1.0 million Founder Shares from the Sponsor, out of a total of 6.8 million Founder Shares outstanding prior to such repurchase, at a purchase price of $12.00 per share. 23.4% of the remaining Founder Shares (approximately 1.4 million of 5.8 million) and all of the approximately 0.6 million Placement Shares were subject to transfer restrictions that expired on December 24, 2021. 76.6% of the remaining Founder Shares (approximately 4.5 million of 5.8 million) were originally divided equally into four tranches that cannot be sold or transferred until the later of (i) the six month anniversary of Closing and (ii) the earlier of (x) the ten year anniversary of Closing and (y) the date that is 15 days following the first date that the closing stock price exceeds $12.00, $13.50, $15.00 and $17.00, respectively, for 20 out of any 30 consecutive trading days. As of September 30, 2021, the $12.00 and $13.50 performance targets had been met and the Founder Shares in these tranches were no longer subject to such restrictions as of December 24, 2021. On January 7, 2022, the Sponsor distributed approximately 5.5 million Founder and Placement Shares to its members as part of the Sponsor Distribution, after which the Sponsor owned 1.0 million Founder Shares. The 1.0 million Founder Shares retained by the Sponsor continue to be subject to transfer restrictions until the $15 Threshold is met. Approximately 1.7 million of the Founder Shares distributed in the Sponsor Distribution remain subject to transfer restrictions until either the $15 Threshold or the $17 Threshold, as applicable, is met.</w:t>
      </w:r>
    </w:p>
    <w:p>
      <w:pPr>
        <w:spacing w:after="0" w:line="1" w:lineRule="exact"/>
        <w:rPr>
          <w:rFonts w:ascii="Arial" w:cs="Arial" w:eastAsia="Arial" w:hAnsi="Arial"/>
          <w:sz w:val="13"/>
          <w:szCs w:val="13"/>
          <w:color w:val="auto"/>
        </w:rPr>
      </w:pPr>
    </w:p>
    <w:p>
      <w:pPr>
        <w:ind w:left="340" w:right="40" w:hanging="332"/>
        <w:spacing w:after="0" w:line="248"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Assumes that all PWP OpCo Class A partnership units and shares of Class B-1 and Class B-2 common stock held by Professional Partners and ILPs, respectively, are exchanged for Class A common stock. As the shares of Class B-1 and Class B-2 common stock have de minimis economic rights, they have been excluded from the calculations in this table of Class A common stock issued upon exchange of PWP OpCo Class A partnership units and shares of Class B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Closing, we entered into the Amended and Restated Registration Rights Agreement, with the Sponsor, Professional Partners, and the third party investor limited partners of PWP OpCo (other than Professional Partners) (each such limited partner, an “</w:t>
      </w:r>
      <w:r>
        <w:rPr>
          <w:rFonts w:ascii="Arial" w:cs="Arial" w:eastAsia="Arial" w:hAnsi="Arial"/>
          <w:sz w:val="17"/>
          <w:szCs w:val="17"/>
          <w:u w:val="single" w:color="auto"/>
          <w:color w:val="auto"/>
        </w:rPr>
        <w:t>ILP</w:t>
      </w:r>
      <w:r>
        <w:rPr>
          <w:rFonts w:ascii="Arial" w:cs="Arial" w:eastAsia="Arial" w:hAnsi="Arial"/>
          <w:sz w:val="17"/>
          <w:szCs w:val="17"/>
          <w:color w:val="auto"/>
        </w:rPr>
        <w:t>”)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registration statement of which this prospectus is a part pursuant to Rule 415 under the Securities Act, which became effective on July 26, 2021.</w:t>
      </w:r>
    </w:p>
    <w:p>
      <w:pPr>
        <w:spacing w:after="0" w:line="14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w:t>
      </w:r>
    </w:p>
    <w:p>
      <w:pPr>
        <w:spacing w:after="0" w:line="11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the Closing Date, the Company and Professional Partners entered into a stockholders agreement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 (i) any amendment to the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3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Additionally, for so long as the Secondary Class B Condition is satisfied, Professional Partners will have approval rights over the following actions: (a) any amendment to the Restated Certificate of Incorporation or Amended and Restated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the Closing Date, PWP OpCo adopted an Amended and Restated Agreement of Limited Partnership of PWP OpCo (as amended, restated, modified or supplemented from time to time, the “</w:t>
      </w:r>
      <w:r>
        <w:rPr>
          <w:rFonts w:ascii="Arial" w:cs="Arial" w:eastAsia="Arial" w:hAnsi="Arial"/>
          <w:sz w:val="18"/>
          <w:szCs w:val="18"/>
          <w:u w:val="single" w:color="auto"/>
          <w:color w:val="auto"/>
        </w:rPr>
        <w:t>PWP OpCo LPA</w:t>
      </w:r>
      <w:r>
        <w:rPr>
          <w:rFonts w:ascii="Arial" w:cs="Arial" w:eastAsia="Arial" w:hAnsi="Arial"/>
          <w:sz w:val="18"/>
          <w:szCs w:val="18"/>
          <w:color w:val="auto"/>
        </w:rPr>
        <w:t>”). We operate our business through PWP OpCo and its subsidiaries. The provisions governing the operations of PWP OpCo and the rights and obligations of its partners are set forth in the PWP OpCo LPA, the material terms of which are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Through our control of PWP GP, the general partner of PWP OpCo, we have unilateral control (subject to the consent of PWP OpCo’s partners on certain limited matters) over the affairs and decisions of PWP OpCo, including the appointment of officers and directors of PWP OpCo. As such, including through such officers and directors, we are responsible for all operational and administrative decisions of PWP OpCo and the day-to-day management of PWP OpCo’s business. Furthermore, PWP GP cannot be removed as the general partner without our approval. No PWP OpCo Class A unitholders, in their capacity as such, have any authority or right to control the management of PWP OpCo or to bind it in connection with any matter. However, Professional Partners, which is ultimately managed by a committee of Limited Partners that manages Professionals GP, the general partner of Professional Partners, has the ability to exercise majority voting control over us by virtue of its ownership of all outstanding shares of our Class B-1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Economic Rights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Professional Partners and certain of the ILPs hold PWP OpCo Class A partnership units. PWP OpCo Class A partnership unitholders will have no voting rights by virtue of their ownership of PWP OpCo Class A partnership units, except for the right to approve certain amendments to the PWP OpCo LPA and certain changes to the distribution or redemption rights of the limited partners of PWP OpCo. Professional Partners, which is ultimately managed by a committee of Limited Partners that manages Professionals GP, the general partner of Professional Partners, holds all outstanding shares of our Class B-1 common stock, enabling it to exercise majority voting control over us and, indirectly, over PWP OpCo.</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except as required under the terms of any new partnership interests that we may create in the future.</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holders of Class A partnership units, including the Company, will incur U.S. federal, state and local income taxes on their allocable share of any net taxable income of PWP OpCo. Net profits and net losses of PWP OpCo will generally be allocated to its partners pro rata in accordance with the percentages of their respective partnership units, except as required under applicable law or under the terms of any new partnership interests that we may create in the future. In accordance with the PWP OpCo LPA, we intend to use our best efforts to cause PWP OpCo to make sufficient cash distributions to the holders of partnership units of PWP OpCo to fund their tax obligations in respect of the income of PWP OpCo that is allocated to them. Generally, these tax distributions will be computed based on our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Coordination of Perella Weinberg Partners and PWP OpCo</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At any time we issue a share of our Class A common stock for cash (and not in connection with an exchange of PWP OpCo Class A partnership units described below under “—</w:t>
      </w:r>
      <w:r>
        <w:rPr>
          <w:rFonts w:ascii="Arial" w:cs="Arial" w:eastAsia="Arial" w:hAnsi="Arial"/>
          <w:sz w:val="17"/>
          <w:szCs w:val="17"/>
          <w:i w:val="1"/>
          <w:iCs w:val="1"/>
          <w:color w:val="auto"/>
        </w:rPr>
        <w:t>Exchange Rights</w:t>
      </w:r>
      <w:r>
        <w:rPr>
          <w:rFonts w:ascii="Arial" w:cs="Arial" w:eastAsia="Arial" w:hAnsi="Arial"/>
          <w:sz w:val="17"/>
          <w:szCs w:val="17"/>
          <w:color w:val="auto"/>
        </w:rPr>
        <w:t>”), the net proceeds received by us will be promptly transferred to PWP OpCo, and PWP OpCo will issue to us one of its PWP OpCo Class A partnership units. At any time we issue a share of our Class A common stock pursuant to the Incentive Plan, we will contribute to PWP OpCo all of the proceeds that we receive (if any), and PWP OpCo will issue to us one of its PWP OpCo Class A partnership units, having the same restrictions, if any, attached to the shares of our Class A common stock issued under the Incentive Plan.</w:t>
      </w:r>
    </w:p>
    <w:p>
      <w:pPr>
        <w:spacing w:after="0" w:line="1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the PWP OpCo LPA, we may in the future cause PWP OpCo to issue PWP OpCo Class A partnership units or other, newly created classes of PWP OpCo securities to one or more investors having such rights, preferences and other terms as we determine, and in such amounts as we may determine. In addition, we may in the future elect to compensate our employees by granting them, directly or indirectly, PWP OpCo Class A partnership units, whether or not subject to forfeiture, or profits interests or other securities. Any such issuance may have a dilutive effect on the economic interest we hold in PWP OpCo.</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PWP OpCo LPA, we agree, subject to certain limited exceptions set forth in the PWP OpCo LPA, not to conduct any business other than in connection with (i) our operation as a reporting company with a class (or classes) of securities registered under the Exchange Act, (ii) the offering, sale, syndication, private placement or public offering of stock, bonds, securities or other interests, (iii) financing or refinancing of any type related to PWP OpCo or its assets or activities and (iv) such activities as are incidental thereto.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Corporate Transactions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Through our ownership of PWP GP, the general partner of PWP OpCo, we have the power and authority to cause PWP OpCo to engage in material corporate transactions, including a merger, consolidation, dissolution or sale of substantially all of its assets. In addition, in the event that we, through PWP GP, in its capacity as the general partner of PWP OpCo, determines that all (or any portion) of our partnership units of PWP OpCo should be sold to a third party purchaser, we will have the right to compel the other holders of the partnership units of PWP OpCo to sell all (or the same portion) of their partnership units of PWP OpCo to such third party purchaser.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the Company, holders of PWP OpCo Class A partnership units (other than the Company)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w:t>
      </w:r>
    </w:p>
    <w:p>
      <w:pPr>
        <w:spacing w:after="0" w:line="13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reserved approximately 46.3 million shares of Class A common stock for issuance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the Company is correspondingly increased as we acquire the exchanged Class A partnership units (and a corresponding number of shares of Class B common stock are converted). We may in the future cause PWP OpCo to issue additional PWP OpCo Class A partnership units that would also be exchangeable for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14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PWP OpCo LPA contains restrictions on the ability to exchange Class A partnership units for shares of Class A common stock or cash from an offering of shares of Class A common stock, for the 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the lock-up period expired on December 24, 2021; and (b) for Working Partners, will be between three to five years after the Closing), (ii) the restriction on Class A partnership units held by ILPs existing at the time of the Business Combination expired on December 24, 2021, and (iii) any other outstanding Class A partnership units not previously covered by clauses (i) and (ii) above will be subject to such restriction for a period of at least twelve months following the date on which such Class A partnership units were acquired. For Mr. Perella and certain other founding Working Partners who are retirement-eligible (as well as certain Limited Partners who are employed by PWP Capital), Professional Partners units are generally subject to a lock-up of approximately one to five years and are not subject to reinstatement or extension of such lock-up following their resignation. PWP GP may waive the foregoing restrictions for any single holder with respect to all or a portion of such holder’s units, with no obligation to do so for any other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-1271905</wp:posOffset>
            </wp:positionV>
            <wp:extent cx="285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B Common Stock</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46,320 shares of Class A common stock for issuance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Exculpation and Indemnification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PWP GP, the Company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PWP OpCo will indemnify and hold harmless PWP GP and the Company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 an action to enforce their rights to indemnification or advancement of expenses), and (iii) the person or entity has not been established by a final judgment of a court of competent jurisdiction to be liable to PWP OpCo.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Operating Expenses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PWP OpCo shall be liable for, and shall reimburse the Company, PWP GP, Professional Partners and Professionals GP, in its capacity as general partner of Professional Partners, for, operating expenses (including indemnification obligations) as set forth in the PWP OpCo LPA.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PWP OpCo may be dissolved only upon the occurrence of certain unlikely events specified in the PWP OpCo LPA.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GP Limited Liability Company Agreement</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the Closing Date, the Company, in its capacity as the sole and managing member of PWP GP, entered into the Amended and Restated Limited Liability Company Agreement of PWP GP, which, among other things, provides that PWP GP will act as general partner of PWP OpCo.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acquisition of PWP OpCo Class A partnership units as part of the Closing and our acquisition of PWP OpCo Class A partnership units with the proceeds of the January 2022 Offering resulted in, increases in the tax basis of PWP OpCo’s assets. In addition, exchanges of PWP OpCo Class A partnership units for shares of our Class A common stock or cash and certain other transactions, are expected to result in increases in the tax basis of PWP OpCo’s assets that otherwise would not have been available to us. Such increases in tax basis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1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the Closing Date, in connection with the consummation of the Business Combination, we entered into a Tax Receivable Agreement with PWP OpCo, Professional Partners and certain other persons party thereto (the “</w:t>
      </w:r>
      <w:r>
        <w:rPr>
          <w:rFonts w:ascii="Arial" w:cs="Arial" w:eastAsia="Arial" w:hAnsi="Arial"/>
          <w:sz w:val="16"/>
          <w:szCs w:val="16"/>
          <w:u w:val="single" w:color="auto"/>
          <w:color w:val="auto"/>
        </w:rPr>
        <w:t>Tax Receivable Agreement</w:t>
      </w:r>
      <w:r>
        <w:rPr>
          <w:rFonts w:ascii="Arial" w:cs="Arial" w:eastAsia="Arial" w:hAnsi="Arial"/>
          <w:sz w:val="16"/>
          <w:szCs w:val="16"/>
          <w:color w:val="auto"/>
        </w:rPr>
        <w:t>”). The Tax Receivable Agreement generally provides for payment by the Company to ILPs and certain Partners (as defined therein) (the “</w:t>
      </w:r>
      <w:r>
        <w:rPr>
          <w:rFonts w:ascii="Arial" w:cs="Arial" w:eastAsia="Arial" w:hAnsi="Arial"/>
          <w:sz w:val="16"/>
          <w:szCs w:val="16"/>
          <w:u w:val="single" w:color="auto"/>
          <w:color w:val="auto"/>
        </w:rPr>
        <w:t>TRA Parties</w:t>
      </w:r>
      <w:r>
        <w:rPr>
          <w:rFonts w:ascii="Arial" w:cs="Arial" w:eastAsia="Arial" w:hAnsi="Arial"/>
          <w:sz w:val="16"/>
          <w:szCs w:val="16"/>
          <w:color w:val="auto"/>
        </w:rPr>
        <w:t>”)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 The Company expects to retain the benefit of the remaining 15% of these cash tax savings.</w:t>
      </w:r>
    </w:p>
    <w:p>
      <w:pPr>
        <w:spacing w:after="0" w:line="1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purposes of the Tax Receivable Agreement,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Tax Receivable Agreement. The term of the Tax Receivable Agreement commenced upon consummation of the Business Combination and will continue until all tax benefits have been utilized or expired, unless the Company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our Class A common stock). The Tax Receivable Agreement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payment obligation under the Tax Receivable Agreement is an obligation of Perella Weinberg Partners and not an obligation of PWP OpCo. In addition, although we are not aware of any issue that would cause the IRS to challenge a tax basis increase that results in a payment under the Tax Receivable Agreement, the TRA Parties will not reimburse us for any payments previously made under the Tax Receivable Agreement if such basis increases or other benefits are subsequently disallowed, although excess payments made to any TRA Parties may be netted against payments otherwise to be made, if any, to the relevant ILP or Limited Partner after our determination of such excess. As a result, in certain circumstances we may make payments to the TRA Parties under the Tax Receivable Agreement in excess of our actual cash tax savings. While the actual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Tax Receivable Agreement, the payments that we may make to the TRA Parties could be substantial. Payments made under the Tax Receivable Agreement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TRA Party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24" w:lineRule="exact"/>
        <w:rPr>
          <w:sz w:val="20"/>
          <w:szCs w:val="20"/>
          <w:color w:val="auto"/>
        </w:rPr>
      </w:pPr>
    </w:p>
    <w:p>
      <w:pPr>
        <w:ind w:left="660" w:right="30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were not transferable or salable until the date that is the six-month anniversary of the Closing, or December 24, 2021 (the “</w:t>
      </w:r>
      <w:r>
        <w:rPr>
          <w:rFonts w:ascii="Arial" w:cs="Arial" w:eastAsia="Arial" w:hAnsi="Arial"/>
          <w:sz w:val="18"/>
          <w:szCs w:val="18"/>
          <w:u w:val="single" w:color="auto"/>
          <w:color w:val="auto"/>
        </w:rPr>
        <w:t>6-Month Anniversary</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right="3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1,369,334 Founder Shares were not transferable or salable until the later of (x) the 6-Month Anniversary and (y) the earlier of (A) the ten-year anniversary of the Closing (the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and (B) the date that is 15 days following the first date that the closing share price is greater than $12.00 per share for any 20 out of 30 consecutive trading days;</w:t>
      </w:r>
    </w:p>
    <w:p>
      <w:pPr>
        <w:spacing w:after="0" w:line="129" w:lineRule="exact"/>
        <w:rPr>
          <w:rFonts w:ascii="Arial" w:cs="Arial" w:eastAsia="Arial" w:hAnsi="Arial"/>
          <w:sz w:val="18"/>
          <w:szCs w:val="18"/>
          <w:color w:val="auto"/>
        </w:rPr>
      </w:pPr>
    </w:p>
    <w:p>
      <w:pPr>
        <w:ind w:left="660" w:right="360" w:hanging="328"/>
        <w:spacing w:after="0" w:line="342" w:lineRule="auto"/>
        <w:tabs>
          <w:tab w:leader="none" w:pos="6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69" w:lineRule="exact"/>
        <w:rPr>
          <w:rFonts w:ascii="Arial" w:cs="Arial" w:eastAsia="Arial" w:hAnsi="Arial"/>
          <w:sz w:val="16"/>
          <w:szCs w:val="16"/>
          <w:color w:val="auto"/>
        </w:rPr>
      </w:pPr>
    </w:p>
    <w:p>
      <w:pPr>
        <w:jc w:val="both"/>
        <w:ind w:left="660" w:right="1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w:t>
      </w:r>
      <w:r>
        <w:rPr>
          <w:rFonts w:ascii="Arial" w:cs="Arial" w:eastAsia="Arial" w:hAnsi="Arial"/>
          <w:sz w:val="18"/>
          <w:szCs w:val="18"/>
          <w:u w:val="single" w:color="auto"/>
          <w:color w:val="auto"/>
        </w:rPr>
        <w:t>$15 Threshold</w:t>
      </w:r>
      <w:r>
        <w:rPr>
          <w:rFonts w:ascii="Arial" w:cs="Arial" w:eastAsia="Arial" w:hAnsi="Arial"/>
          <w:sz w:val="18"/>
          <w:szCs w:val="18"/>
          <w:color w:val="auto"/>
        </w:rPr>
        <w:t>”); and</w:t>
      </w:r>
    </w:p>
    <w:p>
      <w:pPr>
        <w:spacing w:after="0" w:line="129"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w:t>
      </w:r>
      <w:r>
        <w:rPr>
          <w:rFonts w:ascii="Arial" w:cs="Arial" w:eastAsia="Arial" w:hAnsi="Arial"/>
          <w:sz w:val="18"/>
          <w:szCs w:val="18"/>
          <w:u w:val="single" w:color="auto"/>
          <w:color w:val="auto"/>
        </w:rPr>
        <w:t>$17 Threshold</w:t>
      </w:r>
      <w:r>
        <w:rPr>
          <w:rFonts w:ascii="Arial" w:cs="Arial" w:eastAsia="Arial" w:hAnsi="Arial"/>
          <w:sz w:val="18"/>
          <w:szCs w:val="18"/>
          <w:color w:val="auto"/>
        </w:rPr>
        <w:t>”).</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24, 2021, the 6-Month Anniversary, all of the Placement Shares and 3,108,001 of the Founder Shares are no longer subject to the transfer restrictions set forth above.</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the $15 Threshold is met. 1,738,680 of the shares distributed in the Sponsor Distribution remain subject to transfer restrictions until the $17 Threshold is met.</w:t>
      </w:r>
    </w:p>
    <w:p>
      <w:pPr>
        <w:spacing w:after="0" w:line="133"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w:t>
      </w:r>
      <w:r>
        <w:rPr>
          <w:rFonts w:ascii="Arial" w:cs="Arial" w:eastAsia="Arial" w:hAnsi="Arial"/>
          <w:sz w:val="16"/>
          <w:szCs w:val="16"/>
          <w:u w:val="single" w:color="auto"/>
          <w:color w:val="auto"/>
        </w:rPr>
        <w:t>Trigger Date</w:t>
      </w:r>
      <w:r>
        <w:rPr>
          <w:rFonts w:ascii="Arial" w:cs="Arial" w:eastAsia="Arial" w:hAnsi="Arial"/>
          <w:sz w:val="16"/>
          <w:szCs w:val="16"/>
          <w:color w:val="auto"/>
        </w:rPr>
        <w:t>”),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August 9, 2021, the Company repurchased 1,000,000 Founder Shares at a purchase price of $12.00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the Closing Date, we entered into indemnification agreements with each of our directors and executive officers. Each indemnification agreement provides for indemnification and advancements by us of certain expenses and costs relating to claims, suits or proceedings arising from his or her service to the Company or, at our request, service to other entities, as officers or directors to the maximum extent permitted by applicable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Agreements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Subscription Agreements, the PIPE Investors purchased an aggregate of 12,500,000 shares of Class A common stock in a private placement for a price of $10.00 per share for an aggregate purchase price of approximately $125,000,000.</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shares of Class A common stock issued in connection with the Subscription Agreements (the “</w:t>
      </w:r>
      <w:r>
        <w:rPr>
          <w:rFonts w:ascii="Arial" w:cs="Arial" w:eastAsia="Arial" w:hAnsi="Arial"/>
          <w:sz w:val="18"/>
          <w:szCs w:val="18"/>
          <w:u w:val="single" w:color="auto"/>
          <w:color w:val="auto"/>
        </w:rPr>
        <w:t>PIPE Shares</w:t>
      </w:r>
      <w:r>
        <w:rPr>
          <w:rFonts w:ascii="Arial" w:cs="Arial" w:eastAsia="Arial" w:hAnsi="Arial"/>
          <w:sz w:val="18"/>
          <w:szCs w:val="18"/>
          <w:color w:val="auto"/>
        </w:rPr>
        <w:t>”) were not registered under the Securities Act, and were issued in reliance on the exemption from registration requirements thereof provided by Section 4(a)(2) of the Securities Act and/or Regulation D promulgated thereunder.</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Subscription Agreements for the Non-Sponsor PIPE Investors, and other than the subscribing Perella Weinberg Partners executives, provide for certain registration rights. In particular, we were required to, as soon as practicable but no later than 30 calendar days following the closing date of the Business Combination file with the SEC (at our sole cost and expense) a registration statement registering the resale of such shares, and use our commercially reasonable efforts to have such registration statement declared effective as soon as practicable after the filing thereof. We filed the registration statement on July 15, 2021, which was declared effective on July 26, 2021.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prior to the consummation of the Business Combination.</w:t>
      </w:r>
    </w:p>
    <w:p>
      <w:pPr>
        <w:spacing w:after="0" w:line="13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and related industries.</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demonstrated robust financial performance, achieving revenues of $801.7 million and operating income of $66.6 million for the year ended December 31, 2021, revenues of $519.0 million and operating loss of $14.6 million for the year ended December 31, 2020 and revenues of $533.3 million and operating loss of $155.1 million for the year ended December 31, 2019. The operating losses in 2019 and 2020 were largely due to amortization of the equity-based compensation awards granted by Professional Partners, which have no economic impact on PWP or PWP OpCo. The vesting of equity awards granted in connection with the Transaction have been and will be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founded our Company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 xml:space="preserve">Sector-Specific Transformation and Disruption: </w:t>
      </w:r>
      <w:r>
        <w:rPr>
          <w:rFonts w:ascii="Arial" w:cs="Arial" w:eastAsia="Arial" w:hAnsi="Arial"/>
          <w:sz w:val="16"/>
          <w:szCs w:val="16"/>
          <w:color w:val="auto"/>
        </w:rPr>
        <w:t>The sectors on which we focus are all experiencing change at an accelerating pace. Such change within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9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 xml:space="preserve">Business Growth: </w:t>
      </w:r>
      <w:r>
        <w:rPr>
          <w:rFonts w:ascii="Arial" w:cs="Arial" w:eastAsia="Arial" w:hAnsi="Arial"/>
          <w:sz w:val="16"/>
          <w:szCs w:val="16"/>
          <w:color w:val="auto"/>
        </w:rPr>
        <w:t>Business leaders all share a desire to grow their business and improve their position relative to their peers and the market overall.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95"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 xml:space="preserve">Challenges for Leadership: </w:t>
      </w:r>
      <w:r>
        <w:rPr>
          <w:rFonts w:ascii="Arial" w:cs="Arial" w:eastAsia="Arial" w:hAnsi="Arial"/>
          <w:sz w:val="16"/>
          <w:szCs w:val="16"/>
          <w:color w:val="auto"/>
        </w:rPr>
        <w:t>Business leaders have to be vigilant in how they confront specific immediate and potential future challenges. These challenges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Growing Demand for Independent Advice: </w:t>
      </w:r>
      <w:r>
        <w:rPr>
          <w:rFonts w:ascii="Arial" w:cs="Arial" w:eastAsia="Arial" w:hAnsi="Arial"/>
          <w:sz w:val="17"/>
          <w:szCs w:val="17"/>
          <w:color w:val="auto"/>
        </w:rPr>
        <w:t>We believe the momentum driving demand for independent advice remains strong. When we founded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66% of volume from the top 25 announced M&amp;A transactions in the five-year period ended December 31, 2021, up from 47% on average during the five-year period ended December 31, 2005, according to Dealogic.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Company is well positioned to continue to capitalize on this trend.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8" w:name="page99"/>
    <w:bookmarkEnd w:id="98"/>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Dynamic Mergers &amp; Acquisitions Activity: </w:t>
      </w:r>
      <w:r>
        <w:rPr>
          <w:rFonts w:ascii="Arial" w:cs="Arial" w:eastAsia="Arial" w:hAnsi="Arial"/>
          <w:sz w:val="17"/>
          <w:szCs w:val="17"/>
          <w:color w:val="auto"/>
        </w:rPr>
        <w:t>We believe the M&amp;A environment will remain active based on a variety of economic, regulatory and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strong corporate balance sheets, significant undeployed venture and private equity capital, attractive financing markets, a rapidly accelerating trend toward global consolidation and business model transformation.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 In 2021 and 2020, globally announced M&amp;A volume reached $5.8 trillion and $3.7 trillion, respectively, with approximately 71% occurring in North America and in Europe, the markets in which we are primarily focused. Dealogic estimates that the global M&amp;A fee pool averaged approximately $30 billion annually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 xml:space="preserve">Growing Demand in Liability Management (Restructuring and Capital Markets) Advisory Services: </w:t>
      </w:r>
      <w:r>
        <w:rPr>
          <w:rFonts w:ascii="Arial" w:cs="Arial" w:eastAsia="Arial" w:hAnsi="Arial"/>
          <w:sz w:val="16"/>
          <w:szCs w:val="16"/>
          <w:color w:val="auto"/>
        </w:rPr>
        <w:t>We believe that, due to large debt issuances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 dialogue. Our clients often 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us to assist them in assessing opportunities and challenges throughout their corporate evolution.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Partnership is at Our Core: </w:t>
      </w:r>
      <w:r>
        <w:rPr>
          <w:rFonts w:ascii="Arial" w:cs="Arial" w:eastAsia="Arial" w:hAnsi="Arial"/>
          <w:sz w:val="16"/>
          <w:szCs w:val="16"/>
          <w:color w:val="auto"/>
        </w:rPr>
        <w:t>We operate as a highly collaborative and integrated partnership defined by a culture of integrity, humility, rigor, and intensity.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Working together is a critical ingredient of our success.</w:t>
      </w:r>
    </w:p>
    <w:p>
      <w:pPr>
        <w:spacing w:after="0" w:line="15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Focused Internationally: </w:t>
      </w:r>
      <w:r>
        <w:rPr>
          <w:rFonts w:ascii="Arial" w:cs="Arial" w:eastAsia="Arial" w:hAnsi="Arial"/>
          <w:sz w:val="16"/>
          <w:szCs w:val="16"/>
          <w:color w:val="auto"/>
        </w:rPr>
        <w:t>Since its founding, our organization has been integrated globally and is deliberately focused on the most active advisory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worldwide. Our closely integrated partnership approach enables us to efficiently leverage our deep industry expertise with clients across geographies.</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 thinking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approach to partner with our clients to achieve their objectives.</w:t>
      </w:r>
    </w:p>
    <w:p>
      <w:pPr>
        <w:spacing w:after="0" w:line="11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Independence is Core to Our Character: </w:t>
      </w:r>
      <w:r>
        <w:rPr>
          <w:rFonts w:ascii="Arial" w:cs="Arial" w:eastAsia="Arial" w:hAnsi="Arial"/>
          <w:sz w:val="16"/>
          <w:szCs w:val="16"/>
          <w:color w:val="auto"/>
        </w:rPr>
        <w:t>We strive to be viewed as independent thinkers and our goal is to attract people to the Company with innovative,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views and a willingness to speak with candor. We are not afraid to voice our perspective and are not afraid for “no” to be the right answer.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9" w:name="page100"/>
    <w:bookmarkEnd w:id="99"/>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 strategic decisions that impact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4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i w:val="1"/>
          <w:iCs w:val="1"/>
          <w:color w:val="auto"/>
        </w:rPr>
        <w:t xml:space="preserve">Independent Thought: </w:t>
      </w:r>
      <w:r>
        <w:rPr>
          <w:rFonts w:ascii="Arial" w:cs="Arial" w:eastAsia="Arial" w:hAnsi="Arial"/>
          <w:sz w:val="17"/>
          <w:szCs w:val="17"/>
          <w:color w:val="auto"/>
        </w:rPr>
        <w:t>Our foundation is rooted in a conviction, among other considerations, that clients would increasingly seek out advisors who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Innovation, Creativity and Ingenuity: </w:t>
      </w:r>
      <w:r>
        <w:rPr>
          <w:rFonts w:ascii="Arial" w:cs="Arial" w:eastAsia="Arial" w:hAnsi="Arial"/>
          <w:sz w:val="18"/>
          <w:szCs w:val="18"/>
          <w:color w:val="auto"/>
        </w:rPr>
        <w:t>From the very beginning, we have strived for differentiation. We seek original and exceptional ways to deliver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33"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b w:val="1"/>
          <w:bCs w:val="1"/>
          <w:i w:val="1"/>
          <w:iCs w:val="1"/>
          <w:color w:val="auto"/>
        </w:rPr>
        <w:t xml:space="preserve">High Standards of Integrity: </w:t>
      </w:r>
      <w:r>
        <w:rPr>
          <w:rFonts w:ascii="Arial" w:cs="Arial" w:eastAsia="Arial" w:hAnsi="Arial"/>
          <w:sz w:val="17"/>
          <w:szCs w:val="17"/>
          <w:color w:val="auto"/>
        </w:rPr>
        <w:t>We earn trust—our most important currency with clients and each other—first and foremost through integrity. We demand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 However, great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-314325</wp:posOffset>
            </wp:positionV>
            <wp:extent cx="285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i w:val="1"/>
          <w:iCs w:val="1"/>
          <w:color w:val="auto"/>
        </w:rPr>
        <w:t xml:space="preserve">Leveraging our Existing Client Relationships: </w:t>
      </w:r>
      <w:r>
        <w:rPr>
          <w:rFonts w:ascii="Arial" w:cs="Arial" w:eastAsia="Arial" w:hAnsi="Arial"/>
          <w:sz w:val="16"/>
          <w:szCs w:val="16"/>
          <w:color w:val="auto"/>
        </w:rPr>
        <w:t>As we grow our business, we seek to deepen and expand our client relationships, which are the foundation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Company’s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 which we apply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Company.</w:t>
      </w:r>
    </w:p>
    <w:p>
      <w:pPr>
        <w:spacing w:after="0" w:line="13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Expanding Our Advisory Capabilities to Better Serve Our Clients: </w:t>
      </w:r>
      <w:r>
        <w:rPr>
          <w:rFonts w:ascii="Arial" w:cs="Arial" w:eastAsia="Arial" w:hAnsi="Arial"/>
          <w:sz w:val="17"/>
          <w:szCs w:val="17"/>
          <w:color w:val="auto"/>
        </w:rPr>
        <w:t>We provide a range of advisory services to our clients, including strategic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 transition away from solely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1" w:name="page102"/>
    <w:bookmarkEnd w:id="101"/>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Company: </w:t>
      </w:r>
      <w:r>
        <w:rPr>
          <w:rFonts w:ascii="Arial" w:cs="Arial" w:eastAsia="Arial" w:hAnsi="Arial"/>
          <w:sz w:val="17"/>
          <w:szCs w:val="17"/>
          <w:color w:val="auto"/>
        </w:rPr>
        <w:t>Attracting and retaining world-class talent at the Company is a critical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have also put significant emphasis on the training and development of all of our professionals, and plan to continue investing meaningful resources in our human capital with commitment to investing in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0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i w:val="1"/>
          <w:iCs w:val="1"/>
          <w:color w:val="auto"/>
        </w:rPr>
        <w:t xml:space="preserve">Maintaining Discipline in How We Manage Our Business: </w:t>
      </w:r>
      <w:r>
        <w:rPr>
          <w:rFonts w:ascii="Arial" w:cs="Arial" w:eastAsia="Arial" w:hAnsi="Arial"/>
          <w:sz w:val="16"/>
          <w:szCs w:val="16"/>
          <w:color w:val="auto"/>
        </w:rPr>
        <w:t>We manage our business in an effort to deliver value creation to our shareholders.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external hires and the establishment of new offices. We believe that this discipline will enable us to maintain our competitive edge while also delivering appropriate returns and long-term value creation to our shareholders.</w:t>
      </w:r>
    </w:p>
    <w:p>
      <w:pPr>
        <w:spacing w:after="0" w:line="10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Company and high level senior banker attention to every client, regardless of size or situation.</w:t>
      </w:r>
    </w:p>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M&amp;A and Strategic Advisory: </w:t>
      </w:r>
      <w:r>
        <w:rPr>
          <w:rFonts w:ascii="Arial" w:cs="Arial" w:eastAsia="Arial" w:hAnsi="Arial"/>
          <w:sz w:val="17"/>
          <w:szCs w:val="17"/>
          <w:color w:val="auto"/>
        </w:rPr>
        <w:t>We have established a leading M&amp;A and strategic advisory practice, advising clients on a range of strategic issues, risks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2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Liability Management and Capital Structure Advisory: </w:t>
      </w:r>
      <w:r>
        <w:rPr>
          <w:rFonts w:ascii="Arial" w:cs="Arial" w:eastAsia="Arial" w:hAnsi="Arial"/>
          <w:sz w:val="16"/>
          <w:szCs w:val="16"/>
          <w:color w:val="auto"/>
        </w:rPr>
        <w:t>We have built a leading franchise to serve the liability management market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Capital Markets Advisory: </w:t>
      </w:r>
      <w:r>
        <w:rPr>
          <w:rFonts w:ascii="Arial" w:cs="Arial" w:eastAsia="Arial" w:hAnsi="Arial"/>
          <w:sz w:val="17"/>
          <w:szCs w:val="17"/>
          <w:color w:val="auto"/>
        </w:rPr>
        <w:t>We also advise clients on capital markets matters, both in transaction-related and ordinary course financing execution.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Company Investments Including Special Purpose Acquisition Companies: </w:t>
      </w:r>
      <w:r>
        <w:rPr>
          <w:rFonts w:ascii="Arial" w:cs="Arial" w:eastAsia="Arial" w:hAnsi="Arial"/>
          <w:sz w:val="16"/>
          <w:szCs w:val="16"/>
          <w:color w:val="auto"/>
        </w:rPr>
        <w:t>We have a relationship with the sponsor of PFAC, a SPAC that was formed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Collaborations with Other Firms: </w:t>
      </w:r>
      <w:r>
        <w:rPr>
          <w:rFonts w:ascii="Arial" w:cs="Arial" w:eastAsia="Arial" w:hAnsi="Arial"/>
          <w:sz w:val="16"/>
          <w:szCs w:val="16"/>
          <w:color w:val="auto"/>
        </w:rPr>
        <w:t>The Company has entered into collaborative relationships with certain other firms, including Mizuho Securities 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10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140"/>
              <w:spacing w:after="0"/>
              <w:rPr>
                <w:sz w:val="20"/>
                <w:szCs w:val="20"/>
                <w:color w:val="auto"/>
              </w:rPr>
            </w:pPr>
            <w:r>
              <w:rPr>
                <w:rFonts w:ascii="Arial" w:cs="Arial" w:eastAsia="Arial" w:hAnsi="Arial"/>
                <w:sz w:val="14"/>
                <w:szCs w:val="14"/>
                <w:b w:val="1"/>
                <w:bCs w:val="1"/>
                <w:color w:val="FFFFFF"/>
              </w:rPr>
              <w:t>Large-Cap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200"/>
              <w:spacing w:after="0"/>
              <w:rPr>
                <w:sz w:val="20"/>
                <w:szCs w:val="20"/>
                <w:color w:val="auto"/>
              </w:rPr>
            </w:pPr>
            <w:r>
              <w:rPr>
                <w:rFonts w:ascii="Arial" w:cs="Arial" w:eastAsia="Arial" w:hAnsi="Arial"/>
                <w:sz w:val="14"/>
                <w:szCs w:val="14"/>
                <w:b w:val="1"/>
                <w:bCs w:val="1"/>
                <w:color w:val="FFFFFF"/>
              </w:rPr>
              <w:t>Mid-Cap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80" w:type="dxa"/>
            <w:vAlign w:val="bottom"/>
            <w:tcBorders>
              <w:top w:val="single" w:sz="8" w:color="auto"/>
              <w:right w:val="single" w:sz="8" w:color="auto"/>
            </w:tcBorders>
            <w:shd w:val="clear" w:color="auto" w:fill="01649D"/>
          </w:tcPr>
          <w:p>
            <w:pPr>
              <w:ind w:left="80"/>
              <w:spacing w:after="0" w:line="149" w:lineRule="exact"/>
              <w:rPr>
                <w:sz w:val="20"/>
                <w:szCs w:val="20"/>
                <w:color w:val="auto"/>
              </w:rPr>
            </w:pPr>
            <w:r>
              <w:rPr>
                <w:rFonts w:ascii="Arial" w:cs="Arial" w:eastAsia="Arial" w:hAnsi="Arial"/>
                <w:sz w:val="14"/>
                <w:szCs w:val="14"/>
                <w:b w:val="1"/>
                <w:bCs w:val="1"/>
                <w:color w:val="FFFFFF"/>
              </w:rPr>
              <w:t>Restructuring / Capital</w:t>
            </w:r>
          </w:p>
        </w:tc>
        <w:tc>
          <w:tcPr>
            <w:tcW w:w="0" w:type="dxa"/>
            <w:vAlign w:val="bottom"/>
          </w:tcPr>
          <w:p>
            <w:pPr>
              <w:spacing w:after="0"/>
              <w:rPr>
                <w:sz w:val="1"/>
                <w:szCs w:val="1"/>
                <w:color w:val="auto"/>
              </w:rPr>
            </w:pPr>
          </w:p>
        </w:tc>
      </w:tr>
      <w:tr>
        <w:trPr>
          <w:trHeight w:val="109"/>
        </w:trPr>
        <w:tc>
          <w:tcPr>
            <w:tcW w:w="1100" w:type="dxa"/>
            <w:vAlign w:val="bottom"/>
            <w:tcBorders>
              <w:left w:val="single" w:sz="8" w:color="auto"/>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80" w:type="dxa"/>
            <w:vAlign w:val="bottom"/>
            <w:tcBorders>
              <w:right w:val="single" w:sz="8" w:color="auto"/>
            </w:tcBorders>
            <w:vMerge w:val="restart"/>
            <w:shd w:val="clear" w:color="auto" w:fill="01649D"/>
          </w:tcPr>
          <w:p>
            <w:pPr>
              <w:ind w:left="540"/>
              <w:spacing w:after="0"/>
              <w:rPr>
                <w:sz w:val="20"/>
                <w:szCs w:val="20"/>
                <w:color w:val="auto"/>
              </w:rPr>
            </w:pPr>
            <w:r>
              <w:rPr>
                <w:rFonts w:ascii="Arial" w:cs="Arial" w:eastAsia="Arial" w:hAnsi="Arial"/>
                <w:sz w:val="14"/>
                <w:szCs w:val="14"/>
                <w:b w:val="1"/>
                <w:bCs w:val="1"/>
                <w:color w:val="FFFFFF"/>
              </w:rPr>
              <w:t>Markets</w:t>
            </w:r>
          </w:p>
        </w:tc>
        <w:tc>
          <w:tcPr>
            <w:tcW w:w="0" w:type="dxa"/>
            <w:vAlign w:val="bottom"/>
          </w:tcPr>
          <w:p>
            <w:pPr>
              <w:spacing w:after="0"/>
              <w:rPr>
                <w:sz w:val="1"/>
                <w:szCs w:val="1"/>
                <w:color w:val="auto"/>
              </w:rPr>
            </w:pPr>
          </w:p>
        </w:tc>
      </w:tr>
      <w:tr>
        <w:trPr>
          <w:trHeight w:val="78"/>
        </w:trPr>
        <w:tc>
          <w:tcPr>
            <w:tcW w:w="110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8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shd w:val="clear" w:color="auto" w:fill="9CB3D5"/>
          </w:tcPr>
          <w:p>
            <w:pPr>
              <w:ind w:left="36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4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8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7"/>
              </w:rPr>
              <w:t>Financial advisor to Royal Dutch Shell</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Quidel in</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the $9.5B sale of</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Quidel's $6.0B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Shell's Permian business to</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acquisition of Ortho Clinical</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Diagnostics</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Lead financial advisor to Baxter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HELLA in</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5"/>
              </w:rPr>
              <w:t>Financial advisor to Invitae Corporation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its $1.15B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HELLA's €6.8B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Convertible Notes Offering to SB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business combination with Faurecia</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Financial advisor to MKS Instruments</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Financial advisor to Garrett Motion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MKS's $6.5B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 Deutsche</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connection with its Chapter 11 process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Atotech</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Wohnen</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the Independent Transaction</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Luminex in</w:t>
            </w:r>
          </w:p>
        </w:tc>
        <w:tc>
          <w:tcPr>
            <w:tcW w:w="10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Capital markets advisor to Maravai</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Committee of Discovery, Inc. in</w:t>
            </w:r>
          </w:p>
        </w:tc>
        <w:tc>
          <w:tcPr>
            <w:tcW w:w="1080" w:type="dxa"/>
            <w:vAlign w:val="bottom"/>
          </w:tcPr>
          <w:p>
            <w:pPr>
              <w:spacing w:after="0"/>
              <w:rPr>
                <w:sz w:val="14"/>
                <w:szCs w:val="14"/>
                <w:color w:val="auto"/>
              </w:rPr>
            </w:pPr>
          </w:p>
        </w:tc>
        <w:tc>
          <w:tcPr>
            <w:tcW w:w="2660" w:type="dxa"/>
            <w:vAlign w:val="bottom"/>
            <w:tcBorders>
              <w:right w:val="single" w:sz="8" w:color="auto"/>
            </w:tcBorders>
            <w:vMerge w:val="continue"/>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Discovery’s $22.2B</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its $1.8B sale to</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LifeSciences on pricing of upsized</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business combination with AT&amp;T’s</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DiaSorin</w:t>
            </w:r>
          </w:p>
        </w:tc>
        <w:tc>
          <w:tcPr>
            <w:tcW w:w="10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WarnerMedia</w:t>
            </w: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00" w:type="dxa"/>
            <w:vAlign w:val="bottom"/>
            <w:tcBorders>
              <w:left w:val="single" w:sz="8" w:color="auto"/>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Veolia in</w:t>
            </w:r>
          </w:p>
        </w:tc>
        <w:tc>
          <w:tcPr>
            <w:tcW w:w="1080" w:type="dxa"/>
            <w:vAlign w:val="bottom"/>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 Kraft</w:t>
            </w:r>
          </w:p>
        </w:tc>
        <w:tc>
          <w:tcPr>
            <w:tcW w:w="1080" w:type="dxa"/>
            <w:vAlign w:val="bottom"/>
          </w:tcPr>
          <w:p>
            <w:pPr>
              <w:spacing w:after="0"/>
              <w:rPr>
                <w:sz w:val="19"/>
                <w:szCs w:val="19"/>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6"/>
              </w:rPr>
              <w:t>Independent capital markets advisor to</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Heinz in connection with the $3.35B</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3"/>
              </w:rPr>
              <w:t>connection with Veolia's €25.9B merger</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Maravai LifeSciences on its follow-on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sale of its Planters brand to Hormel</w:t>
            </w: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with Suez</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offering of common stock</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Foods Corporation</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9"/>
              </w:rPr>
              <w:t>Advisor to Owl Rock Capital Partners</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LP in executing a definitive business</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PureCycle</w:t>
            </w:r>
          </w:p>
        </w:tc>
        <w:tc>
          <w:tcPr>
            <w:tcW w:w="1080" w:type="dxa"/>
            <w:vAlign w:val="bottom"/>
          </w:tcPr>
          <w:p>
            <w:pPr>
              <w:spacing w:after="0"/>
              <w:rPr>
                <w:sz w:val="14"/>
                <w:szCs w:val="1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Royal Caribbean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combination agreement with Dyal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Technologies in its merger with Roth</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Cruises Ltd. in connection with multiple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Partners to form Blue Owl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CH Acquisition I Co. and $1.2B listing</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financing transactions across both the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Inc. and list on NYSE via a</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on the Nasdaq</w:t>
            </w:r>
          </w:p>
        </w:tc>
        <w:tc>
          <w:tcPr>
            <w:tcW w:w="10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debt and equity capital markets</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$12.5B business combination with</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vMerge w:val="continue"/>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Altimar Acquisition Corporation</w:t>
            </w:r>
          </w:p>
        </w:tc>
        <w:tc>
          <w:tcPr>
            <w:tcW w:w="10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-3385820</wp:posOffset>
            </wp:positionV>
            <wp:extent cx="342900"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0" cy="29146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-3291205</wp:posOffset>
            </wp:positionV>
            <wp:extent cx="394335"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94335" cy="10287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-3282950</wp:posOffset>
            </wp:positionV>
            <wp:extent cx="428625"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-2871470</wp:posOffset>
            </wp:positionV>
            <wp:extent cx="48006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0060" cy="17145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-2931160</wp:posOffset>
            </wp:positionV>
            <wp:extent cx="428625" cy="291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8625" cy="29146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-2837180</wp:posOffset>
            </wp:positionV>
            <wp:extent cx="37719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-2391410</wp:posOffset>
            </wp:positionV>
            <wp:extent cx="428625"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-2408555</wp:posOffset>
            </wp:positionV>
            <wp:extent cx="471805"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1805" cy="1543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-2408555</wp:posOffset>
            </wp:positionV>
            <wp:extent cx="428625"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8625" cy="1543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-1765300</wp:posOffset>
            </wp:positionV>
            <wp:extent cx="402590" cy="85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2590" cy="8572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-1757045</wp:posOffset>
            </wp:positionV>
            <wp:extent cx="394335"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4335" cy="6858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-1542415</wp:posOffset>
            </wp:positionV>
            <wp:extent cx="42862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8625" cy="1885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-1130935</wp:posOffset>
            </wp:positionV>
            <wp:extent cx="428625"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-1156970</wp:posOffset>
            </wp:positionV>
            <wp:extent cx="39433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94335"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-479425</wp:posOffset>
            </wp:positionV>
            <wp:extent cx="428625"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-462280</wp:posOffset>
            </wp:positionV>
            <wp:extent cx="428625"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-462280</wp:posOffset>
            </wp:positionV>
            <wp:extent cx="428625"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862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4" w:name="page105"/>
    <w:bookmarkEnd w:id="104"/>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1080" w:type="dxa"/>
            <w:vAlign w:val="bottom"/>
            <w:tcBorders>
              <w:top w:val="single" w:sz="8" w:color="auto"/>
              <w:left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Exclusive financial advisor to Northrop</w:t>
            </w:r>
          </w:p>
        </w:tc>
        <w:tc>
          <w:tcPr>
            <w:tcW w:w="1060" w:type="dxa"/>
            <w:vAlign w:val="bottom"/>
            <w:tcBorders>
              <w:top w:val="single" w:sz="8" w:color="auto"/>
            </w:tcBorders>
          </w:tcPr>
          <w:p>
            <w:pPr>
              <w:spacing w:after="0"/>
              <w:rPr>
                <w:sz w:val="24"/>
                <w:szCs w:val="24"/>
                <w:color w:val="auto"/>
              </w:rPr>
            </w:pPr>
          </w:p>
        </w:tc>
        <w:tc>
          <w:tcPr>
            <w:tcW w:w="26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Financial advisor to Precision Medicine</w:t>
            </w:r>
          </w:p>
        </w:tc>
        <w:tc>
          <w:tcPr>
            <w:tcW w:w="3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Grumman Corp. on the sale of its</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Advisor to the Ad Hoc Committee in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5"/>
              </w:rPr>
              <w:t>Group, LLC in majority investment and</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Federal IT and Mission Support</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Pacific Gas and Electric Company’s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recapitalization transaction led by The</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Services Business to Veritas Capital</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debt restructuring</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Blackstone Group Inc.</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Fund Management, LLC for $3.4B</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advisor to Northrop</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Financial advisor to KKR in connection</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Financial advisor to Alta Mesa</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4"/>
              </w:rPr>
              <w:t>Grumman Corp. in its $9.2B acquisition</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with KKR's $5.3B acquisition of</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Resources, Inc. in connection with its</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Orbital ATK, Inc.</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Cloudera</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Chapter 11 process</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9"/>
        </w:trPr>
        <w:tc>
          <w:tcPr>
            <w:tcW w:w="1080" w:type="dxa"/>
            <w:vAlign w:val="bottom"/>
            <w:tcBorders>
              <w:lef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Financial advisor to KKR &amp; Co. Inc. on</w:t>
            </w:r>
          </w:p>
        </w:tc>
        <w:tc>
          <w:tcPr>
            <w:tcW w:w="3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the Supervisory Board of</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4"/>
              </w:rPr>
              <w:t>its $4.3B acquisition of a majority stake</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Financial advisor to Del Monte Foods,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in Coty Inc.’s Professional Beauty and</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Peugeot S.A. on its $26B merger with</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9"/>
              </w:rPr>
              <w:t>Inc. and Del Monte Pacific Limited on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Retail Hair businesses and $1.0B</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Fiat Chrysler Automobiles N.V.</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capital structure refinancing</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investment in Coty Inc. in the form of</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080" w:type="dxa"/>
            <w:vAlign w:val="bottom"/>
            <w:tcBorders>
              <w:left w:val="single" w:sz="8" w:color="auto"/>
            </w:tcBorders>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2680" w:type="dxa"/>
            <w:vAlign w:val="bottom"/>
            <w:tcBorders>
              <w:right w:val="single" w:sz="8" w:color="auto"/>
            </w:tcBorders>
            <w:vMerge w:val="continue"/>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convertible preferred shares</w:t>
            </w:r>
          </w:p>
        </w:tc>
        <w:tc>
          <w:tcPr>
            <w:tcW w:w="3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Sole financial advisor to Oaktree</w:t>
            </w:r>
          </w:p>
        </w:tc>
        <w:tc>
          <w:tcPr>
            <w:tcW w:w="1060" w:type="dxa"/>
            <w:vAlign w:val="bottom"/>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7"/>
              </w:rPr>
              <w:t>Lead financial advisor to Invitae Corp.</w:t>
            </w:r>
          </w:p>
        </w:tc>
        <w:tc>
          <w:tcPr>
            <w:tcW w:w="376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w w:val="97"/>
              </w:rPr>
              <w:t>Financial advisor to Sabre Corp. on its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Capital Group, LLC in 62% sale to</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 connection with $1.4B business</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w w:val="96"/>
              </w:rPr>
              <w:t>$1.1 billion secured and exchangeable</w:t>
            </w: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Brookfield Asset Management Inc.</w:t>
            </w:r>
          </w:p>
        </w:tc>
        <w:tc>
          <w:tcPr>
            <w:tcW w:w="106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combination with ArcherDX,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note offerings</w:t>
            </w: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Altria Group, Inc. in</w:t>
            </w:r>
          </w:p>
        </w:tc>
        <w:tc>
          <w:tcPr>
            <w:tcW w:w="1060" w:type="dxa"/>
            <w:vAlign w:val="bottom"/>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Sole financial advisor to PayPal</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w w:val="97"/>
              </w:rPr>
              <w:t>Financial advisor to the Ad Hoc Group</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8"/>
              </w:rPr>
              <w:t>connection with its stake in SABMiller</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rPr>
              <w:t>of Constitutional Debtholders on</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6"/>
              </w:rPr>
              <w:t>Holdings, Inc. on its $4B acquisition of</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plc’s $107B sale to Anheuser-Busch</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line="162" w:lineRule="exact"/>
              <w:rPr>
                <w:sz w:val="20"/>
                <w:szCs w:val="20"/>
                <w:color w:val="auto"/>
              </w:rPr>
            </w:pPr>
            <w:r>
              <w:rPr>
                <w:rFonts w:ascii="Arial" w:cs="Arial" w:eastAsia="Arial" w:hAnsi="Arial"/>
                <w:sz w:val="16"/>
                <w:szCs w:val="16"/>
                <w:color w:val="auto"/>
                <w:w w:val="98"/>
              </w:rPr>
              <w:t>settlement with Puerto Rico Oversight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Honey Science Corporation</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InBev SA/NV</w:t>
            </w:r>
          </w:p>
        </w:tc>
        <w:tc>
          <w:tcPr>
            <w:tcW w:w="106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and Management Board</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Altria Group, Inc. in its</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Advisor to Occidental Petroleum Corp.</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Advisor to Legacy Reserves Inc. in its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w w:val="97"/>
              </w:rPr>
              <w:t>on formation of Midland Basin JV with</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$12.8B investment in JUUL Labs, Inc.</w:t>
            </w: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7"/>
              </w:rPr>
              <w:t>joint Chapter 11 plan of reorganization</w:t>
            </w:r>
          </w:p>
        </w:tc>
        <w:tc>
          <w:tcPr>
            <w:tcW w:w="0" w:type="dxa"/>
            <w:vAlign w:val="bottom"/>
          </w:tcPr>
          <w:p>
            <w:pPr>
              <w:spacing w:after="0"/>
              <w:rPr>
                <w:sz w:val="1"/>
                <w:szCs w:val="1"/>
                <w:color w:val="auto"/>
              </w:rPr>
            </w:pPr>
          </w:p>
        </w:tc>
      </w:tr>
      <w:tr>
        <w:trPr>
          <w:trHeight w:val="125"/>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EcoPetrol for $1.5B</w:t>
            </w: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Financial advisor to Altria Group, Inc.</w:t>
            </w:r>
          </w:p>
        </w:tc>
        <w:tc>
          <w:tcPr>
            <w:tcW w:w="1060" w:type="dxa"/>
            <w:vAlign w:val="bottom"/>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financial advisor to Cantel</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Exclusive financial advisor to the</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tcBorders>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on its $1.8B acquisition of Cronos</w:t>
            </w:r>
          </w:p>
        </w:tc>
        <w:tc>
          <w:tcPr>
            <w:tcW w:w="1060" w:type="dxa"/>
            <w:vAlign w:val="bottom"/>
          </w:tcPr>
          <w:p>
            <w:pPr>
              <w:spacing w:after="0"/>
              <w:rPr>
                <w:sz w:val="14"/>
                <w:szCs w:val="14"/>
                <w:color w:val="auto"/>
              </w:rPr>
            </w:pPr>
          </w:p>
        </w:tc>
        <w:tc>
          <w:tcPr>
            <w:tcW w:w="26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Medical Corp. on its $775M acquisition</w:t>
            </w:r>
          </w:p>
        </w:tc>
        <w:tc>
          <w:tcPr>
            <w:tcW w:w="3760" w:type="dxa"/>
            <w:vAlign w:val="bottom"/>
            <w:tcBorders>
              <w:right w:val="single" w:sz="8" w:color="auto"/>
            </w:tcBorders>
          </w:tcPr>
          <w:p>
            <w:pPr>
              <w:ind w:left="1080"/>
              <w:spacing w:after="0" w:line="162" w:lineRule="exact"/>
              <w:rPr>
                <w:sz w:val="20"/>
                <w:szCs w:val="20"/>
                <w:color w:val="auto"/>
              </w:rPr>
            </w:pPr>
            <w:r>
              <w:rPr>
                <w:rFonts w:ascii="Arial" w:cs="Arial" w:eastAsia="Arial" w:hAnsi="Arial"/>
                <w:sz w:val="16"/>
                <w:szCs w:val="16"/>
                <w:color w:val="auto"/>
              </w:rPr>
              <w:t>Special Committee of the WeWork</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Group Inc.</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Hu-Friedy Mfg. Co.</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Advisor to E.ON SE in its $54B</w:t>
            </w:r>
          </w:p>
        </w:tc>
        <w:tc>
          <w:tcPr>
            <w:tcW w:w="1060" w:type="dxa"/>
            <w:vAlign w:val="bottom"/>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Exclusive advisor to SodaStream</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w w:val="93"/>
              </w:rPr>
              <w:t>Advisor to one of the largest creditors in</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acquisition of innogy SE and exchange</w:t>
            </w:r>
          </w:p>
        </w:tc>
        <w:tc>
          <w:tcPr>
            <w:tcW w:w="1060" w:type="dxa"/>
            <w:vAlign w:val="bottom"/>
          </w:tcPr>
          <w:p>
            <w:pPr>
              <w:spacing w:after="0"/>
              <w:rPr>
                <w:sz w:val="16"/>
                <w:szCs w:val="16"/>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International, Ltd. in its $3.2B sale to</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Sears, Roebuck and Co.’s debt</w:t>
            </w:r>
          </w:p>
        </w:tc>
        <w:tc>
          <w:tcPr>
            <w:tcW w:w="0" w:type="dxa"/>
            <w:vAlign w:val="bottom"/>
          </w:tcPr>
          <w:p>
            <w:pPr>
              <w:spacing w:after="0"/>
              <w:rPr>
                <w:sz w:val="1"/>
                <w:szCs w:val="1"/>
                <w:color w:val="auto"/>
              </w:rPr>
            </w:pPr>
          </w:p>
        </w:tc>
      </w:tr>
      <w:tr>
        <w:trPr>
          <w:trHeight w:val="219"/>
        </w:trPr>
        <w:tc>
          <w:tcPr>
            <w:tcW w:w="1080" w:type="dxa"/>
            <w:vAlign w:val="bottom"/>
            <w:tcBorders>
              <w:left w:val="single" w:sz="8" w:color="auto"/>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 assets with RWE AG</w:t>
            </w:r>
          </w:p>
        </w:tc>
        <w:tc>
          <w:tcPr>
            <w:tcW w:w="106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PepsiCo Inc.</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restructuring</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Lead advisor to Becton, Dickinson and</w:t>
            </w:r>
          </w:p>
        </w:tc>
        <w:tc>
          <w:tcPr>
            <w:tcW w:w="1060" w:type="dxa"/>
            <w:vAlign w:val="bottom"/>
          </w:tcPr>
          <w:p>
            <w:pPr>
              <w:spacing w:after="0"/>
              <w:rPr>
                <w:sz w:val="17"/>
                <w:szCs w:val="1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Apache Corporation in the</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94"/>
        </w:trPr>
        <w:tc>
          <w:tcPr>
            <w:tcW w:w="1080" w:type="dxa"/>
            <w:vAlign w:val="bottom"/>
            <w:tcBorders>
              <w:left w:val="single" w:sz="8" w:color="auto"/>
            </w:tcBorders>
          </w:tcPr>
          <w:p>
            <w:pPr>
              <w:spacing w:after="0"/>
              <w:rPr>
                <w:sz w:val="8"/>
                <w:szCs w:val="8"/>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 in its $24B acquisition of C.R.</w:t>
            </w:r>
          </w:p>
        </w:tc>
        <w:tc>
          <w:tcPr>
            <w:tcW w:w="1060" w:type="dxa"/>
            <w:vAlign w:val="bottom"/>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3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80" w:type="dxa"/>
            <w:vAlign w:val="bottom"/>
            <w:tcBorders>
              <w:left w:val="single" w:sz="8" w:color="auto"/>
            </w:tcBorders>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1060" w:type="dxa"/>
            <w:vAlign w:val="bottom"/>
          </w:tcPr>
          <w:p>
            <w:pPr>
              <w:spacing w:after="0"/>
              <w:rPr>
                <w:sz w:val="8"/>
                <w:szCs w:val="8"/>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5"/>
              </w:rPr>
              <w:t>$3.5B formation of Altus Midstream LP</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112"/>
        </w:trPr>
        <w:tc>
          <w:tcPr>
            <w:tcW w:w="1080" w:type="dxa"/>
            <w:vAlign w:val="bottom"/>
            <w:tcBorders>
              <w:left w:val="single" w:sz="8" w:color="auto"/>
            </w:tcBorders>
          </w:tcPr>
          <w:p>
            <w:pPr>
              <w:spacing w:after="0"/>
              <w:rPr>
                <w:sz w:val="9"/>
                <w:szCs w:val="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Bard, Inc.</w:t>
            </w:r>
          </w:p>
        </w:tc>
        <w:tc>
          <w:tcPr>
            <w:tcW w:w="1060" w:type="dxa"/>
            <w:vAlign w:val="bottom"/>
          </w:tcPr>
          <w:p>
            <w:pPr>
              <w:spacing w:after="0"/>
              <w:rPr>
                <w:sz w:val="9"/>
                <w:szCs w:val="9"/>
                <w:color w:val="auto"/>
              </w:rPr>
            </w:pPr>
          </w:p>
        </w:tc>
        <w:tc>
          <w:tcPr>
            <w:tcW w:w="268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80" w:type="dxa"/>
            <w:vAlign w:val="bottom"/>
            <w:tcBorders>
              <w:left w:val="single" w:sz="8" w:color="auto"/>
              <w:bottom w:val="single" w:sz="8" w:color="auto"/>
            </w:tcBorders>
          </w:tcPr>
          <w:p>
            <w:pPr>
              <w:spacing w:after="0"/>
              <w:rPr>
                <w:sz w:val="9"/>
                <w:szCs w:val="9"/>
                <w:color w:val="auto"/>
              </w:rPr>
            </w:pPr>
          </w:p>
        </w:tc>
        <w:tc>
          <w:tcPr>
            <w:tcW w:w="2680" w:type="dxa"/>
            <w:vAlign w:val="bottom"/>
            <w:tcBorders>
              <w:bottom w:val="single" w:sz="8" w:color="auto"/>
              <w:right w:val="single" w:sz="8" w:color="auto"/>
            </w:tcBorders>
            <w:vMerge w:val="continue"/>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-4234180</wp:posOffset>
            </wp:positionV>
            <wp:extent cx="428625"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-4559935</wp:posOffset>
            </wp:positionV>
            <wp:extent cx="480060" cy="291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0060" cy="29146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-4491355</wp:posOffset>
            </wp:positionV>
            <wp:extent cx="41148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-3394075</wp:posOffset>
            </wp:positionV>
            <wp:extent cx="394335"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94335" cy="1200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-3865880</wp:posOffset>
            </wp:positionV>
            <wp:extent cx="377190" cy="939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-3205480</wp:posOffset>
            </wp:positionV>
            <wp:extent cx="33401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4010" cy="1885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-3205480</wp:posOffset>
            </wp:positionV>
            <wp:extent cx="25717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175" cy="1885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-2519680</wp:posOffset>
            </wp:positionV>
            <wp:extent cx="428625"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-2519680</wp:posOffset>
            </wp:positionV>
            <wp:extent cx="377190"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77190" cy="1200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-2502535</wp:posOffset>
            </wp:positionV>
            <wp:extent cx="411480" cy="93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-1637030</wp:posOffset>
            </wp:positionV>
            <wp:extent cx="41148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-2091055</wp:posOffset>
            </wp:positionV>
            <wp:extent cx="4114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11480" cy="1714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-2091055</wp:posOffset>
            </wp:positionV>
            <wp:extent cx="25717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-1610995</wp:posOffset>
            </wp:positionV>
            <wp:extent cx="196850" cy="1974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-1559560</wp:posOffset>
            </wp:positionV>
            <wp:extent cx="411480" cy="946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1480" cy="9461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-1105535</wp:posOffset>
            </wp:positionV>
            <wp:extent cx="411480"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-1113790</wp:posOffset>
            </wp:positionV>
            <wp:extent cx="394335" cy="939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94335" cy="939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-770890</wp:posOffset>
            </wp:positionV>
            <wp:extent cx="428625"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8625" cy="16319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-728345</wp:posOffset>
            </wp:positionV>
            <wp:extent cx="411480" cy="685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11480" cy="6858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-736600</wp:posOffset>
            </wp:positionV>
            <wp:extent cx="334645" cy="85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464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-359410</wp:posOffset>
            </wp:positionV>
            <wp:extent cx="36004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-368300</wp:posOffset>
            </wp:positionV>
            <wp:extent cx="43688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6880" cy="1631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-334010</wp:posOffset>
            </wp:positionV>
            <wp:extent cx="334645" cy="93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4645" cy="9398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that leadership in the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0" w:lineRule="exact"/>
        <w:rPr>
          <w:sz w:val="20"/>
          <w:szCs w:val="20"/>
          <w:color w:val="auto"/>
        </w:rPr>
      </w:pPr>
    </w:p>
    <w:p>
      <w:pPr>
        <w:ind w:left="660" w:right="240" w:hanging="328"/>
        <w:spacing w:after="0" w:line="26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Environmental pillar is focused on assessing and monitoring our environmental footprint, and proactively raising our firm-wide awareness of environmental risk and opportunity by committing to sustainable practices to oversee environmental aspects in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5" w:name="page106"/>
    <w:bookmarkEnd w:id="105"/>
    <w:p>
      <w:pPr>
        <w:spacing w:after="0" w:line="140" w:lineRule="exact"/>
        <w:rPr>
          <w:sz w:val="20"/>
          <w:szCs w:val="20"/>
          <w:color w:val="auto"/>
        </w:rPr>
      </w:pPr>
    </w:p>
    <w:p>
      <w:pPr>
        <w:ind w:left="660" w:right="580" w:hanging="328"/>
        <w:spacing w:after="0" w:line="28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Social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Social pillar is focused on promoting diversity and inclusion, reinforcing our commitment to engage, develop and motivate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maintaining a rigorous cybersecurity program to protect our valuable data.</w:t>
      </w:r>
    </w:p>
    <w:p>
      <w:pPr>
        <w:spacing w:after="0" w:line="107" w:lineRule="exact"/>
        <w:rPr>
          <w:rFonts w:ascii="Arial" w:cs="Arial" w:eastAsia="Arial" w:hAnsi="Arial"/>
          <w:sz w:val="18"/>
          <w:szCs w:val="18"/>
          <w:color w:val="auto"/>
        </w:rPr>
      </w:pPr>
    </w:p>
    <w:p>
      <w:pPr>
        <w:ind w:left="660" w:right="340" w:hanging="328"/>
        <w:spacing w:after="0" w:line="312"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Governance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Governance pillar is focused on upholding our commitment to ethical business conduct, professional integrity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by integrating strong governance and enterprise risk management oversight across all aspects of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Company with 16 advisory professionals, including ten advisory partners. By 2010, we had grown our Company to 137 advisory professionals, including 24 advisory partners. By 2014, we had grown our Company to 183 advisory professionals, including 32 advisory partners.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-307975</wp:posOffset>
            </wp:positionV>
            <wp:extent cx="285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drivers of the growth of the Company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in each of the last six years, the Vault Best Internship and Banking 25 surveys have ranked us Top Ten for Investment Banking Internships and Top Five for Formal Training.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as of December 31, 2021, 21 of our 60 advisory partners were promoted internally.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Global Women’s Advisory Prep Program and the Global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NIST and ISO frameworks, and our policies and procedures in managing PII are in compliance with GDPR requirements.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TPH was founded in 2007 and is headquartered in Houston, Texas.</w:t>
      </w:r>
    </w:p>
    <w:p>
      <w:pPr>
        <w:spacing w:after="0" w:line="11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28, 2019, we effected the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Persons Transactions—PWP’s Related Party Transactions—Agreements with PWP Capital.</w:t>
      </w:r>
      <w:r>
        <w:rPr>
          <w:rFonts w:ascii="Arial" w:cs="Arial" w:eastAsia="Arial" w:hAnsi="Arial"/>
          <w:sz w:val="17"/>
          <w:szCs w:val="17"/>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w:t>
      </w:r>
    </w:p>
    <w:p>
      <w:pPr>
        <w:spacing w:after="0" w:line="13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clients participating in those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1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regulation we are subject to in the United States, we are also subject to regulation internationally. PWP U.K. is authorized and regulated by the FCA and, as a limited license Prudential sourcebook for Investment Firms, is required to maintain, as a minimum, regulatory capital of the greater of: (a) its base capital requirement of €50,000; (b) the sum of its market and credit risk requirements; or (c) one-quarter of PWP U.K.’s annual fixed overheads calculated in accordance with E.U. laws that have implemented the European Banking Authority’s regulatory technical standards.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1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Bank Secrecy Act (the “</w:t>
      </w:r>
      <w:r>
        <w:rPr>
          <w:rFonts w:ascii="Arial" w:cs="Arial" w:eastAsia="Arial" w:hAnsi="Arial"/>
          <w:sz w:val="16"/>
          <w:szCs w:val="16"/>
          <w:u w:val="single" w:color="auto"/>
          <w:color w:val="auto"/>
        </w:rPr>
        <w:t>BSA</w:t>
      </w:r>
      <w:r>
        <w:rPr>
          <w:rFonts w:ascii="Arial" w:cs="Arial" w:eastAsia="Arial" w:hAnsi="Arial"/>
          <w:sz w:val="16"/>
          <w:szCs w:val="16"/>
          <w:color w:val="auto"/>
        </w:rPr>
        <w:t>”),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support of U.S. foreign policy and national security goals, the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Countries</w:t>
      </w:r>
      <w:r>
        <w:rPr>
          <w:rFonts w:ascii="Arial" w:cs="Arial" w:eastAsia="Arial" w:hAnsi="Arial"/>
          <w:sz w:val="17"/>
          <w:szCs w:val="17"/>
          <w:color w:val="auto"/>
        </w:rPr>
        <w:t>”)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w:t>
      </w:r>
      <w:r>
        <w:rPr>
          <w:rFonts w:ascii="Arial" w:cs="Arial" w:eastAsia="Arial" w:hAnsi="Arial"/>
          <w:sz w:val="17"/>
          <w:szCs w:val="17"/>
          <w:u w:val="single" w:color="auto"/>
          <w:color w:val="auto"/>
        </w:rPr>
        <w:t>SDNs</w:t>
      </w:r>
      <w:r>
        <w:rPr>
          <w:rFonts w:ascii="Arial" w:cs="Arial" w:eastAsia="Arial" w:hAnsi="Arial"/>
          <w:sz w:val="17"/>
          <w:szCs w:val="17"/>
          <w:color w:val="auto"/>
        </w:rPr>
        <w:t>”)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0" w:name="page111"/>
    <w:bookmarkEnd w:id="110"/>
    <w:p>
      <w:pPr>
        <w:spacing w:after="0" w:line="14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FCPA, the UK Bribery Act 2010 (the “</w:t>
      </w:r>
      <w:r>
        <w:rPr>
          <w:rFonts w:ascii="Arial" w:cs="Arial" w:eastAsia="Arial" w:hAnsi="Arial"/>
          <w:sz w:val="16"/>
          <w:szCs w:val="16"/>
          <w:u w:val="single" w:color="auto"/>
          <w:color w:val="auto"/>
        </w:rPr>
        <w:t>UK Bribery Act</w:t>
      </w:r>
      <w:r>
        <w:rPr>
          <w:rFonts w:ascii="Arial" w:cs="Arial" w:eastAsia="Arial" w:hAnsi="Arial"/>
          <w:sz w:val="16"/>
          <w:szCs w:val="16"/>
          <w:color w:val="auto"/>
        </w:rPr>
        <w: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602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2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0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1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Unless the context otherwise requires, all references in this section to “PWP,” the “Company,” “we,” “us” or “our” refer to the business of PWP prior to the consummation of the Business Combination and Perella Weinberg Partners following the consummation of the Business Combination.</w:t>
      </w:r>
    </w:p>
    <w:p>
      <w:pPr>
        <w:spacing w:after="0" w:line="9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w:t>
      </w:r>
      <w:r>
        <w:rPr>
          <w:rFonts w:ascii="Arial" w:cs="Arial" w:eastAsia="Arial" w:hAnsi="Arial"/>
          <w:sz w:val="16"/>
          <w:szCs w:val="16"/>
          <w:i w:val="1"/>
          <w:iCs w:val="1"/>
          <w:color w:val="auto"/>
        </w:rPr>
        <w:t>Summary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and Other Information</w:t>
      </w:r>
      <w:r>
        <w:rPr>
          <w:rFonts w:ascii="Arial" w:cs="Arial" w:eastAsia="Arial" w:hAnsi="Arial"/>
          <w:sz w:val="16"/>
          <w:szCs w:val="16"/>
          <w:color w:val="auto"/>
        </w:rPr>
        <w:t>” and our historical consolidated financial statements and related notes included elsewhere in this prospectus.</w:t>
      </w:r>
    </w:p>
    <w:p>
      <w:pPr>
        <w:spacing w:after="0" w:line="7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sections entitled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 and elsewhere in this prospectus.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and related industries.</w:t>
      </w:r>
    </w:p>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1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June 24, 2021, Perella Weinberg Partners consummated the Business Combination whereby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consolidated financial statements included in this prospectus reflect (i) the historical operating results of PWP OpCo prior to the Business Combination and</w:t>
      </w:r>
    </w:p>
    <w:p>
      <w:pPr>
        <w:spacing w:after="0" w:line="2" w:lineRule="exact"/>
        <w:rPr>
          <w:sz w:val="20"/>
          <w:szCs w:val="20"/>
          <w:color w:val="auto"/>
        </w:rPr>
      </w:pPr>
    </w:p>
    <w:p>
      <w:pPr>
        <w:ind w:right="20" w:firstLine="8"/>
        <w:spacing w:after="0" w:line="253"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combined results of the Company following the Business Combination. The Company shareholders are entitled to receive a portion of PWP OpCo’s economics through their ownership interests in shares of Class A common stock of the Company, which holds PWP OpCo Class A partnership units. The non-controlling interest owners of PWP OpCo receive a portion of its economics through their ownership of PWP OpCo units.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discussion related to the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Worldwide announced M&amp;A volumes in 2021 increased significantly as compared to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2021.</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elevated in the medium term.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3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in this prospectus for a discussion of some of the factors that can affect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2021 vs. 2020</w:t>
            </w:r>
          </w:p>
        </w:tc>
        <w:tc>
          <w:tcPr>
            <w:tcW w:w="14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24"/>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compensation and benefits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980" w:type="dxa"/>
            <w:vAlign w:val="bottom"/>
          </w:tcPr>
          <w:p>
            <w:pPr>
              <w:ind w:left="240"/>
              <w:spacing w:after="0"/>
              <w:rPr>
                <w:sz w:val="20"/>
                <w:szCs w:val="20"/>
                <w:color w:val="auto"/>
              </w:rPr>
            </w:pPr>
            <w:r>
              <w:rPr>
                <w:rFonts w:ascii="Arial" w:cs="Arial" w:eastAsia="Arial" w:hAnsi="Arial"/>
                <w:sz w:val="18"/>
                <w:szCs w:val="18"/>
                <w:color w:val="auto"/>
              </w:rPr>
              <w:t>Non-compensation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134,435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NM</w:t>
            </w:r>
          </w:p>
        </w:tc>
        <w:tc>
          <w:tcPr>
            <w:tcW w:w="142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rPr>
                <w:sz w:val="20"/>
                <w:szCs w:val="20"/>
                <w:color w:val="auto"/>
              </w:rPr>
            </w:pPr>
            <w:r>
              <w:rPr>
                <w:rFonts w:ascii="Arial" w:cs="Arial" w:eastAsia="Arial" w:hAnsi="Arial"/>
                <w:sz w:val="18"/>
                <w:szCs w:val="18"/>
                <w:color w:val="auto"/>
              </w:rPr>
              <w:t>Related party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NM</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income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w w:val="99"/>
              </w:rPr>
              <w:t>NM</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9"/>
              </w:rPr>
              <w:t>NM</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Less: Net income (loss) attributable to non-controlling</w:t>
            </w:r>
          </w:p>
        </w:tc>
        <w:tc>
          <w:tcPr>
            <w:tcW w:w="3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8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2"/>
              </w:rPr>
              <w:t>Net income (loss) attributable to Perella Weinberg</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(9,421)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98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Partners</w:t>
            </w:r>
          </w:p>
        </w:tc>
        <w:tc>
          <w:tcPr>
            <w:tcW w:w="3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specifically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Revenues were $801.7 million for the year ended December 31, 2021 as compared with $519.0 million for the year ended December 31, 2020, representing an increase of 54%. The increase in revenues can be attributed to both an increase in the number of advisory clients and the average fee size per client as M&amp;A activity increased year over year, partially offset by a reduction in restructuring and liability management fees as compared to the prior year.</w:t>
      </w:r>
    </w:p>
    <w:p>
      <w:pPr>
        <w:spacing w:after="0" w:line="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years ended December 31, 2021 and 2020, we earned revenues from 232 and 175 advisory clients, respectively. The number of advisory clients who paid fees equal to or greater than $1.0 million increased to 142 advisory clients for the year ended December 31, 2021 compared to 99 advisory clients for the year ended December 31, 2020. The average fee size increased to $3.4 million for the year ended December 31, 2021 from $2.9 million for the year ended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Revenues were $519.0 million for the year ended December 31, 2020 as compared with $533.3 million for the year ended December 31, 2019, representing a decrease of 3%. The decrease in revenues was primarily driven by a decline in mergers and acquisitions activity during the start of COVID-19 pandemic, offset partially by an increase in capital structure and restructuring activity.</w:t>
      </w:r>
    </w:p>
    <w:p>
      <w:pPr>
        <w:spacing w:after="0" w:line="13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 at $2.9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1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2021 vs. 2020</w:t>
            </w:r>
          </w:p>
        </w:tc>
        <w:tc>
          <w:tcPr>
            <w:tcW w:w="14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 vs. 2019</w:t>
            </w:r>
          </w:p>
        </w:tc>
      </w:tr>
      <w:tr>
        <w:trPr>
          <w:trHeight w:val="211"/>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504,364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374,332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349,819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96,330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24,815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193,299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 compensation and benefits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600,694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399,147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543,118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Non-compensation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134,384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134,435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145,298</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735,078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533,582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688,416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22,950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(20,889)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(161,596)</w:t>
            </w:r>
          </w:p>
        </w:tc>
        <w:tc>
          <w:tcPr>
            <w:tcW w:w="10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NM</w:t>
            </w:r>
          </w:p>
        </w:tc>
        <w:tc>
          <w:tcPr>
            <w:tcW w:w="144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364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operating expenses are classified as (i) total compensation and benefits expenses including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Operating expenses were $735.1 million for the year ended December 31, 2021 and represented 92% of revenues, compared with $533.6 million for the year ended December 31, 2020, which represented 103% of revenues. The increase in operating expenses was primarily driven by an increase in total compensation and benefits expenses, which were $600.7 million for the year ended December 31, 2021 compared to $399.1 million for the year ended December 31, 2020. Non-compensation expenses were $134.4 million for the year ended December 31, 2021 and represented 17% of revenues, compared to $134.4 million for the year ended December 31, 2020, which represented 26% of revenues.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Operating expenses were $533.6 million for the year ended December 31, 2020 and represented 103% of revenues, compared with $688.4 million for the year ended December 31, 2019, which represented 129% of revenues. The decrease in operating expenses was driven by a decrease in both total compensation and benefits and non-compensation expense from the prior year. Total compensation and benefits was $399.1 million for the year ended December 31, 2020 compared to $543.1 million for the year ended December 31, 2019. Non-compensation expense was $134.4 million for the year ended December 31, 2020, representing 26% of revenue compared to $145.3 million for the year ended December 31, 2019, representing 27%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 Expenses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3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certain equity-based awards granted by Professional Partners to partners providing services to PWP OpCo prior to the Business Combination and the various Professional Partners value capital units (“</w:t>
      </w:r>
      <w:r>
        <w:rPr>
          <w:rFonts w:ascii="Arial" w:cs="Arial" w:eastAsia="Arial" w:hAnsi="Arial"/>
          <w:sz w:val="17"/>
          <w:szCs w:val="17"/>
          <w:u w:val="single" w:color="auto"/>
          <w:color w:val="auto"/>
        </w:rPr>
        <w:t>VCUs</w:t>
      </w:r>
      <w:r>
        <w:rPr>
          <w:rFonts w:ascii="Arial" w:cs="Arial" w:eastAsia="Arial" w:hAnsi="Arial"/>
          <w:sz w:val="17"/>
          <w:szCs w:val="17"/>
          <w:color w:val="auto"/>
        </w:rPr>
        <w:t>”) and alignment capital units (“</w:t>
      </w:r>
      <w:r>
        <w:rPr>
          <w:rFonts w:ascii="Arial" w:cs="Arial" w:eastAsia="Arial" w:hAnsi="Arial"/>
          <w:sz w:val="17"/>
          <w:szCs w:val="17"/>
          <w:u w:val="single" w:color="auto"/>
          <w:color w:val="auto"/>
        </w:rPr>
        <w:t>ACUs</w:t>
      </w:r>
      <w:r>
        <w:rPr>
          <w:rFonts w:ascii="Arial" w:cs="Arial" w:eastAsia="Arial" w:hAnsi="Arial"/>
          <w:sz w:val="17"/>
          <w:szCs w:val="17"/>
          <w:color w:val="auto"/>
        </w:rPr>
        <w:t>”) (collectively, the “</w:t>
      </w:r>
      <w:r>
        <w:rPr>
          <w:rFonts w:ascii="Arial" w:cs="Arial" w:eastAsia="Arial" w:hAnsi="Arial"/>
          <w:sz w:val="17"/>
          <w:szCs w:val="17"/>
          <w:u w:val="single" w:color="auto"/>
          <w:color w:val="auto"/>
        </w:rPr>
        <w:t>Professional Partners Awards</w:t>
      </w:r>
      <w:r>
        <w:rPr>
          <w:rFonts w:ascii="Arial" w:cs="Arial" w:eastAsia="Arial" w:hAnsi="Arial"/>
          <w:sz w:val="17"/>
          <w:szCs w:val="17"/>
          <w:color w:val="auto"/>
        </w:rPr>
        <w:t>”)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consolidated statements of operations and consolidated statements of financial condition.</w:t>
      </w:r>
    </w:p>
    <w:p>
      <w:pPr>
        <w:spacing w:after="0" w:line="12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Beginning in the third quarter of 2021, the Company granted incentive compensation awards in accordance with the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$97.2 million for restricted stock units out of the Transaction Pool Share Reserve (as defined below) consisting of (a) performance restricted stock units (“</w:t>
      </w:r>
      <w:r>
        <w:rPr>
          <w:rFonts w:ascii="Arial" w:cs="Arial" w:eastAsia="Arial" w:hAnsi="Arial"/>
          <w:sz w:val="18"/>
          <w:szCs w:val="18"/>
          <w:u w:val="single" w:color="auto"/>
          <w:color w:val="auto"/>
        </w:rPr>
        <w:t>PSUs</w:t>
      </w:r>
      <w:r>
        <w:rPr>
          <w:rFonts w:ascii="Arial" w:cs="Arial" w:eastAsia="Arial" w:hAnsi="Arial"/>
          <w:sz w:val="18"/>
          <w:szCs w:val="18"/>
          <w:color w:val="auto"/>
        </w:rPr>
        <w:t>”) that only vest upon the achievement of both service and market conditions and (b)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that vest upon the achievement of service conditions and $76.6 million for PSUs out of the aggregate number of shares of Class A common stock reserved for issuance under the Incentive Plan for general purposes to certain executives that vest upon the achievement of both service and market conditions granted in conjunction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For the year ended December 31, 2021, total compensation and benefits expenses of $600.7 million represented 75% of revenues, compared with $399.1 million of compensation-related expenses, which represented 77% of revenues for the year ended December 31, 2020. Included in total compensation-related expense was $96.3 million and $24.8 million amortization of equity awards for the years ended December 31,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17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consolidated statements of operations.</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as well as professional fees related to recruiting expenses, while geographic expansion has increased regulatory expenses. This trend may continue as we expand into new sectors, geographies and products to serve our clients’ growing needs, domestically and internationally. Additionally, travel and related expenses may increase as COVID-19 pandemic related travel restrictions ease.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the year ended December 31, 2021, non-compensation expenses of $134.4 million represented 17% of revenues, compared with $134.4 million, which represented 26% of revenues, for the year ended December 31, 2020. Non-compensation expenses for the year ended December 31, 2021 included a $1.0 million decrease in professional fees. This reduction is largely due to elevated professional fees during the year ended December 31, 2020 as previously deferred offering costs of $14.8 million were expensed due to the termination of a public company transaction process in May 2020. Excluding this write-off, professional fees during the year ended December 31, 2021 increased $13.8 million, including approximately $9.6 million increase in consulting fees and approximately $3.8 million increase in recruiting expenses. Non-compensation expense for the year ended December 31, 2021 also included a $1.9 million increase in general and administrative and other expense primarily driven by increased public company costs such as directors and officers insurance and a $1.1 million increase in technology and infrastructure expenses related to certain new initiatives which were partially offset by a $1.6 million decrease in rent and occupancy expenses as a result of a lease modification whereby the Company vacated a portion of the Houston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w:t>
      </w:r>
    </w:p>
    <w:p>
      <w:pPr>
        <w:spacing w:after="0" w:line="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year ended December 31, 2021, non-operating income (expenses) was $43.6 million of expense compared to $6.3 million of expense for the year ended December 31, 2020. The most significant component and change from the prior year period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 Additionally, the increase in non-operating expense during the year ended December 31, 2021 was also driven by the change in the fair value of warrant liabilities. These increases were partially offset by a decrease in interest expense related to the repayment of all indebtedness in connection with the Business Combination.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w:t>
      </w:r>
    </w:p>
    <w:p>
      <w:pPr>
        <w:spacing w:after="0" w:line="13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1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compensation expense is non-deductible, both prior to the Business Combination and for the subsequent period, (iii) the Company has recorded unrecognized tax benefits related to a potential double inclusion of income on its foreign tax returns and (iv) a portion of the Company’s income is allocated to non-controlling interests held in PWP OpCo in which the majority of any tax liability on such income is borne by the holders of such non-controlling interests and reported outside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income tax expense and effective tax rate were $18.9 million and 82.5%, respectively, for the year ended December 31, 2021 compared to income tax expense and effective tax rate of $3.5 million and (16.5)%, respectively, for the year ended December 31, 2020.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1" w:name="page122"/>
    <w:bookmarkEnd w:id="12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purchases of fixed assets, debt payments and distributions to partners, and during the year ended December 31, 2021, the proceeds and distributions related to the Business Combination.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6"/>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4"/>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(164,019)</w:t>
            </w: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Non-cash charges and other operating activity adjustments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229,814</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(171,902)</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operating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85,907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(106,107)</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(30,213)</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173,867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(141,949)</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266,582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408,531</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330,908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266,582</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Cash and restricted cash were $504.8 million as of December 31, 2021, an increase of $173.9 million from $330.9 million as of December 31, 2020. Operating activities resulted in a net inflow of $234.9 million largely attributable to changes in working capital and net income generated during the year ended December 31, 2021. Net income included $171.9 million of non-cash charges including a $39.4 million loss on debt extinguishment related to the redemption of the Convertible Notes concurrent with the Business Combination. Investing activities resulted in a net outflow of $2.4 million attributable to the Company’s purchases of fixed assets and the deconsolidation of PFAC Holdings I LLC. Financing activities resulted in a net outflow of $55.0 million primarily related to the transactions associated with the Business Combination, the payoff of all outstanding debt and tax distributions to limited partners of PWP OpCo, the repurchase of Founder Shares held as treasury shares, withholding payments for vesting of incentive awards and the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Cash and restricted cash were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 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Cash and restricted cash were $266.6 million as of December 31, 2019, a decrease of $141.9 million from $408.5 million as of December 31, 2018. The Company reported a net loss of $164.0 million for the year, which included $229.1 million of non-cash charges, largely composed of the equity-based compensation. This was offset by a decrease in accrued compensation and benefits of $148.4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23" w:name="page124"/>
    <w:bookmarkEnd w:id="123"/>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current assets are primarily composed of cash, receivables related to fees earned from providing advisory services and due from related parties. Our current liabilities are primarily composed of accounts payable, accrued expenses, accrued and deferred employee compensation and due to related parties. Due from related parties primarily includes amounts due from PWP Capital.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Accrued compensation and benefits as of December 31, 2021 and 2020 was $311.5 million and $213.5 million, respectively. Cash then typically builds over the remainder of the year. The Company makes quarterly partner tax distributions as required under the partnership agreement of PWP OpCo. These distributions totaled $65.9 million, $12.0 million and $38.4 million during the years ended December 31, 2021, 2020 and 2019. Additionally, as a public company, we intend to pay dividends throughout the year and may consider share or Warrant repurchases as well. During the year ended December 31, 2021, the Company paid $6.0 million in cash dividends and repurchased 1,000,000 shares at a purchase price of $12.00 per share for a total purchase price of $12.0 million, which are being held in treasury stock. The Company has the option to net settle vesting RSUs in order to remit required employee withholding taxes using cash on hand. During the year ended December 31, 2021, the Company paid $10.5 million in withholding payments for vested RSUs. Additionally, on February 16, 2022, the Board authorized a $100 million Class A common stock repurchase program, with no expiration date, whereby the Company’s Class A common stock may be repurchased from time to time in open market transactions. The timing and actual number of shares repurchased will depend on a variety of factors, including legal requirements and regulatory restrictions as well as market conditions.</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December 31, 2021 and 2020. As of December 31, 2021 and 2020, the Company had cash balances of $502.8 million and $329.1 million, respectively, maintained in U.S. and non-U.S. bank accounts, of which most bank account balances exceeded the U.S. Federal Deposit Insurance Corporation (“</w:t>
      </w:r>
      <w:r>
        <w:rPr>
          <w:rFonts w:ascii="Arial" w:cs="Arial" w:eastAsia="Arial" w:hAnsi="Arial"/>
          <w:sz w:val="17"/>
          <w:szCs w:val="17"/>
          <w:u w:val="single" w:color="auto"/>
          <w:color w:val="auto"/>
        </w:rPr>
        <w:t>FDIC</w:t>
      </w:r>
      <w:r>
        <w:rPr>
          <w:rFonts w:ascii="Arial" w:cs="Arial" w:eastAsia="Arial" w:hAnsi="Arial"/>
          <w:sz w:val="17"/>
          <w:szCs w:val="17"/>
          <w:color w:val="auto"/>
        </w:rPr>
        <w:t>”) and U.K. Financial Services Compensation Scheme (“</w:t>
      </w:r>
      <w:r>
        <w:rPr>
          <w:rFonts w:ascii="Arial" w:cs="Arial" w:eastAsia="Arial" w:hAnsi="Arial"/>
          <w:sz w:val="17"/>
          <w:szCs w:val="17"/>
          <w:u w:val="single" w:color="auto"/>
          <w:color w:val="auto"/>
        </w:rPr>
        <w:t>FSCS</w:t>
      </w:r>
      <w:r>
        <w:rPr>
          <w:rFonts w:ascii="Arial" w:cs="Arial" w:eastAsia="Arial" w:hAnsi="Arial"/>
          <w:sz w:val="17"/>
          <w:szCs w:val="17"/>
          <w:color w:val="auto"/>
        </w:rPr>
        <w:t>”) coverage limits.</w:t>
      </w:r>
    </w:p>
    <w:p>
      <w:pPr>
        <w:spacing w:after="0" w:line="12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was $46.9 million, net of $1.9 million of allowance for credit losses balance as of December 31, 2021. Accounts receivable was $40.8 million, net of $1.0 million of allowance for credit losses balance as of December 31,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has the Revolving Credit Facility with Cadence Bank. 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December 31, 2021, the Company had no outstanding balance related to the Revolving Credit Facility and no incremental revolving commitments were incurred. For further information on the Revolving Credit Facility, refer to Note 10 – Debt in the notes to consolidated financial statements included elsewhere in this prospectus.</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 – Regulatory Requirements in the notes to consolidated financial statements included elsewhere in this prospectus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the lock up period expired on December 24, 2021; and (b) for Working Partners, will be between three to five years after the Closing), (ii) the restriction on PWP OpCo class A partnership units held by ILPs existing at the time of the Business Combination expired on December 24, 2021, and (iii) any other outstanding PWP OpCo class A partnership units not previously covered by clauses (i) and (ii) above will be subject to such restriction for a period of twelve months to five years after the Closing. PWP GP may waive, and in certain cases has waived, the foregoing restrictions for any single holder with respect to all or a portion of such holder's units, with no obligation to do so for any other holder.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Share Surrender and Share Restriction Agreement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4" w:lineRule="exact"/>
        <w:rPr>
          <w:sz w:val="20"/>
          <w:szCs w:val="20"/>
          <w:color w:val="auto"/>
        </w:rPr>
      </w:pPr>
    </w:p>
    <w:p>
      <w:pPr>
        <w:ind w:right="160"/>
        <w:spacing w:after="0" w:line="438" w:lineRule="auto"/>
        <w:rPr>
          <w:sz w:val="20"/>
          <w:szCs w:val="20"/>
          <w:color w:val="auto"/>
        </w:rPr>
      </w:pPr>
      <w:r>
        <w:rPr>
          <w:rFonts w:ascii="Arial" w:cs="Arial" w:eastAsia="Arial" w:hAnsi="Arial"/>
          <w:sz w:val="18"/>
          <w:szCs w:val="18"/>
          <w:color w:val="auto"/>
        </w:rPr>
        <w:t xml:space="preserve">On August 9, 2021, the Company repurchased 1,000,000 Founder Shares from the Sponsor at $12.00 per share for a total purchase price of $12.0 million. </w:t>
      </w:r>
      <w:r>
        <w:rPr>
          <w:rFonts w:ascii="Arial" w:cs="Arial" w:eastAsia="Arial" w:hAnsi="Arial"/>
          <w:sz w:val="18"/>
          <w:szCs w:val="18"/>
          <w:i w:val="1"/>
          <w:iCs w:val="1"/>
          <w:color w:val="auto"/>
        </w:rPr>
        <w:t>Guarantees</w:t>
      </w:r>
    </w:p>
    <w:p>
      <w:pPr>
        <w:spacing w:after="0" w:line="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PWP OpCo has also unconditionally guaranteed, through a wholly-owned subsidiary, certain loans to limited partners of Professional Partners (“</w:t>
      </w:r>
      <w:r>
        <w:rPr>
          <w:rFonts w:ascii="Arial" w:cs="Arial" w:eastAsia="Arial" w:hAnsi="Arial"/>
          <w:sz w:val="18"/>
          <w:szCs w:val="18"/>
          <w:u w:val="single" w:color="auto"/>
          <w:color w:val="auto"/>
        </w:rPr>
        <w:t>Limited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Partners</w:t>
      </w:r>
      <w:r>
        <w:rPr>
          <w:rFonts w:ascii="Arial" w:cs="Arial" w:eastAsia="Arial" w:hAnsi="Arial"/>
          <w:sz w:val="18"/>
          <w:szCs w:val="18"/>
          <w:color w:val="auto"/>
        </w:rPr>
        <w:t>”) with First Republic Bank (the “</w:t>
      </w:r>
      <w:r>
        <w:rPr>
          <w:rFonts w:ascii="Arial" w:cs="Arial" w:eastAsia="Arial" w:hAnsi="Arial"/>
          <w:sz w:val="18"/>
          <w:szCs w:val="18"/>
          <w:u w:val="single" w:color="auto"/>
          <w:color w:val="auto"/>
        </w:rPr>
        <w:t>Program Lender</w:t>
      </w:r>
      <w:r>
        <w:rPr>
          <w:rFonts w:ascii="Arial" w:cs="Arial" w:eastAsia="Arial" w:hAnsi="Arial"/>
          <w:sz w:val="18"/>
          <w:szCs w:val="18"/>
          <w:color w:val="auto"/>
        </w:rPr>
        <w:t>”), whereby PWP OpCo will pay the Program Lender upon the occurrence of a default event. Refer to Note 17—Related Party Transactions and Note 18—Commitments and Contingencies in the notes to consolidated financial statements included elsewhere in this prospectus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connection with the Business Combination, the Company entered into the Tax Receivable Agreement with, Professional Partners and certain other persons under which the Company agreed to payments of 85% of the amount of savings, if any, that the Company realizes in U.S. federal, state, local and foreign income taxes as a result of (a) the Business Combination and related transactions, (b) exchanges of interests in PWP OpCo for cash or stock of the Company and certain other transactions and (c) payments made under the Tax Receivable Agreement. See Note 17—Related Party Transactions in the notes to consolidated financial statements included elsewhere in this prospectus for further information as well as the expected timing of payments.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Note 5 – Leases in the notes to consolidated financial statements included elsewhere in this prospectus for further information as well as the expected timing of payments. Our London and New York office leases expire in December 2022 and September 2023, respectively, and given our significant historical growth, we anticipate expanding our square footage meaningfully in both locations which will increase our contractual obligations, including capital expenditures for leasehold improvements.</w:t>
      </w:r>
    </w:p>
    <w:p>
      <w:pPr>
        <w:spacing w:after="0" w:line="1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 – Other Compensation and Benefits in the notes to consolidated financial statements included elsewhere in this prospectus for further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 Summary of Significant Accounting Policies in the notes to consolidated financial statements included elsewhere in this prospectus for further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years ended December 31, 2021, 2020 and 2019, the net impact of non-functional currency-related transaction gains and losses recorded in Other income (expense) on our consolidated statements of operations was a $0.2 million loss, a $0.2 million loss, and a $0.9 million loss, respectively. In addition, the reported amounts in our consolidated financial statements may be affected by movements in the rate of exchange between the pound sterling, Euro, and Canadian dollar and our reporting currency, the U.S. dollar, resulting in translation gains and losses. For the years ended December 31, 2021, 2020, and 2019, the net impact of the fluctuation of foreign currencies recorded in Foreign currency translation gain (loss) within our consolidated statements of comprehensive income (loss) was a $1.5 million loss, $3.5 million gain, a $0.8 million gain, respectively. We have not entered into any transactions to hedge our exposure to these foreign currency fluctuations using derivative instruments or other methods but may do so if we deem appropriate in the future.</w:t>
      </w:r>
    </w:p>
    <w:p>
      <w:pPr>
        <w:spacing w:after="0" w:line="11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December 31, 2021, we held balances of $46.9 million of non-U.S. dollar denominated currencies, composed of pound sterling, the Euro, and Canadian dollars.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1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preparation of our historical consolidated financial statements and related disclosures in conformity with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4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w:t>
      </w:r>
    </w:p>
    <w:p>
      <w:pPr>
        <w:spacing w:after="0" w:line="13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w:t>
      </w:r>
    </w:p>
    <w:p>
      <w:pPr>
        <w:spacing w:after="0" w:line="13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4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 related expenses incurred by the underwriting syndicate on the pricing date of the offering and presents these expenses gross within Travel and related expenses in the consolidated statements of operations.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the collectability of client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client and the current economic conditions that may affect a client’s ability to pay such amounts owed to the Company and as a result may recognize a specific credit loss reserve. Accounts receivable also includes accrued revenue which represents amounts due from clients and recognized as revenue in accordance with the Company’s revenue recognition polices, but unbilled as of the date of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PWP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ASC 740</w:t>
      </w:r>
      <w:r>
        <w:rPr>
          <w:rFonts w:ascii="Arial" w:cs="Arial" w:eastAsia="Arial" w:hAnsi="Arial"/>
          <w:sz w:val="17"/>
          <w:szCs w:val="17"/>
          <w:color w:val="auto"/>
        </w:rPr>
        <w:t>”).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30" w:name="page131"/>
    <w:bookmarkEnd w:id="13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section describes the executive compensation of our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for the periods presented below based on the reduced executive compensation disclosure requirements applicable to emerging growth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NEOs for the fiscal year ended December 31, 2021 are:</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4"/>
                <w:szCs w:val="14"/>
                <w:color w:val="auto"/>
              </w:rPr>
            </w:pPr>
          </w:p>
        </w:tc>
        <w:tc>
          <w:tcPr>
            <w:tcW w:w="10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8"/>
                <w:szCs w:val="18"/>
                <w:b w:val="1"/>
                <w:bCs w:val="1"/>
                <w:color w:val="auto"/>
                <w:vertAlign w:val="superscript"/>
              </w:rPr>
              <w:t>(2)</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5"/>
              </w:rPr>
              <w:t>Stock Awards</w:t>
            </w:r>
            <w:r>
              <w:rPr>
                <w:rFonts w:ascii="Arial" w:cs="Arial" w:eastAsia="Arial" w:hAnsi="Arial"/>
                <w:sz w:val="18"/>
                <w:szCs w:val="18"/>
                <w:b w:val="1"/>
                <w:bCs w:val="1"/>
                <w:color w:val="auto"/>
                <w:w w:val="95"/>
                <w:vertAlign w:val="superscript"/>
              </w:rPr>
              <w:t>(3)</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112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1"/>
              <w:spacing w:after="0" w:line="189" w:lineRule="exact"/>
              <w:rPr>
                <w:sz w:val="20"/>
                <w:szCs w:val="20"/>
                <w:color w:val="auto"/>
              </w:rPr>
            </w:pPr>
            <w:r>
              <w:rPr>
                <w:rFonts w:ascii="Arial" w:cs="Arial" w:eastAsia="Arial" w:hAnsi="Arial"/>
                <w:sz w:val="14"/>
                <w:szCs w:val="14"/>
                <w:b w:val="1"/>
                <w:bCs w:val="1"/>
                <w:color w:val="auto"/>
                <w:w w:val="94"/>
              </w:rPr>
              <w:t>Compensation</w:t>
            </w:r>
            <w:r>
              <w:rPr>
                <w:rFonts w:ascii="Arial" w:cs="Arial" w:eastAsia="Arial" w:hAnsi="Arial"/>
                <w:sz w:val="18"/>
                <w:szCs w:val="18"/>
                <w:b w:val="1"/>
                <w:bCs w:val="1"/>
                <w:color w:val="auto"/>
                <w:w w:val="94"/>
                <w:vertAlign w:val="superscript"/>
              </w:rPr>
              <w:t>(4)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Peter A. Weinberg,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55,550,975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71,759,475</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auto"/>
              </w:rPr>
              <w:t>Chief Executive Officer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5,522,278</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Dietrich Becker,</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529,480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12,466,103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41,228,122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21,179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54,244,884</w:t>
            </w:r>
          </w:p>
        </w:tc>
        <w:tc>
          <w:tcPr>
            <w:tcW w:w="0" w:type="dxa"/>
            <w:vAlign w:val="bottom"/>
          </w:tcPr>
          <w:p>
            <w:pPr>
              <w:spacing w:after="0"/>
              <w:rPr>
                <w:sz w:val="1"/>
                <w:szCs w:val="1"/>
                <w:color w:val="auto"/>
              </w:rPr>
            </w:pPr>
          </w:p>
        </w:tc>
      </w:tr>
      <w:tr>
        <w:trPr>
          <w:trHeight w:val="222"/>
        </w:trPr>
        <w:tc>
          <w:tcPr>
            <w:tcW w:w="2680" w:type="dxa"/>
            <w:vAlign w:val="bottom"/>
          </w:tcPr>
          <w:p>
            <w:pPr>
              <w:ind w:left="240"/>
              <w:spacing w:after="0" w:line="222" w:lineRule="exact"/>
              <w:rPr>
                <w:sz w:val="20"/>
                <w:szCs w:val="20"/>
                <w:color w:val="auto"/>
              </w:rPr>
            </w:pPr>
            <w:r>
              <w:rPr>
                <w:rFonts w:ascii="Arial" w:cs="Arial" w:eastAsia="Arial" w:hAnsi="Arial"/>
                <w:sz w:val="16"/>
                <w:szCs w:val="16"/>
                <w:i w:val="1"/>
                <w:iCs w:val="1"/>
                <w:color w:val="auto"/>
              </w:rPr>
              <w:t>Co-President</w:t>
            </w:r>
            <w:r>
              <w:rPr>
                <w:rFonts w:ascii="Arial" w:cs="Arial" w:eastAsia="Arial" w:hAnsi="Arial"/>
                <w:sz w:val="21"/>
                <w:szCs w:val="21"/>
                <w:i w:val="1"/>
                <w:iCs w:val="1"/>
                <w:color w:val="auto"/>
                <w:vertAlign w:val="superscript"/>
              </w:rPr>
              <w:t>(5)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493,696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5,506,304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19,747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6,276,611</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Andrew Bednar,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12,498,000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39,416,139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52,424,639</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240"/>
              <w:spacing w:after="0"/>
              <w:rPr>
                <w:sz w:val="20"/>
                <w:szCs w:val="20"/>
                <w:color w:val="auto"/>
              </w:rPr>
            </w:pPr>
            <w:r>
              <w:rPr>
                <w:rFonts w:ascii="Arial" w:cs="Arial" w:eastAsia="Arial" w:hAnsi="Arial"/>
                <w:sz w:val="16"/>
                <w:szCs w:val="16"/>
                <w:i w:val="1"/>
                <w:iCs w:val="1"/>
                <w:color w:val="auto"/>
              </w:rPr>
              <w:t>Co-President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8,357,885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our NEOs during the applicable calendar year.</w:t>
      </w:r>
    </w:p>
    <w:p>
      <w:pPr>
        <w:spacing w:after="0" w:line="1" w:lineRule="exact"/>
        <w:rPr>
          <w:rFonts w:ascii="Arial" w:cs="Arial" w:eastAsia="Arial" w:hAnsi="Arial"/>
          <w:sz w:val="14"/>
          <w:szCs w:val="14"/>
          <w:color w:val="auto"/>
        </w:rPr>
      </w:pPr>
    </w:p>
    <w:p>
      <w:pPr>
        <w:ind w:left="340" w:right="40" w:hanging="332"/>
        <w:spacing w:after="0" w:line="281" w:lineRule="auto"/>
        <w:tabs>
          <w:tab w:leader="none" w:pos="332" w:val="left"/>
        </w:tabs>
        <w:numPr>
          <w:ilvl w:val="0"/>
          <w:numId w:val="54"/>
        </w:numPr>
        <w:rPr>
          <w:rFonts w:ascii="Arial" w:cs="Arial" w:eastAsia="Arial" w:hAnsi="Arial"/>
          <w:sz w:val="12"/>
          <w:szCs w:val="12"/>
          <w:color w:val="auto"/>
        </w:rPr>
      </w:pPr>
      <w:r>
        <w:rPr>
          <w:rFonts w:ascii="Arial" w:cs="Arial" w:eastAsia="Arial" w:hAnsi="Arial"/>
          <w:sz w:val="12"/>
          <w:szCs w:val="12"/>
          <w:color w:val="auto"/>
        </w:rPr>
        <w:t>Amounts shown in this column represent the bonuses paid to or earned by each of our NEOs in respect of performance during the applicable calendar year. Our annual incentive bonuses are described in greater detail in the section entitled “—</w:t>
      </w:r>
      <w:r>
        <w:rPr>
          <w:rFonts w:ascii="Arial" w:cs="Arial" w:eastAsia="Arial" w:hAnsi="Arial"/>
          <w:sz w:val="12"/>
          <w:szCs w:val="12"/>
          <w:i w:val="1"/>
          <w:iCs w:val="1"/>
          <w:color w:val="auto"/>
        </w:rPr>
        <w:t>2021 Executive Compensation Elements—Annual Incentive Bonuses</w:t>
      </w:r>
      <w:r>
        <w:rPr>
          <w:rFonts w:ascii="Arial" w:cs="Arial" w:eastAsia="Arial" w:hAnsi="Arial"/>
          <w:sz w:val="12"/>
          <w:szCs w:val="12"/>
          <w:color w:val="auto"/>
        </w:rPr>
        <w:t>” below. For 2021, our annual incentive bonuses were paid partly in cash and partly in RSUs granted under the Incentive Plan. In accordance with SEC rules, the entire cash portion of our annual incentive bonuses for 2021 performance is reported in the “Bonus” column of the Summary Compensation Table for 2021. The equity-based portion of our annual incentive bonuses for 2021 performance was granted in the first quarter of 2022 on the tenth trading day after our earnings release for the year ended December 31, 2021, and in accordance with SEC rules, the grant date fair value of such awards will not be reported in the “Stock Awards” column of the Summary Compensation Table for 2021 but will instead be included in the “Stock Awards” column of the Summary Compensation Table for 2022.</w:t>
      </w:r>
    </w:p>
    <w:p>
      <w:pPr>
        <w:spacing w:after="0" w:line="2" w:lineRule="exact"/>
        <w:rPr>
          <w:rFonts w:ascii="Arial" w:cs="Arial" w:eastAsia="Arial" w:hAnsi="Arial"/>
          <w:sz w:val="12"/>
          <w:szCs w:val="12"/>
          <w:color w:val="auto"/>
        </w:rPr>
      </w:pPr>
    </w:p>
    <w:p>
      <w:pPr>
        <w:ind w:left="340" w:right="20" w:hanging="332"/>
        <w:spacing w:after="0" w:line="260" w:lineRule="auto"/>
        <w:tabs>
          <w:tab w:leader="none" w:pos="332" w:val="left"/>
        </w:tabs>
        <w:numPr>
          <w:ilvl w:val="0"/>
          <w:numId w:val="54"/>
        </w:numPr>
        <w:rPr>
          <w:rFonts w:ascii="Arial" w:cs="Arial" w:eastAsia="Arial" w:hAnsi="Arial"/>
          <w:sz w:val="13"/>
          <w:szCs w:val="13"/>
          <w:color w:val="auto"/>
        </w:rPr>
      </w:pPr>
      <w:r>
        <w:rPr>
          <w:rFonts w:ascii="Arial" w:cs="Arial" w:eastAsia="Arial" w:hAnsi="Arial"/>
          <w:sz w:val="13"/>
          <w:szCs w:val="13"/>
          <w:color w:val="auto"/>
        </w:rPr>
        <w:t>Amounts shown in this column represent the grant date fair value (or, to the extent of any modification, the incremental fair value), calculated in accordance with FASB ASC Topic 718, of the equity-based awards granted to our NEOs during the applicable calendar year. For 2021, the amounts shown in this column represent the sum of (i) the grant date fair value, calculated in accordance with FASB ASC Topic 718, of the performance-based RSUs (the “</w:t>
      </w:r>
      <w:r>
        <w:rPr>
          <w:rFonts w:ascii="Arial" w:cs="Arial" w:eastAsia="Arial" w:hAnsi="Arial"/>
          <w:sz w:val="13"/>
          <w:szCs w:val="13"/>
          <w:u w:val="single" w:color="auto"/>
          <w:color w:val="auto"/>
        </w:rPr>
        <w:t>Management Awards</w:t>
      </w:r>
      <w:r>
        <w:rPr>
          <w:rFonts w:ascii="Arial" w:cs="Arial" w:eastAsia="Arial" w:hAnsi="Arial"/>
          <w:sz w:val="13"/>
          <w:szCs w:val="13"/>
          <w:color w:val="auto"/>
        </w:rPr>
        <w:t>”) granted to each of our NEOs in August 2021 in connection with the Business Combination and (ii) the incremental fair value, calculated in accordance with FASB ASC Topic 718, conveyed to our NEOs in connection with the cancellation of their legacy equity-based awards in Professional Partners and the replacement of such awards with a combination of original capital units (“</w:t>
      </w:r>
      <w:r>
        <w:rPr>
          <w:rFonts w:ascii="Arial" w:cs="Arial" w:eastAsia="Arial" w:hAnsi="Arial"/>
          <w:sz w:val="13"/>
          <w:szCs w:val="13"/>
          <w:u w:val="single" w:color="auto"/>
          <w:color w:val="auto"/>
        </w:rPr>
        <w:t>OCUs</w:t>
      </w:r>
      <w:r>
        <w:rPr>
          <w:rFonts w:ascii="Arial" w:cs="Arial" w:eastAsia="Arial" w:hAnsi="Arial"/>
          <w:sz w:val="13"/>
          <w:szCs w:val="13"/>
          <w:color w:val="auto"/>
        </w:rPr>
        <w:t>”), VCUs and ACUs in connection with the reorganization of Professional Partners prior to the Business Combination (which will have no economic impact on PWP or PWP OpCo). For a summary of the assumptions used in the valuation of these equity-based awards and modifications, please see the Note “</w:t>
      </w:r>
      <w:r>
        <w:rPr>
          <w:rFonts w:ascii="Arial" w:cs="Arial" w:eastAsia="Arial" w:hAnsi="Arial"/>
          <w:sz w:val="13"/>
          <w:szCs w:val="13"/>
          <w:i w:val="1"/>
          <w:iCs w:val="1"/>
          <w:color w:val="auto"/>
        </w:rPr>
        <w:t>Equity-Based Compensation</w:t>
      </w:r>
      <w:r>
        <w:rPr>
          <w:rFonts w:ascii="Arial" w:cs="Arial" w:eastAsia="Arial" w:hAnsi="Arial"/>
          <w:sz w:val="13"/>
          <w:szCs w:val="13"/>
          <w:color w:val="auto"/>
        </w:rPr>
        <w:t>” to the consolidated financial statements included in this prospectus. The Management Awards granted to our NEOs are described in greater detail in the section entitled “—</w:t>
      </w:r>
      <w:r>
        <w:rPr>
          <w:rFonts w:ascii="Arial" w:cs="Arial" w:eastAsia="Arial" w:hAnsi="Arial"/>
          <w:sz w:val="13"/>
          <w:szCs w:val="13"/>
          <w:i w:val="1"/>
          <w:iCs w:val="1"/>
          <w:color w:val="auto"/>
        </w:rPr>
        <w:t>2021 Executive Compensation Elements—Management Awards</w:t>
      </w:r>
      <w:r>
        <w:rPr>
          <w:rFonts w:ascii="Arial" w:cs="Arial" w:eastAsia="Arial" w:hAnsi="Arial"/>
          <w:sz w:val="13"/>
          <w:szCs w:val="13"/>
          <w:color w:val="auto"/>
        </w:rPr>
        <w:t>” below. The cancellation of our NEO’s legacy equity-based awards in Professional Partners and the replacement of such awards with a combination of OCUs, VCUs and ACUs is described in greater detail below in the section entitled “—</w:t>
      </w:r>
      <w:r>
        <w:rPr>
          <w:rFonts w:ascii="Arial" w:cs="Arial" w:eastAsia="Arial" w:hAnsi="Arial"/>
          <w:sz w:val="13"/>
          <w:szCs w:val="13"/>
          <w:i w:val="1"/>
          <w:iCs w:val="1"/>
          <w:color w:val="auto"/>
        </w:rPr>
        <w:t>2021 Executive Compensation Elements</w:t>
      </w:r>
      <w:r>
        <w:rPr>
          <w:rFonts w:ascii="Arial" w:cs="Arial" w:eastAsia="Arial" w:hAnsi="Arial"/>
          <w:sz w:val="13"/>
          <w:szCs w:val="13"/>
          <w:color w:val="auto"/>
        </w:rPr>
        <w:t xml:space="preserve"> —</w:t>
      </w:r>
      <w:r>
        <w:rPr>
          <w:rFonts w:ascii="Arial" w:cs="Arial" w:eastAsia="Arial" w:hAnsi="Arial"/>
          <w:sz w:val="13"/>
          <w:szCs w:val="13"/>
          <w:i w:val="1"/>
          <w:iCs w:val="1"/>
          <w:color w:val="auto"/>
        </w:rPr>
        <w:t>Reorganization of Professional Partners</w:t>
      </w:r>
      <w:r>
        <w:rPr>
          <w:rFonts w:ascii="Arial" w:cs="Arial" w:eastAsia="Arial" w:hAnsi="Arial"/>
          <w:sz w:val="13"/>
          <w:szCs w:val="13"/>
          <w:color w:val="auto"/>
        </w:rPr>
        <w:t>” below.</w:t>
      </w:r>
    </w:p>
    <w:p>
      <w:pPr>
        <w:ind w:left="340" w:right="40" w:hanging="332"/>
        <w:spacing w:after="0" w:line="260" w:lineRule="auto"/>
        <w:tabs>
          <w:tab w:leader="none" w:pos="332" w:val="left"/>
        </w:tabs>
        <w:numPr>
          <w:ilvl w:val="0"/>
          <w:numId w:val="54"/>
        </w:numPr>
        <w:rPr>
          <w:rFonts w:ascii="Arial" w:cs="Arial" w:eastAsia="Arial" w:hAnsi="Arial"/>
          <w:sz w:val="13"/>
          <w:szCs w:val="13"/>
          <w:color w:val="auto"/>
        </w:rPr>
      </w:pPr>
      <w:r>
        <w:rPr>
          <w:rFonts w:ascii="Arial" w:cs="Arial" w:eastAsia="Arial" w:hAnsi="Arial"/>
          <w:sz w:val="13"/>
          <w:szCs w:val="13"/>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w:t>
      </w:r>
      <w:r>
        <w:rPr>
          <w:rFonts w:ascii="Arial" w:cs="Arial" w:eastAsia="Arial" w:hAnsi="Arial"/>
          <w:sz w:val="13"/>
          <w:szCs w:val="13"/>
          <w:i w:val="1"/>
          <w:iCs w:val="1"/>
          <w:color w:val="auto"/>
        </w:rPr>
        <w:t>—2021 Executive Compensation Elements—Retirement Arrangements</w:t>
      </w:r>
      <w:r>
        <w:rPr>
          <w:rFonts w:ascii="Arial" w:cs="Arial" w:eastAsia="Arial" w:hAnsi="Arial"/>
          <w:sz w:val="13"/>
          <w:szCs w:val="13"/>
          <w:color w:val="auto"/>
        </w:rPr>
        <w:t>” below.</w:t>
      </w:r>
    </w:p>
    <w:p>
      <w:pPr>
        <w:ind w:left="340" w:right="120" w:hanging="332"/>
        <w:spacing w:after="0" w:line="255" w:lineRule="auto"/>
        <w:tabs>
          <w:tab w:leader="none" w:pos="3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“Stock Awards” column, have been converted from pounds sterling to U.S. dollars using the exchange rates of approximately $1.28 and $1.38 for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Executive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Each of our NEOs was provided with the following material elements of compensation in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w:t>
      </w:r>
    </w:p>
    <w:p>
      <w:pPr>
        <w:spacing w:after="0" w:line="1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2021, the annual incentive bonuses are payable partly in cash and partly in restricted stock units granted under the Incentive Plan. In December 2021, Messrs. Weinberg, Bednar and Becker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in February 2022. Upon the payment date of the remainder of the cash portion of the annual incentive bonuses in February 2022, a portion of the annual incentive bonus became subject to repayment upon the occurrence of certain conditions during a two year period beginning on the date of such payment. The equity-based portion of the annual incentive bonuses for 2021 was granted in the first quarter of 2022 on the tenth trading day after our earnings release for the year ended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and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7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Management Awards, as described in “—</w:t>
      </w:r>
      <w:r>
        <w:rPr>
          <w:rFonts w:ascii="Arial" w:cs="Arial" w:eastAsia="Arial" w:hAnsi="Arial"/>
          <w:sz w:val="18"/>
          <w:szCs w:val="18"/>
          <w:i w:val="1"/>
          <w:iCs w:val="1"/>
          <w:color w:val="auto"/>
        </w:rPr>
        <w:t>Management Awards</w:t>
      </w:r>
      <w:r>
        <w:rPr>
          <w:rFonts w:ascii="Arial" w:cs="Arial" w:eastAsia="Arial" w:hAnsi="Arial"/>
          <w:sz w:val="18"/>
          <w:szCs w:val="18"/>
          <w:color w:val="auto"/>
        </w:rPr>
        <w:t>” below. Either party is permitted to terminate the employment agreement at any time by providing 90 days’ advance written notice, provided that a NEO’s employment may be terminated immediately in the event of a termination for cause.</w:t>
      </w:r>
    </w:p>
    <w:p>
      <w:pPr>
        <w:spacing w:after="0" w:line="13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Each employment agreement incorporates by reference the restrictive covenants applicable to the NEO, including the restrictive covenants set forth in the amended and restated limited partnership agreement of Professional Partners, as described in “</w:t>
      </w:r>
      <w:r>
        <w:rPr>
          <w:rFonts w:ascii="Arial" w:cs="Arial" w:eastAsia="Arial" w:hAnsi="Arial"/>
          <w:sz w:val="16"/>
          <w:szCs w:val="16"/>
          <w:i w:val="1"/>
          <w:iCs w:val="1"/>
          <w:color w:val="auto"/>
        </w:rPr>
        <w:t>—Reorganization of Professional Partners</w:t>
      </w:r>
      <w:r>
        <w:rPr>
          <w:rFonts w:ascii="Arial" w:cs="Arial" w:eastAsia="Arial" w:hAnsi="Arial"/>
          <w:sz w:val="16"/>
          <w:szCs w:val="16"/>
          <w:color w:val="auto"/>
        </w:rPr>
        <w:t>”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Closing, a transaction pool of RSUs (the “</w:t>
      </w:r>
      <w:r>
        <w:rPr>
          <w:rFonts w:ascii="Arial" w:cs="Arial" w:eastAsia="Arial" w:hAnsi="Arial"/>
          <w:sz w:val="17"/>
          <w:szCs w:val="17"/>
          <w:u w:val="single" w:color="auto"/>
          <w:color w:val="auto"/>
        </w:rPr>
        <w:t>Transaction Pool</w:t>
      </w:r>
      <w:r>
        <w:rPr>
          <w:rFonts w:ascii="Arial" w:cs="Arial" w:eastAsia="Arial" w:hAnsi="Arial"/>
          <w:sz w:val="17"/>
          <w:szCs w:val="17"/>
          <w:color w:val="auto"/>
        </w:rPr>
        <w:t>”) was created under the Incentive Plan and allocated to working partners, non-partner employees and certain other eligible recipients. The Transaction Pool is comprised of 10.2 million shares of our Class A common stock (the “</w:t>
      </w:r>
      <w:r>
        <w:rPr>
          <w:rFonts w:ascii="Arial" w:cs="Arial" w:eastAsia="Arial" w:hAnsi="Arial"/>
          <w:sz w:val="17"/>
          <w:szCs w:val="17"/>
          <w:u w:val="single" w:color="auto"/>
          <w:color w:val="auto"/>
        </w:rPr>
        <w:t>Transaction Pool Share Reserve</w:t>
      </w:r>
      <w:r>
        <w:rPr>
          <w:rFonts w:ascii="Arial" w:cs="Arial" w:eastAsia="Arial" w:hAnsi="Arial"/>
          <w:sz w:val="17"/>
          <w:szCs w:val="17"/>
          <w:color w:val="auto"/>
        </w:rPr>
        <w:t>”). Pursuant to the approval of our Compensation Committee, we made one-time grants of RSUs out of the Transaction Pool Share Reserve equal to nearly the amount of the Transaction Pool in August 2021. Approximately 7.0 million shares were granted subject solely to a time-based vesting schedule, and approximately 3.2 million shares were granted subject to a time-based and performance-based vesting schedule. Our NEOs did not receive grants of RSUs under the Transaction Pool.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our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restricted stock unit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Beginning in February 2021, the individuals who currently serve as our “independent directors” and as the members of our Compensation Committee (Jane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 Sherburne, Daniel G. Cohen, Jorma Ollila and Ivan G. Seidenberg), engaged Exequity LLP, an independent third-party compensation consultant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Exequity</w:t>
      </w:r>
      <w:r>
        <w:rPr>
          <w:rFonts w:ascii="Arial" w:cs="Arial" w:eastAsia="Arial" w:hAnsi="Arial"/>
          <w:sz w:val="16"/>
          <w:szCs w:val="16"/>
          <w:color w:val="auto"/>
        </w:rPr>
        <w:t>”), and engaged in more than two months of work and held multiple working group and committee meetings to develop the expected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Management Awards described in greater detail below. With assistance from Exequity, including alternatives prepared by Exequity based on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practice and peer group company analyses, Ms. Sherburne and the other members of our Compensation Committee engaged in extensive discussions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the various considerations involved in granting the Management Awards, including: demonstrating a commitment to pay for performance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use of at-risk performance-based incentives; the most effective way to structure an award that would align the interests of our NEO’s with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peer group company incentive structures, including peer group company examples of price-vesting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our continued growth. The Compensation Committee incorporated this recommendation into the terms of the Management Awards described in greater detail below. In addition, in light of the Management Awards being contemplated by the Compensation Committee, each of Messrs. Weinberg, Becker and Bednar reallocated the transaction pool awards they would have otherwise been granted pursuant to the Transaction Pool, as described in greater detail below.</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were granted in connection with the Closing of the Business Combination is to incentivize our NEOs and a small number of other partners recommended by Mr. Weinberg and determined in consultation with the compensation committee to continue the development of PWP and provide strong incentives to grow shareholder value. Specifically, the Management Awards are intended to:</w:t>
      </w:r>
    </w:p>
    <w:p>
      <w:pPr>
        <w:spacing w:after="0" w:line="133" w:lineRule="exact"/>
        <w:rPr>
          <w:sz w:val="20"/>
          <w:szCs w:val="20"/>
          <w:color w:val="auto"/>
        </w:rPr>
      </w:pPr>
    </w:p>
    <w:p>
      <w:pPr>
        <w:ind w:left="660" w:right="88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display PWP’s commitment to performance through a long-term incentive program that is entirely at-risk if aggressive performance objectives are not met;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result of the foregoing considerations, in connection with the Closing and in respect of their ongoing participation in the leadership and management of PWP following the Closing, Messrs. Weinberg, Becker and Bednar, as well as a small number of other partners as recommended by Mr. Weinberg in consultation with the Compensation Committee, received one-time grants of 9.5 million Management Awards in August 2021. The Management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3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w:t>
      </w:r>
      <w:r>
        <w:rPr>
          <w:rFonts w:ascii="Arial" w:cs="Arial" w:eastAsia="Arial" w:hAnsi="Arial"/>
          <w:sz w:val="17"/>
          <w:szCs w:val="17"/>
          <w:i w:val="1"/>
          <w:iCs w:val="1"/>
          <w:color w:val="auto"/>
        </w:rPr>
        <w:t>—Transaction Pool Awards</w:t>
      </w:r>
      <w:r>
        <w:rPr>
          <w:rFonts w:ascii="Arial" w:cs="Arial" w:eastAsia="Arial" w:hAnsi="Arial"/>
          <w:sz w:val="17"/>
          <w:szCs w:val="17"/>
          <w:color w:val="auto"/>
        </w:rPr>
        <w:t>” above. In connection with the finalization and implementation of the Management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4" w:name="page135"/>
    <w:bookmarkEnd w:id="134"/>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of Professional Partners holding capital as of December 31, 2019, pro rata in accordance with their capital interests as of December 31, 2019, as adjusted for accretion and/or dilution through the closing of the Business Combination, and/or (b) VCUs, which are owned by Working Partners (subject to an approximately three to five-year vesting period) to the extent of capital interests accrued through the closing of the Business Combination that exceed the value of the OCUs, but subject to a cap intended to give effect to each working partner’s intended ending target ownership ratio. In addition, Professional Partners issued ACUs to working partners, including certain of PWP’s NEOs,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of Professional Partners. Subject to applicable law and the terms of the amended and restated limited partnership agreement of Professional Partners, the general partners of Professional Partners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PWP for such shares in such offering), with the form of consideration determined by PWP.</w:t>
      </w:r>
    </w:p>
    <w:p>
      <w:pPr>
        <w:spacing w:after="0" w:line="1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of Professional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of the Business Combination. The lock-up generally restricts the sale, pledge, grant of any option, short sale or other disposition of any partnership units with respect to our advisory business, and the entrance into any hedging, swap or other agreement or transaction related to such partnership units. The general partner of Professional Partners and PWP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44"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Certain unvested equity interests of Professional Partners held by limited partners of Professional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PWP.</w:t>
      </w:r>
    </w:p>
    <w:p>
      <w:pPr>
        <w:spacing w:after="0" w:line="13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 for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equity-based awards held by each of our NEOs as of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Stock Awards</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780" w:type="dxa"/>
            <w:vAlign w:val="bottom"/>
          </w:tcPr>
          <w:p>
            <w:pPr>
              <w:spacing w:after="0"/>
              <w:rPr>
                <w:sz w:val="11"/>
                <w:szCs w:val="11"/>
                <w:color w:val="auto"/>
              </w:rPr>
            </w:pPr>
          </w:p>
        </w:tc>
        <w:tc>
          <w:tcPr>
            <w:tcW w:w="17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Number of Shares or Units</w:t>
            </w:r>
          </w:p>
        </w:tc>
        <w:tc>
          <w:tcPr>
            <w:tcW w:w="1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Market Value of Shares or</w:t>
            </w:r>
          </w:p>
        </w:tc>
        <w:tc>
          <w:tcPr>
            <w:tcW w:w="0" w:type="dxa"/>
            <w:vAlign w:val="bottom"/>
          </w:tcPr>
          <w:p>
            <w:pPr>
              <w:spacing w:after="0"/>
              <w:rPr>
                <w:sz w:val="1"/>
                <w:szCs w:val="1"/>
                <w:color w:val="auto"/>
              </w:rPr>
            </w:pPr>
          </w:p>
        </w:tc>
      </w:tr>
      <w:tr>
        <w:trPr>
          <w:trHeight w:val="135"/>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of Stock That Have Not</w:t>
            </w:r>
          </w:p>
        </w:tc>
        <w:tc>
          <w:tcPr>
            <w:tcW w:w="1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Units of Stock That Have</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339"/>
              <w:spacing w:after="0" w:line="189" w:lineRule="exact"/>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8"/>
                <w:szCs w:val="18"/>
                <w:b w:val="1"/>
                <w:bCs w:val="1"/>
                <w:color w:val="auto"/>
                <w:w w:val="83"/>
                <w:vertAlign w:val="superscript"/>
              </w:rPr>
              <w:t>(1)</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15"/>
              <w:spacing w:after="0" w:line="189" w:lineRule="exact"/>
              <w:rPr>
                <w:sz w:val="20"/>
                <w:szCs w:val="20"/>
                <w:color w:val="auto"/>
              </w:rPr>
            </w:pPr>
            <w:r>
              <w:rPr>
                <w:rFonts w:ascii="Arial" w:cs="Arial" w:eastAsia="Arial" w:hAnsi="Arial"/>
                <w:sz w:val="14"/>
                <w:szCs w:val="14"/>
                <w:b w:val="1"/>
                <w:bCs w:val="1"/>
                <w:color w:val="auto"/>
                <w:w w:val="87"/>
              </w:rPr>
              <w:t xml:space="preserve">Not Vested </w:t>
            </w:r>
            <w:r>
              <w:rPr>
                <w:rFonts w:ascii="Arial" w:cs="Arial" w:eastAsia="Arial" w:hAnsi="Arial"/>
                <w:sz w:val="18"/>
                <w:szCs w:val="18"/>
                <w:b w:val="1"/>
                <w:bCs w:val="1"/>
                <w:color w:val="auto"/>
                <w:w w:val="87"/>
                <w:vertAlign w:val="superscript"/>
              </w:rPr>
              <w:t>(2)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Peter A. Weinberg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5,280,324</w:t>
            </w:r>
          </w:p>
        </w:tc>
        <w:tc>
          <w:tcPr>
            <w:tcW w:w="4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67,904,967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Dietrich Becker</w:t>
            </w:r>
          </w:p>
        </w:tc>
        <w:tc>
          <w:tcPr>
            <w:tcW w:w="1280" w:type="dxa"/>
            <w:vAlign w:val="bottom"/>
          </w:tcPr>
          <w:p>
            <w:pPr>
              <w:jc w:val="right"/>
              <w:spacing w:after="0"/>
              <w:rPr>
                <w:sz w:val="20"/>
                <w:szCs w:val="20"/>
                <w:color w:val="auto"/>
              </w:rPr>
            </w:pPr>
            <w:r>
              <w:rPr>
                <w:rFonts w:ascii="Arial" w:cs="Arial" w:eastAsia="Arial" w:hAnsi="Arial"/>
                <w:sz w:val="18"/>
                <w:szCs w:val="18"/>
                <w:color w:val="auto"/>
              </w:rPr>
              <w:t>3,885,916</w:t>
            </w:r>
          </w:p>
        </w:tc>
        <w:tc>
          <w:tcPr>
            <w:tcW w:w="420" w:type="dxa"/>
            <w:vAlign w:val="bottom"/>
          </w:tcPr>
          <w:p>
            <w:pPr>
              <w:jc w:val="right"/>
              <w:ind w:right="158"/>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49,972,880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Bednar</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3,749,471</w:t>
            </w:r>
          </w:p>
        </w:tc>
        <w:tc>
          <w:tcPr>
            <w:tcW w:w="4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48,218,197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00" w:hanging="332"/>
        <w:spacing w:after="0" w:line="260" w:lineRule="auto"/>
        <w:tabs>
          <w:tab w:leader="none" w:pos="332"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Represents (i) Management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 the Business Combination on June 24, 2021. The vesting of VCUs and ACUs will be recorded as equity-based compensation expense at PWP OpCo for accounting purposes, though they will have no economic impact on investors in PWP or PWP OpCo. The amounts shown do not include OCUs, which are fully vested.</w:t>
      </w:r>
    </w:p>
    <w:p>
      <w:pPr>
        <w:ind w:left="340" w:right="20" w:hanging="332"/>
        <w:spacing w:after="0" w:line="241" w:lineRule="auto"/>
        <w:tabs>
          <w:tab w:leader="none" w:pos="332"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market value shown is based on the closing stock price per share of our Class A common stock on December 31, 2021 ($12.86). The market value of the Management Awards is based on the number of shares of our Class A common stock that our NEOs would receive upon settlement of the Management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below in the section entitled “—</w:t>
      </w:r>
      <w:r>
        <w:rPr>
          <w:rFonts w:ascii="Arial" w:cs="Arial" w:eastAsia="Arial" w:hAnsi="Arial"/>
          <w:sz w:val="14"/>
          <w:szCs w:val="14"/>
          <w:i w:val="1"/>
          <w:iCs w:val="1"/>
          <w:color w:val="auto"/>
        </w:rPr>
        <w:t>2021 Executive Compensation Elements —Reorganization of Professional Partners</w:t>
      </w:r>
      <w:r>
        <w:rPr>
          <w:rFonts w:ascii="Arial" w:cs="Arial" w:eastAsia="Arial" w:hAnsi="Arial"/>
          <w:sz w:val="14"/>
          <w:szCs w:val="14"/>
          <w:color w:val="auto"/>
        </w:rPr>
        <w:t>” above.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(i) 3,300,000 Management Awards and (ii) 1,980,324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(i) 2,350,000 Management Awards and (ii) 1,535,916 VCUs and ACUs.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(i) 2,350,000 Management Awards and (ii) 1,399,471 VCUs and ACUs.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Management Awards are subject to the achievement of time-based and performance-based vesting conditions, both of which must be satisfied for the awards to vest. Upon a termination of employment without cause or resignation for good reason, a pro-rata portion of the Management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Management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 to be fully satisfied. For Messrs. Bednar and Becker, if the executive’s role as co-president is terminated by the Company without cause but the executive otherwise remains in continuous employment as a working partner, the Management Awards will remain outstanding subject to the achievement of the applicable time-based and performance-based vesting conditions based on the executive’s continued employment as a working partner. If the executive resigns as co-president but otherwise remains in continuous employment as a working partner, then only a pro-rata portion of the Management Awards will remain outstanding and eligible to vest subject to the achievement of the applicable time-based and performance-based vesting conditions based on the executive’s continued employment as a working partner.</w:t>
      </w:r>
    </w:p>
    <w:p>
      <w:pPr>
        <w:spacing w:after="0" w:line="13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Date.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 vested.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2021, our non-employee directors are entitled to the following compensation for their service on our board of directors: (i) an annual base retainer in the amount of $180,000, 50% of which is paid in the form of restricted stock units and 50% of which is paid in cash; (ii) a one-time grant of restricted stock units with a value of $50,000 upon initial appointment to the board of directors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was pro-rated for the period between the Closing of the Business Combination and the date of our first general annual stockholder meeting and will vest on the date of our first general annual stockholder meeting.</w:t>
      </w:r>
    </w:p>
    <w:p>
      <w:pPr>
        <w:spacing w:after="0" w:line="12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each of Ivan G. Seidenberg, Jorma Ollila and Jane C. Sherburne, received payments in the amount of $75,000 in connection with their consultant services in 2021 provided prior to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 for 2021</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total 2021 compensation of our non-employee directors is shown in the following table. We do not separately compensate our affiliated directors for their service on our board.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Fees Earned or Paid in</w:t>
            </w:r>
          </w:p>
        </w:tc>
        <w:tc>
          <w:tcPr>
            <w:tcW w:w="20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(2)</w:t>
            </w:r>
          </w:p>
        </w:tc>
        <w:tc>
          <w:tcPr>
            <w:tcW w:w="180" w:type="dxa"/>
            <w:vAlign w:val="bottom"/>
          </w:tcPr>
          <w:p>
            <w:pPr>
              <w:spacing w:after="0"/>
              <w:rPr>
                <w:sz w:val="14"/>
                <w:szCs w:val="14"/>
                <w:color w:val="auto"/>
              </w:rPr>
            </w:pPr>
          </w:p>
        </w:tc>
        <w:tc>
          <w:tcPr>
            <w:tcW w:w="1840" w:type="dxa"/>
            <w:vAlign w:val="bottom"/>
            <w:gridSpan w:val="3"/>
          </w:tcPr>
          <w:p>
            <w:pPr>
              <w:jc w:val="center"/>
              <w:ind w:right="550"/>
              <w:spacing w:after="0"/>
              <w:rPr>
                <w:sz w:val="20"/>
                <w:szCs w:val="20"/>
                <w:color w:val="auto"/>
              </w:rPr>
            </w:pPr>
            <w:r>
              <w:rPr>
                <w:rFonts w:ascii="Arial" w:cs="Arial" w:eastAsia="Arial" w:hAnsi="Arial"/>
                <w:sz w:val="14"/>
                <w:szCs w:val="14"/>
                <w:b w:val="1"/>
                <w:bCs w:val="1"/>
                <w:color w:val="auto"/>
              </w:rPr>
              <w:t>All Other</w:t>
            </w:r>
          </w:p>
        </w:tc>
        <w:tc>
          <w:tcPr>
            <w:tcW w:w="12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center"/>
              <w:ind w:right="460"/>
              <w:spacing w:after="0" w:line="189" w:lineRule="exact"/>
              <w:rPr>
                <w:sz w:val="20"/>
                <w:szCs w:val="20"/>
                <w:color w:val="auto"/>
              </w:rPr>
            </w:pPr>
            <w:r>
              <w:rPr>
                <w:rFonts w:ascii="Arial" w:cs="Arial" w:eastAsia="Arial" w:hAnsi="Arial"/>
                <w:sz w:val="14"/>
                <w:szCs w:val="14"/>
                <w:b w:val="1"/>
                <w:bCs w:val="1"/>
                <w:color w:val="auto"/>
                <w:w w:val="85"/>
              </w:rPr>
              <w:t>Cash</w:t>
            </w:r>
            <w:r>
              <w:rPr>
                <w:rFonts w:ascii="Arial" w:cs="Arial" w:eastAsia="Arial" w:hAnsi="Arial"/>
                <w:sz w:val="18"/>
                <w:szCs w:val="18"/>
                <w:b w:val="1"/>
                <w:bCs w:val="1"/>
                <w:color w:val="auto"/>
                <w:w w:val="85"/>
                <w:vertAlign w:val="superscript"/>
              </w:rPr>
              <w:t>(1)</w:t>
            </w: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3"/>
          </w:tcPr>
          <w:p>
            <w:pPr>
              <w:jc w:val="center"/>
              <w:ind w:right="550"/>
              <w:spacing w:after="0" w:line="189" w:lineRule="exact"/>
              <w:rPr>
                <w:sz w:val="20"/>
                <w:szCs w:val="20"/>
                <w:color w:val="auto"/>
              </w:rPr>
            </w:pPr>
            <w:r>
              <w:rPr>
                <w:rFonts w:ascii="Arial" w:cs="Arial" w:eastAsia="Arial" w:hAnsi="Arial"/>
                <w:sz w:val="14"/>
                <w:szCs w:val="14"/>
                <w:b w:val="1"/>
                <w:bCs w:val="1"/>
                <w:color w:val="auto"/>
                <w:w w:val="89"/>
              </w:rPr>
              <w:t>Compensation</w:t>
            </w:r>
            <w:r>
              <w:rPr>
                <w:rFonts w:ascii="Arial" w:cs="Arial" w:eastAsia="Arial" w:hAnsi="Arial"/>
                <w:sz w:val="18"/>
                <w:szCs w:val="18"/>
                <w:b w:val="1"/>
                <w:bCs w:val="1"/>
                <w:color w:val="auto"/>
                <w:w w:val="89"/>
                <w:vertAlign w:val="superscript"/>
              </w:rPr>
              <w:t>(3)</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Daniel G. Cohen</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171,708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Ivan G. Seidenberg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245,541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Jane C. Sherburne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Jorma Ollila</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126,708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255,930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shown in this column reflect the cash annual base retainer fees and committee fees earned for 2021.</w:t>
      </w:r>
    </w:p>
    <w:p>
      <w:pPr>
        <w:spacing w:after="0" w:line="1" w:lineRule="exact"/>
        <w:rPr>
          <w:rFonts w:ascii="Arial" w:cs="Arial" w:eastAsia="Arial" w:hAnsi="Arial"/>
          <w:sz w:val="14"/>
          <w:szCs w:val="14"/>
          <w:color w:val="auto"/>
        </w:rPr>
      </w:pPr>
    </w:p>
    <w:p>
      <w:pPr>
        <w:jc w:val="both"/>
        <w:ind w:left="340" w:right="100" w:hanging="332"/>
        <w:spacing w:after="0" w:line="241" w:lineRule="auto"/>
        <w:tabs>
          <w:tab w:leader="none" w:pos="332"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shown in this column represent the grant date fair value, calculated in accordance with FASB ASC Topic 718, of the time-based RSUs granted to our non-employee directors. For a summary of the assumptions used in the valuation of these awards, please see the Note “</w:t>
      </w:r>
      <w:r>
        <w:rPr>
          <w:rFonts w:ascii="Arial" w:cs="Arial" w:eastAsia="Arial" w:hAnsi="Arial"/>
          <w:sz w:val="14"/>
          <w:szCs w:val="14"/>
          <w:i w:val="1"/>
          <w:iCs w:val="1"/>
          <w:color w:val="auto"/>
        </w:rPr>
        <w:t>Equity-Based Compensation</w:t>
      </w:r>
      <w:r>
        <w:rPr>
          <w:rFonts w:ascii="Arial" w:cs="Arial" w:eastAsia="Arial" w:hAnsi="Arial"/>
          <w:sz w:val="14"/>
          <w:szCs w:val="14"/>
          <w:color w:val="auto"/>
        </w:rPr>
        <w:t>” to the consolidated financial statements included in this prospectus. As of December 31, 2021, each of our non-employee directors held 9,070 outstanding RSUs.</w:t>
      </w:r>
    </w:p>
    <w:p>
      <w:pPr>
        <w:spacing w:after="0" w:line="1" w:lineRule="exact"/>
        <w:rPr>
          <w:rFonts w:ascii="Arial" w:cs="Arial" w:eastAsia="Arial" w:hAnsi="Arial"/>
          <w:sz w:val="14"/>
          <w:szCs w:val="14"/>
          <w:color w:val="auto"/>
        </w:rPr>
      </w:pPr>
    </w:p>
    <w:p>
      <w:pPr>
        <w:ind w:left="340" w:right="100" w:hanging="332"/>
        <w:spacing w:after="0" w:line="255" w:lineRule="auto"/>
        <w:tabs>
          <w:tab w:leader="none" w:pos="332"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shown in this column reflect $75,000 paid in connection with consultant services provided by Ivan G. Seidenberg, Jorma Ollila and Jane C. Sherburne in 2021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4420" w:type="dxa"/>
            <w:vAlign w:val="bottom"/>
          </w:tcPr>
          <w:p>
            <w:pPr>
              <w:ind w:left="196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Peter A. Weinberg</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64</w:t>
            </w:r>
          </w:p>
        </w:tc>
        <w:tc>
          <w:tcPr>
            <w:tcW w:w="80" w:type="dxa"/>
            <w:vAlign w:val="bottom"/>
            <w:tcBorders>
              <w:top w:val="single" w:sz="8" w:color="CCEEFF"/>
            </w:tcBorders>
            <w:shd w:val="clear" w:color="auto" w:fill="CCEEFF"/>
          </w:tcPr>
          <w:p>
            <w:pPr>
              <w:spacing w:after="0"/>
              <w:rPr>
                <w:sz w:val="19"/>
                <w:szCs w:val="19"/>
                <w:color w:val="auto"/>
              </w:rPr>
            </w:pPr>
          </w:p>
        </w:tc>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Joseph R. Perella</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80</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Chairman Emeritus</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K. Steel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70</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Chairman</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Gary S. Barancik</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57</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Dietrich Becker</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59</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Co-President and Director</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Andrew Bednar</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54</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Co-President and 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Vladimir Shendelman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46</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Jorma Ollila</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71</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Ivan G. Seidenberg</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75</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Jane C. Sherburne</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71</w:t>
            </w:r>
          </w:p>
        </w:tc>
        <w:tc>
          <w:tcPr>
            <w:tcW w:w="8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G. Cohen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52</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Chairman and Chief Executive Officer since the closing of the Business Combination. Mr. Weinberg is a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w:t>
      </w:r>
    </w:p>
    <w:p>
      <w:pPr>
        <w:spacing w:after="0" w:line="14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i w:val="1"/>
          <w:iCs w:val="1"/>
          <w:color w:val="auto"/>
        </w:rPr>
        <w:t xml:space="preserve">Joseph R. Perella </w:t>
      </w:r>
      <w:r>
        <w:rPr>
          <w:rFonts w:ascii="Arial" w:cs="Arial" w:eastAsia="Arial" w:hAnsi="Arial"/>
          <w:sz w:val="16"/>
          <w:szCs w:val="16"/>
          <w:color w:val="auto"/>
        </w:rPr>
        <w:t>has served as our Chairman Emeritus since the closing of the Business Combination. Mr. Perella is a Founding Partner of PWP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Master's in Business Administration from Harvard Business School.</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Robert K. Steel </w:t>
      </w:r>
      <w:r>
        <w:rPr>
          <w:rFonts w:ascii="Arial" w:cs="Arial" w:eastAsia="Arial" w:hAnsi="Arial"/>
          <w:sz w:val="17"/>
          <w:szCs w:val="17"/>
          <w:color w:val="auto"/>
        </w:rPr>
        <w:t>has served as our Vice Chairman since the closing of the Business Combination. Mr. Steel is a Partner of PWP and served as PWP’s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He earned a Bachelor of Arts from Duke University and a Master's in Business Administration from the University of Chicago’s Booth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 Combination. Mr. Becker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Becker has over 30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and a member of our board of directors since the closing of the Business Combination. Mr. Bednar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Bednar has over 25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Jorma Ollila </w:t>
      </w:r>
      <w:r>
        <w:rPr>
          <w:rFonts w:ascii="Arial" w:cs="Arial" w:eastAsia="Arial" w:hAnsi="Arial"/>
          <w:sz w:val="17"/>
          <w:szCs w:val="17"/>
          <w:color w:val="auto"/>
        </w:rPr>
        <w:t>has served as a member of our board of directors since the closing of the Business Combination. Mr. Ollila is the Former Chairman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Ivan G. Seidenberg </w:t>
      </w:r>
      <w:r>
        <w:rPr>
          <w:rFonts w:ascii="Arial" w:cs="Arial" w:eastAsia="Arial" w:hAnsi="Arial"/>
          <w:sz w:val="17"/>
          <w:szCs w:val="17"/>
          <w:color w:val="auto"/>
        </w:rPr>
        <w:t>has served as a member of our board of directors since the closing of the Business Combination. Mr. Seidenberg serves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Madison Square Garden Sports,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Jane C. Sherburne </w:t>
      </w:r>
      <w:r>
        <w:rPr>
          <w:rFonts w:ascii="Arial" w:cs="Arial" w:eastAsia="Arial" w:hAnsi="Arial"/>
          <w:sz w:val="17"/>
          <w:szCs w:val="17"/>
          <w:color w:val="auto"/>
        </w:rPr>
        <w:t>has served as a member of our board of directors since the closing of the Business Combination. Ms. Sherburne is Principal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0" w:name="page141"/>
    <w:bookmarkEnd w:id="140"/>
    <w:p>
      <w:pPr>
        <w:spacing w:after="0" w:line="144"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 xml:space="preserve">Daniel G. Cohen </w:t>
      </w:r>
      <w:r>
        <w:rPr>
          <w:rFonts w:ascii="Arial" w:cs="Arial" w:eastAsia="Arial" w:hAnsi="Arial"/>
          <w:sz w:val="16"/>
          <w:szCs w:val="16"/>
          <w:color w:val="auto"/>
        </w:rPr>
        <w:t>has served as a member of our board of directors since the closing of the Business Combination. Mr. Cohen served as FTIV’s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May 2019 until the closing of the Business Combination, Chief Executive Officer of FinTech III 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w:t>
      </w:r>
    </w:p>
    <w:p>
      <w:pPr>
        <w:spacing w:after="0" w:line="3" w:lineRule="exact"/>
        <w:rPr>
          <w:sz w:val="20"/>
          <w:szCs w:val="20"/>
          <w:color w:val="auto"/>
        </w:rPr>
      </w:pPr>
    </w:p>
    <w:p>
      <w:pPr>
        <w:ind w:firstLine="8"/>
        <w:spacing w:after="0" w:line="266" w:lineRule="auto"/>
        <w:tabs>
          <w:tab w:leader="none" w:pos="185"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Company Financial Limited (formerly known as EuroDekania Management Limited), a FCA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Chief Executive Officer since the closing of the Business Combination. Biographical information for Mr. Weinberg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above under “</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1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Gary S. Barancik </w:t>
      </w:r>
      <w:r>
        <w:rPr>
          <w:rFonts w:ascii="Arial" w:cs="Arial" w:eastAsia="Arial" w:hAnsi="Arial"/>
          <w:sz w:val="16"/>
          <w:szCs w:val="16"/>
          <w:color w:val="auto"/>
        </w:rPr>
        <w:t>has served as our Chief Financial Officer since the closing of the Business Combination. Mr. Barancik is a Founding Partner of PWP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PWP’s Chief Financial Officer since 2018. Mr. Barancik has approximately 30 years of investment banking experience. Prior to his current role, Mr. Barancik was a partner in PWP’s Advisory business where he was Co-Chair of the Company’s Fairness Committee and Co-Head of PWP’s Board 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Master's in Business Administration from the Wharton School at the 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since the closing of the Business Combination. Biographical information for Mr. Becker is set forth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since the closing of the Business Combination. Biographical information for Mr. Bednar is set forth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Management—Directors</w:t>
      </w:r>
      <w:r>
        <w:rPr>
          <w:rFonts w:ascii="Arial" w:cs="Arial" w:eastAsia="Arial" w:hAnsi="Arial"/>
          <w:sz w:val="18"/>
          <w:szCs w:val="18"/>
          <w:color w:val="auto"/>
        </w:rPr>
        <w:t>.”</w:t>
      </w:r>
    </w:p>
    <w:p>
      <w:pPr>
        <w:spacing w:after="0" w:line="116"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b w:val="1"/>
          <w:bCs w:val="1"/>
          <w:i w:val="1"/>
          <w:iCs w:val="1"/>
          <w:color w:val="auto"/>
        </w:rPr>
        <w:t xml:space="preserve">Vladimir Shendelman </w:t>
      </w:r>
      <w:r>
        <w:rPr>
          <w:rFonts w:ascii="Arial" w:cs="Arial" w:eastAsia="Arial" w:hAnsi="Arial"/>
          <w:sz w:val="16"/>
          <w:szCs w:val="16"/>
          <w:color w:val="auto"/>
        </w:rPr>
        <w:t>has served as our General Counsel since the closing of the Business Combination. Mr. Shendelman is a Partner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Shendelman worked as an associate at Davis Polk &amp; Wardwell LLP in their Mergers &amp; Acquisitions, Capital Markets and Investment Management groups.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Shendelman earned a Bachelor of Arts in Economics from Brandeis University and a Juris Doctor from the University of Virginia School of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of directors is divided into three classes of nearly equal size. The initial terms of the Class I, Class II and Class III directors will expire at our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13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the closing of the Business Combination, we entered into the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w:t>
      </w:r>
      <w:r>
        <w:rPr>
          <w:rFonts w:ascii="Arial" w:cs="Arial" w:eastAsia="Arial" w:hAnsi="Arial"/>
          <w:sz w:val="17"/>
          <w:szCs w:val="17"/>
          <w:i w:val="1"/>
          <w:iCs w:val="1"/>
          <w:color w:val="auto"/>
        </w:rPr>
        <w:t>Business Combination—Related Agreements—Stockholders Agreement</w:t>
      </w:r>
      <w:r>
        <w:rPr>
          <w:rFonts w:ascii="Arial" w:cs="Arial" w:eastAsia="Arial" w:hAnsi="Arial"/>
          <w:sz w:val="17"/>
          <w:szCs w:val="17"/>
          <w:color w:val="auto"/>
        </w:rPr>
        <w:t>.”</w:t>
      </w:r>
    </w:p>
    <w:p>
      <w:pPr>
        <w:spacing w:after="0" w:line="12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4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Exchange Act and under the listing standards, (ii) that our board of directors have a compensation and committee comprised solely of independent directors and (iii) that our board of directors either (A) have a nominations committee comprised solely of independent directors or (B) that independent directors constituting a majority of the board’s independent directors select or recommend director nominees in a vote in which only independent directors participate.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92" w:lineRule="exact"/>
        <w:rPr>
          <w:sz w:val="20"/>
          <w:szCs w:val="20"/>
          <w:color w:val="auto"/>
        </w:rPr>
      </w:pPr>
    </w:p>
    <w:p>
      <w:pPr>
        <w:ind w:left="660" w:right="12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board of directors has determined that Ivan G. Seidenberg, Jorma Ollila and Jane C. Sherburne qualify as independent directors pursuant to Nasdaq rules and Rule 10A-3.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3" w:name="page144"/>
    <w:bookmarkEnd w:id="14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recommending policies, plans and programs relating to compensation and benefits of our directors, officers and employees;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recommending compensation and the corporate goals and objectives relevant to compensation of our Chief Executive Officer;</w:t>
      </w:r>
    </w:p>
    <w:p>
      <w:pPr>
        <w:spacing w:after="0" w:line="182" w:lineRule="exact"/>
        <w:rPr>
          <w:rFonts w:ascii="Arial" w:cs="Arial" w:eastAsia="Arial" w:hAnsi="Arial"/>
          <w:sz w:val="17"/>
          <w:szCs w:val="17"/>
          <w:color w:val="auto"/>
        </w:rPr>
      </w:pPr>
    </w:p>
    <w:p>
      <w:pPr>
        <w:ind w:left="660" w:right="38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other executive officers in light of established goals and objectives;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members of the compensation committee are Ivan G. Seidenberg, Jorma Ollila, Jane C. Sherburne and Daniel G. Cohen. Jane C. Sherburne is the chairman of the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have four “independent directors” as defined in Nasdaq rules and applicable SEC rules. We have determined that Mr. Ollila, Mr. Seidenberg,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The inclusion of our website in this prospectus does not include or incorporate by reference the information on, or that can be accessed through, our website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summary of certain material terms of our securities is not intended to be a complete summary of the rights and preferences of such securities. You should refer to our Restated Certificate of Incorporation, Amended and Restated Bylaws and the warrant agreement, which are included as exhibits to the registration statement of which this prospectus is a part. The summary below is also qualified by reference to the provisions of the DGCL,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authorized capital stock consists of 2,200,000,000 shares, consisting of (a) 2,100,000,000 shares of common stock including (i) 1,500,000,000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Class A common stock, par value $0.0001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(ii) 300,000,000 shares of Class B-1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u w:val="single" w:color="auto"/>
          <w:color w:val="auto"/>
        </w:rPr>
        <w:t>Class B-1 common stock</w:t>
      </w:r>
      <w:r>
        <w:rPr>
          <w:rFonts w:ascii="Arial" w:cs="Arial" w:eastAsia="Arial" w:hAnsi="Arial"/>
          <w:sz w:val="16"/>
          <w:szCs w:val="16"/>
          <w:color w:val="auto"/>
        </w:rPr>
        <w:t>”), and (iii) 300,000,000 shares of Class B-2 common stock, par value $0.0001 per share (the “</w:t>
      </w:r>
      <w:r>
        <w:rPr>
          <w:rFonts w:ascii="Arial" w:cs="Arial" w:eastAsia="Arial" w:hAnsi="Arial"/>
          <w:sz w:val="16"/>
          <w:szCs w:val="16"/>
          <w:u w:val="single" w:color="auto"/>
          <w:color w:val="auto"/>
        </w:rPr>
        <w:t>Class B-2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and together with the Class B-1 common stock,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(b) 100,000,000 shares of preferred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$0.0001 per share. Unless our board of directors determines otherwise, we will issue all shares of our capital stock in uncertificated form.</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February 28, 2022, our issued and outstanding share capital consisted of: (i) 46,939,793 shares of Class A common stock, (ii) 44,345,098.737 shares of Class B-1 common stock, (iii) 1,964,044.000 shares of Class B-2 common stock, (iv) no shares of preferred stock and (v) 7,869,975 Warrants, consisting of 7,666,642 Public Warrants and 203,333 Private Warrants. Such numbers do not include DTC participants or beneficial owners holding shares through nominee names.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24"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A common stock do not have preemptive or subscription rights.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Sponsor Share Surrender and Share Restriction Agreement, the Placement Shares and Founder Shares held by the Sponsor and certain of the Placement Shares and Founder Shares distributed to the Sponsor’s members in the Sponsor Distribution, which, in each case, are offered pursuant to this prospectus, are subject to certain restrictions on transfer. See “</w:t>
      </w:r>
      <w:r>
        <w:rPr>
          <w:rFonts w:ascii="Arial" w:cs="Arial" w:eastAsia="Arial" w:hAnsi="Arial"/>
          <w:sz w:val="18"/>
          <w:szCs w:val="18"/>
          <w:i w:val="1"/>
          <w:iCs w:val="1"/>
          <w:color w:val="auto"/>
        </w:rPr>
        <w:t>Business Combination—Related Agreements—Sponsor Share Surrender and Share</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 Agreement</w:t>
      </w:r>
      <w:r>
        <w:rPr>
          <w:rFonts w:ascii="Arial" w:cs="Arial" w:eastAsia="Arial" w:hAnsi="Arial"/>
          <w:sz w:val="18"/>
          <w:szCs w:val="18"/>
          <w:color w:val="auto"/>
        </w:rPr>
        <w:t>”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Following the filing of our second amended and restated certificate of incorporation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Arial" w:cs="Arial" w:eastAsia="Arial" w:hAnsi="Arial"/>
          <w:sz w:val="17"/>
          <w:szCs w:val="17"/>
          <w:u w:val="single" w:color="auto"/>
          <w:color w:val="auto"/>
        </w:rPr>
        <w:t>Pre-Business Combination Class B Common Stock</w:t>
      </w:r>
      <w:r>
        <w:rPr>
          <w:rFonts w:ascii="Arial" w:cs="Arial" w:eastAsia="Arial" w:hAnsi="Arial"/>
          <w:sz w:val="17"/>
          <w:szCs w:val="17"/>
          <w:color w:val="auto"/>
        </w:rPr>
        <w:t>”), into one share of Class A Common Stock and the number of authorized shares of Pre-Business Combination Class B Common Stock was reduced to zero.</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2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holders of our Class A common stock, such dividend or other distribution on the Class A common stock when, as and if declared by our board of directors out of our assets or funds legally available therefor.</w:t>
      </w:r>
    </w:p>
    <w:p>
      <w:pPr>
        <w:spacing w:after="0" w:line="10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B common stock do not have preemptive or subscription rights.</w:t>
      </w:r>
    </w:p>
    <w:p>
      <w:pPr>
        <w:spacing w:after="0" w:line="17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3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powers, full or limited, or no voting powers of such class or series;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designations, preferences and relative, participating, optional or other special rights and such qualifications, limitations or restrictions thereof,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such class or series;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related dividend rates, conditions and times for payment and preferences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rights of such class or series upon our dissolution or upon any distribution of our assets; and</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Warrants for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3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call the Warrants for redemption for cash as described above, our management will have the option to require any holder that wishes to exercise its Warrant to do so on a “cashless basis.” In determining whether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4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with American Stock Transfer &amp; Trust Company, LLC,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Private Placement Warrants (including the Class A common stock issuable upon exercise of the Private Placement Warrants) were not transferable, assignable or salable until July 24, 2021, 30 days after the Closing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is 30 days after the Closing, except that, among other limited exceptions, made to our officers and directors and other persons or entities affiliated with or related to our sponsor, each of which will be subject to the same transfer restrictions.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Restated Certificate of Incorporation provides that our board of directors will be divided into three classes that will be, as nearly as may be possible, of equal size. The initial terms of the Class I, Class II and Class III directors will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The Class I directors include Mr. Perella, Mr. Seidenberg and Mr. Cohen, the Class II directors include Mr. Ollila, Mr. Steel and Mr. Bednar, and the Class III directors include Mr. Weinberg, Ms. Sherburne and Mr. Becker.</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in connection with the Closing,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2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4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0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for our Class A Common Stock and warrant agent for the Public Warrants and Private Placement Warrants is American Stock Transfer &amp; Trust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ACT RESTRICTIONS ON RESALE OF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Pursuant to Rule 144 under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a person who has beneficially owned restricted shares of our Common Stock or our Warrants for at least six months would be entitled to sell their securities provided that (1) such person is not deemed to have been an affiliate of us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Persons who have beneficially owned restricted shares of our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0"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 of the total number of shares of our common stock then outstanding; or</w:t>
      </w:r>
    </w:p>
    <w:p>
      <w:pPr>
        <w:spacing w:after="0" w:line="171" w:lineRule="exact"/>
        <w:rPr>
          <w:rFonts w:ascii="Arial" w:cs="Arial" w:eastAsia="Arial" w:hAnsi="Arial"/>
          <w:sz w:val="18"/>
          <w:szCs w:val="18"/>
          <w:color w:val="auto"/>
        </w:rPr>
      </w:pPr>
    </w:p>
    <w:p>
      <w:pPr>
        <w:jc w:val="both"/>
        <w:ind w:left="660" w:right="280" w:hanging="328"/>
        <w:spacing w:after="0" w:line="263"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sale.Sales by our affiliates under Rule 144 are also limited by manner of sale provisions and notice requirements and to the availability of current public information about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2"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of February 28, 2022, we had 46,939,793 shares of Class A common stock outstanding. Of these shares, 23,610,000 shares sold in FTIV’s IPO, 3,502,033 shares sold in the January 2022 Offering and any additional shares of Class A common stock that have been resold pursuant to the registration statement of which this prospectus is a part are freely tradable without restriction or further registration under the Securities Act, except for any shares purchased by one of our affiliates within the meaning of Rule 144. All of the 1,000,000 Founder Shares owned by the Sponsor and all of the 5,456,667 Founder and Placement Shares distributed to the Sponsor’s members in the Sponsor Distribution are restricted securities under Rule 144, in that they were issued in private transactions not involving a public offering. All of the 12,500,000 PIPE Shares we issued to the PIPE Investors pursuant to the Subscription Agreements are also restricted securities for purposes of Rule 144. The registration statement of which this prospectus is a part registers for resale all of the Founder Shares, Placement Shares and PIPE Shares, and we are obligated to maintain the effectiveness of such registration statement in accordance with the terms and conditions of the Amended and Restated Registration Rights Agreement or applicable Subscription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5" w:name="page156"/>
    <w:bookmarkEnd w:id="155"/>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the date of this prospectus, there are 7,869,975 Warrants outstanding, consisting of 7,666,642 Public Warrants originally sold as part of the units issued in FTIV’s IPO and 203,333 Private Placement Warrants that were sold by FTIV to the Sponsor in a private placement prior to the IPO. Each Warrant is exercisable for one share of our Class A common stock, in accordance with the terms of the warrant agreement governing the Warrants. The Public Warrants are freely tradable. In addition, we have filed the registration statement of which this prospectus is a part under the Securities Act covering the 7,869,975 shares of our Class A common stock that may be issued upon exercise of the Warrants and resales by the Selling Holders of the 203,333 Private Placement Warrants, and we are obligated to maintain the effectiveness of such registration statement until the expiration or redemption of the Warrants.</w:t>
      </w:r>
    </w:p>
    <w:p>
      <w:pPr>
        <w:spacing w:after="0" w:line="1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Shares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Upon completion of the Business Combination, our Founder Shares automatically converted from Class B common stock into shares of Class A common stock. Pursuant to the Sponsor Share Surrender and Share Restriction Agreement, as amended, the 5,846,667 Founder Shares and 610,000 Placement Shares held by the Sponsor as of the Closing were subject to transfer restrictions for six months following the Closing Date and 80% of the Founder Shares held by the Sponsor are subject to transfer restrictions based on certain closing share price thresholds of the Company’s Class A common stock for 20 out of any 30 consecutive trading days. As of December 24, 2021, the six-month anniversary of the Closing, all of the Placement Shares and 3,108,001 of the Founder Shares are no longer subject to the transfer and vesting restrictions. 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our the $15 Threshold is met. 1,738,680 of the shares distributed in the Sponsor Distribution remain subject to transfer restrictions until either the $15 Threshold or the $17 Threshold, as applicable, is met. See “</w:t>
      </w:r>
      <w:r>
        <w:rPr>
          <w:rFonts w:ascii="Arial" w:cs="Arial" w:eastAsia="Arial" w:hAnsi="Arial"/>
          <w:sz w:val="16"/>
          <w:szCs w:val="16"/>
          <w:i w:val="1"/>
          <w:iCs w:val="1"/>
          <w:color w:val="auto"/>
        </w:rPr>
        <w:t>Business Combination—Related Agreements—Sponsor Share Surrender and Share Restriction Agreement</w:t>
      </w:r>
      <w:r>
        <w:rPr>
          <w:rFonts w:ascii="Arial" w:cs="Arial" w:eastAsia="Arial" w:hAnsi="Arial"/>
          <w:sz w:val="16"/>
          <w:szCs w:val="16"/>
          <w:color w:val="auto"/>
        </w:rPr>
        <w:t>” for additional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2022 Offering Lock-Up Agreements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January 2022 Offering, we, our officers and directors, and certain affiliated stockholders have agreed, subject to certain exceptions, not to directly or indirectly offer, sell, contract to sell, pledge, grant any option to purchase, make any short sale or otherwise dispose of or hedge any shares of our Class A common stock or any options to purchase shares of our Class A common stock, or any securities convertible into or exchangeable for shares of Class A common stock during the period from the date of the lock-up agreement continuing through the date 90 days after January 18, 2022, the date of the prospectus for the January 2022 Offering, except with the prior written consent of the underwriter for the January 2022 Offering. The Sponsor is subject to such restrictions, except with respect to the 2,481,572 shares of Class A common stock (671,406 of which are subject to transfer restrictions until either the $15 Threshold or the $17 Threshold, as applicable, is met pursuant to the Sponsor Share Surrender and Share Restriction Agreement discussed above) and 203,330 Private Placement Warrants distributed in connection with the Sponsor Distribution to certain of its members which are not affiliated with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Class A Partnership Units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Subject to the exchange procedures and restrictions set forth in the PWP OpCo LPA and described below, and any other procedures or restrictions imposed by us, holders of PWP OpCo Class A partnership units (other than us)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Legacy Partners, the lock-up period expired on December 24, 2021; and (b) for Working Partners, are between three to five years after the Closing), (ii) PWP OpCo Class A partnership units held by ILPs that existed at the time of the Business Combination expired on December 24, 2021, and (iii) any other outstanding PWP OpCo Class A partnership units not previously covered by clauses (i) and (ii) above are subject to such restriction for a period of twelve months following the date on which such PWP OpCo Class A partnership units were acquired. PWP GP may waive the foregoing restrictions for any holder with respect to all or a portion of such holder’s units, with no obligation to do so for any other holder. As of December 24, 2021, the six-month anniversary of the Closing, 10,346,291.665 of the PWP OpCo Class A partnership units were no longer subject to the transfer and exchange restrictions. 3,498,534.263 of these PWP OpCo Class A partnership units were repurchased with the net proceeds of the January 2022 Offering.</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summarizes the transfer or exchange restrictions applicable to certain shares of our Class A common stock and PWP OpCo Class A partnership units and shares of our Class B common stock that are exchangeable into shares of our Class A common stock. Unless expressly indicated otherwise, the information in the table below is based on the numbers of shares of Class A common stock, shares of Class B common stock and PWP OpCo Class A partnership units outstanding and exchange eligibility as of February 28, 2022.</w:t>
      </w:r>
    </w:p>
    <w:p>
      <w:pPr>
        <w:spacing w:after="0" w:line="129" w:lineRule="exact"/>
        <w:rPr>
          <w:sz w:val="20"/>
          <w:szCs w:val="20"/>
          <w:color w:val="auto"/>
        </w:rPr>
      </w:pPr>
    </w:p>
    <w:p>
      <w:pPr>
        <w:ind w:right="500"/>
        <w:spacing w:after="0" w:line="283" w:lineRule="auto"/>
        <w:rPr>
          <w:sz w:val="20"/>
          <w:szCs w:val="20"/>
          <w:color w:val="auto"/>
        </w:rPr>
      </w:pPr>
      <w:r>
        <w:rPr>
          <w:rFonts w:ascii="Arial" w:cs="Arial" w:eastAsia="Arial" w:hAnsi="Arial"/>
          <w:sz w:val="18"/>
          <w:szCs w:val="18"/>
          <w:b w:val="1"/>
          <w:bCs w:val="1"/>
          <w:color w:val="auto"/>
        </w:rPr>
        <w:t xml:space="preserve">Summary of Contractual Transfer or Redemption/Exchange Restrictions on Our Class A Common Stock, Class B Common Stock and PWP OpCo Class A Partnership Units </w:t>
      </w:r>
      <w:r>
        <w:rPr>
          <w:rFonts w:ascii="Arial" w:cs="Arial" w:eastAsia="Arial" w:hAnsi="Arial"/>
          <w:sz w:val="23"/>
          <w:szCs w:val="23"/>
          <w:b w:val="1"/>
          <w:bCs w:val="1"/>
          <w:color w:val="auto"/>
          <w:vertAlign w:val="superscript"/>
        </w:rPr>
        <w:t>(1)</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Class A Common Stock</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Founder and Placement Shares</w:t>
      </w:r>
    </w:p>
    <w:p>
      <w:pPr>
        <w:spacing w:after="0" w:line="36" w:lineRule="exact"/>
        <w:rPr>
          <w:sz w:val="20"/>
          <w:szCs w:val="20"/>
          <w:color w:val="auto"/>
        </w:rPr>
      </w:pPr>
    </w:p>
    <w:p>
      <w:pPr>
        <w:ind w:left="520" w:right="1740" w:hanging="161"/>
        <w:spacing w:after="0" w:line="235" w:lineRule="auto"/>
        <w:rPr>
          <w:sz w:val="20"/>
          <w:szCs w:val="20"/>
          <w:color w:val="auto"/>
        </w:rPr>
      </w:pPr>
      <w:r>
        <w:rPr>
          <w:rFonts w:ascii="Arial" w:cs="Arial" w:eastAsia="Arial" w:hAnsi="Arial"/>
          <w:sz w:val="18"/>
          <w:szCs w:val="18"/>
          <w:color w:val="auto"/>
        </w:rPr>
        <w:t>Founder and Placement Shares currently held by Sponsor and affiliates of the Sponsor (and therefore subject to 90-day lock-up agreements entered into in connection with the January 2022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Founder and Placement Shares subject to transfer restrictions until applicable $15 Threshold or $17 Threshold is met</w:t>
            </w:r>
          </w:p>
        </w:tc>
        <w:tc>
          <w:tcPr>
            <w:tcW w:w="1560" w:type="dxa"/>
            <w:vAlign w:val="bottom"/>
          </w:tcPr>
          <w:p>
            <w:pPr>
              <w:jc w:val="right"/>
              <w:spacing w:after="0"/>
              <w:rPr>
                <w:sz w:val="20"/>
                <w:szCs w:val="20"/>
                <w:color w:val="auto"/>
              </w:rPr>
            </w:pPr>
            <w:r>
              <w:rPr>
                <w:rFonts w:ascii="Arial" w:cs="Arial" w:eastAsia="Arial" w:hAnsi="Arial"/>
                <w:sz w:val="18"/>
                <w:szCs w:val="18"/>
                <w:color w:val="auto"/>
              </w:rPr>
              <w:t>2,067,274</w:t>
            </w:r>
          </w:p>
        </w:tc>
        <w:tc>
          <w:tcPr>
            <w:tcW w:w="0" w:type="dxa"/>
            <w:vAlign w:val="bottom"/>
          </w:tcPr>
          <w:p>
            <w:pPr>
              <w:spacing w:after="0"/>
              <w:rPr>
                <w:sz w:val="1"/>
                <w:szCs w:val="1"/>
                <w:color w:val="auto"/>
              </w:rPr>
            </w:pPr>
          </w:p>
        </w:tc>
      </w:tr>
      <w:tr>
        <w:trPr>
          <w:trHeight w:val="229"/>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Remaining Founder and Placement Shares held by the Sponsor and their affiliates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1,907,821</w:t>
            </w:r>
          </w:p>
        </w:tc>
        <w:tc>
          <w:tcPr>
            <w:tcW w:w="0" w:type="dxa"/>
            <w:vAlign w:val="bottom"/>
          </w:tcPr>
          <w:p>
            <w:pPr>
              <w:spacing w:after="0"/>
              <w:rPr>
                <w:sz w:val="1"/>
                <w:szCs w:val="1"/>
                <w:color w:val="auto"/>
              </w:rPr>
            </w:pPr>
          </w:p>
        </w:tc>
      </w:tr>
      <w:tr>
        <w:trPr>
          <w:trHeight w:val="223"/>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3,975,095</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80" w:type="dxa"/>
            <w:vAlign w:val="bottom"/>
            <w:gridSpan w:val="3"/>
            <w:shd w:val="clear" w:color="auto" w:fill="CCEEFF"/>
          </w:tcPr>
          <w:p>
            <w:pPr>
              <w:ind w:left="360"/>
              <w:spacing w:after="0" w:line="142" w:lineRule="exact"/>
              <w:rPr>
                <w:sz w:val="20"/>
                <w:szCs w:val="20"/>
                <w:color w:val="auto"/>
              </w:rPr>
            </w:pPr>
            <w:r>
              <w:rPr>
                <w:rFonts w:ascii="Arial" w:cs="Arial" w:eastAsia="Arial" w:hAnsi="Arial"/>
                <w:sz w:val="16"/>
                <w:szCs w:val="16"/>
                <w:color w:val="auto"/>
              </w:rPr>
              <w:t>Founder and Placement Shares distributed to non-affiliated Sponsor investors (and therefore not subject to the 90-day lock-up</w:t>
            </w: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6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agreements entered into in connection with the January 2022 Offering):</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Founder and Placement Shares subject to transfer restrictions until applicable $15 Threshold or $17 Threshold is met</w:t>
            </w:r>
          </w:p>
        </w:tc>
        <w:tc>
          <w:tcPr>
            <w:tcW w:w="1560" w:type="dxa"/>
            <w:vAlign w:val="bottom"/>
          </w:tcPr>
          <w:p>
            <w:pPr>
              <w:jc w:val="right"/>
              <w:spacing w:after="0"/>
              <w:rPr>
                <w:sz w:val="20"/>
                <w:szCs w:val="20"/>
                <w:color w:val="auto"/>
              </w:rPr>
            </w:pPr>
            <w:r>
              <w:rPr>
                <w:rFonts w:ascii="Arial" w:cs="Arial" w:eastAsia="Arial" w:hAnsi="Arial"/>
                <w:sz w:val="18"/>
                <w:szCs w:val="18"/>
                <w:color w:val="auto"/>
              </w:rPr>
              <w:t>671,406</w:t>
            </w:r>
          </w:p>
        </w:tc>
        <w:tc>
          <w:tcPr>
            <w:tcW w:w="0" w:type="dxa"/>
            <w:vAlign w:val="bottom"/>
          </w:tcPr>
          <w:p>
            <w:pPr>
              <w:spacing w:after="0"/>
              <w:rPr>
                <w:sz w:val="1"/>
                <w:szCs w:val="1"/>
                <w:color w:val="auto"/>
              </w:rPr>
            </w:pPr>
          </w:p>
        </w:tc>
      </w:tr>
      <w:tr>
        <w:trPr>
          <w:trHeight w:val="230"/>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Remaining Founder and Placement Shares not subject to transfer restrictions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1,810,166</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2,481,572</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 Founder and Placement Shares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6,456,667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Other shares of Class A common stock outstanding</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Borders>
              <w:bottom w:val="single" w:sz="8" w:color="CCEEFF"/>
            </w:tcBorders>
            <w:gridSpan w:val="3"/>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40,483,126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shares of Class A common stock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46,939,793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b w:val="1"/>
                <w:bCs w:val="1"/>
                <w:color w:val="auto"/>
                <w:w w:val="90"/>
              </w:rPr>
              <w:t>Class A common stock issuable in exchange for PWP OpCo Class A partnership units and Class B-1 and B-2 common stock</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68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680" w:type="dxa"/>
            <w:vAlign w:val="bottom"/>
            <w:gridSpan w:val="3"/>
          </w:tcPr>
          <w:p>
            <w:pPr>
              <w:ind w:left="180"/>
              <w:spacing w:after="0" w:line="189" w:lineRule="exact"/>
              <w:rPr>
                <w:sz w:val="20"/>
                <w:szCs w:val="20"/>
                <w:color w:val="auto"/>
              </w:rPr>
            </w:pPr>
            <w:r>
              <w:rPr>
                <w:rFonts w:ascii="Arial" w:cs="Arial" w:eastAsia="Arial" w:hAnsi="Arial"/>
                <w:sz w:val="18"/>
                <w:szCs w:val="18"/>
                <w:b w:val="1"/>
                <w:bCs w:val="1"/>
                <w:color w:val="auto"/>
              </w:rPr>
              <w:t>only on Quarterly Exchange Dates (“QEDs”)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Class A Common Stock</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Founder and Placement Shares</w:t>
      </w:r>
    </w:p>
    <w:p>
      <w:pPr>
        <w:spacing w:after="0" w:line="32" w:lineRule="exact"/>
        <w:rPr>
          <w:sz w:val="20"/>
          <w:szCs w:val="20"/>
          <w:color w:val="auto"/>
        </w:rPr>
      </w:pPr>
    </w:p>
    <w:p>
      <w:pPr>
        <w:ind w:left="520" w:right="1760" w:hanging="161"/>
        <w:spacing w:after="0" w:line="251" w:lineRule="auto"/>
        <w:rPr>
          <w:sz w:val="20"/>
          <w:szCs w:val="20"/>
          <w:color w:val="auto"/>
        </w:rPr>
      </w:pPr>
      <w:r>
        <w:rPr>
          <w:rFonts w:ascii="Arial" w:cs="Arial" w:eastAsia="Arial" w:hAnsi="Arial"/>
          <w:sz w:val="17"/>
          <w:szCs w:val="17"/>
          <w:b w:val="1"/>
          <w:bCs w:val="1"/>
          <w:color w:val="auto"/>
        </w:rPr>
        <w:t>Class A common stock issuable in exchange for PWP OpCo Class A partnership units and Class B-2 common stock not subject to 90-day lock-up agreements entered into in connection with the January 2022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571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9680" w:type="dxa"/>
            <w:vAlign w:val="bottom"/>
          </w:tcPr>
          <w:p>
            <w:pPr>
              <w:ind w:left="360"/>
              <w:spacing w:after="0" w:line="176" w:lineRule="exact"/>
              <w:rPr>
                <w:sz w:val="20"/>
                <w:szCs w:val="20"/>
                <w:color w:val="auto"/>
              </w:rPr>
            </w:pPr>
            <w:r>
              <w:rPr>
                <w:rFonts w:ascii="Arial" w:cs="Arial" w:eastAsia="Arial" w:hAnsi="Arial"/>
                <w:sz w:val="18"/>
                <w:szCs w:val="18"/>
                <w:color w:val="auto"/>
                <w:w w:val="94"/>
              </w:rPr>
              <w:t>Class A common stock issuable in exchange for PWP OpCo Class A partnership units and Class B-2 common stock held by</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1,123,386</w:t>
            </w:r>
          </w:p>
        </w:tc>
        <w:tc>
          <w:tcPr>
            <w:tcW w:w="0" w:type="dxa"/>
            <w:vAlign w:val="bottom"/>
          </w:tcPr>
          <w:p>
            <w:pPr>
              <w:spacing w:after="0"/>
              <w:rPr>
                <w:sz w:val="1"/>
                <w:szCs w:val="1"/>
                <w:color w:val="auto"/>
              </w:rPr>
            </w:pPr>
          </w:p>
        </w:tc>
      </w:tr>
      <w:tr>
        <w:trPr>
          <w:trHeight w:val="229"/>
        </w:trPr>
        <w:tc>
          <w:tcPr>
            <w:tcW w:w="9680" w:type="dxa"/>
            <w:vAlign w:val="bottom"/>
          </w:tcPr>
          <w:p>
            <w:pPr>
              <w:ind w:left="520"/>
              <w:spacing w:after="0" w:line="230" w:lineRule="exact"/>
              <w:rPr>
                <w:sz w:val="20"/>
                <w:szCs w:val="20"/>
                <w:color w:val="auto"/>
              </w:rPr>
            </w:pPr>
            <w:r>
              <w:rPr>
                <w:rFonts w:ascii="Arial" w:cs="Arial" w:eastAsia="Arial" w:hAnsi="Arial"/>
                <w:sz w:val="18"/>
                <w:szCs w:val="18"/>
                <w:color w:val="auto"/>
              </w:rPr>
              <w:t xml:space="preserve">ILPs and exchangeable at or after the Q2 2022 QED </w:t>
            </w:r>
            <w:r>
              <w:rPr>
                <w:rFonts w:ascii="Arial" w:cs="Arial" w:eastAsia="Arial" w:hAnsi="Arial"/>
                <w:sz w:val="23"/>
                <w:szCs w:val="23"/>
                <w:color w:val="auto"/>
                <w:vertAlign w:val="superscript"/>
              </w:rPr>
              <w:t>(2)</w:t>
            </w: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b w:val="1"/>
                <w:bCs w:val="1"/>
                <w:color w:val="auto"/>
                <w:w w:val="91"/>
              </w:rPr>
              <w:t>Class A common stock issuable in exchange for PWP OpCo Class A partnership units and Class B-1 and B-2 common</w:t>
            </w: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520"/>
              <w:spacing w:after="0" w:line="230" w:lineRule="exact"/>
              <w:rPr>
                <w:sz w:val="20"/>
                <w:szCs w:val="20"/>
                <w:color w:val="auto"/>
              </w:rPr>
            </w:pPr>
            <w:r>
              <w:rPr>
                <w:rFonts w:ascii="Arial" w:cs="Arial" w:eastAsia="Arial" w:hAnsi="Arial"/>
                <w:sz w:val="18"/>
                <w:szCs w:val="18"/>
                <w:b w:val="1"/>
                <w:bCs w:val="1"/>
                <w:color w:val="auto"/>
              </w:rPr>
              <w:t xml:space="preserve">stock subject to 90-day lock-up agreements entered into in connection with the January 2022 Offering </w:t>
            </w:r>
            <w:r>
              <w:rPr>
                <w:rFonts w:ascii="Arial" w:cs="Arial" w:eastAsia="Arial" w:hAnsi="Arial"/>
                <w:sz w:val="23"/>
                <w:szCs w:val="23"/>
                <w:b w:val="1"/>
                <w:bCs w:val="1"/>
                <w:color w:val="auto"/>
                <w:vertAlign w:val="superscript"/>
              </w:rPr>
              <w:t>(3)</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680" w:type="dxa"/>
            <w:vAlign w:val="bottom"/>
          </w:tcPr>
          <w:p>
            <w:pPr>
              <w:ind w:left="20"/>
              <w:spacing w:after="0" w:line="189" w:lineRule="exact"/>
              <w:rPr>
                <w:sz w:val="20"/>
                <w:szCs w:val="20"/>
                <w:color w:val="auto"/>
              </w:rPr>
            </w:pPr>
            <w:r>
              <w:rPr>
                <w:rFonts w:ascii="Arial" w:cs="Arial" w:eastAsia="Arial" w:hAnsi="Arial"/>
                <w:sz w:val="18"/>
                <w:szCs w:val="18"/>
                <w:color w:val="auto"/>
                <w:w w:val="97"/>
              </w:rPr>
              <w:t>Class A common stock issuable in exchange for PWP OpCo Class A partnership units and Class B-1 common stock held by</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680" w:type="dxa"/>
            <w:vAlign w:val="bottom"/>
          </w:tcPr>
          <w:p>
            <w:pPr>
              <w:ind w:left="180"/>
              <w:spacing w:after="0"/>
              <w:rPr>
                <w:sz w:val="20"/>
                <w:szCs w:val="20"/>
                <w:color w:val="auto"/>
              </w:rPr>
            </w:pPr>
            <w:r>
              <w:rPr>
                <w:rFonts w:ascii="Arial" w:cs="Arial" w:eastAsia="Arial" w:hAnsi="Arial"/>
                <w:sz w:val="18"/>
                <w:szCs w:val="18"/>
                <w:color w:val="auto"/>
              </w:rPr>
              <w:t>Professional Partners on behalf of Legacy Partners who have elected to exchange at Q2 2022 QED)</w:t>
            </w:r>
          </w:p>
        </w:tc>
        <w:tc>
          <w:tcPr>
            <w:tcW w:w="1560" w:type="dxa"/>
            <w:vAlign w:val="bottom"/>
          </w:tcPr>
          <w:p>
            <w:pPr>
              <w:jc w:val="right"/>
              <w:spacing w:after="0"/>
              <w:rPr>
                <w:sz w:val="20"/>
                <w:szCs w:val="20"/>
                <w:color w:val="auto"/>
              </w:rPr>
            </w:pPr>
            <w:r>
              <w:rPr>
                <w:rFonts w:ascii="Arial" w:cs="Arial" w:eastAsia="Arial" w:hAnsi="Arial"/>
                <w:sz w:val="18"/>
                <w:szCs w:val="18"/>
                <w:color w:val="auto"/>
              </w:rPr>
              <w:t>5,399,655</w:t>
            </w: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Class A common stock issuable in exchange for PWP OpCo Class A partnership units and Class B-1 common stock first eligible for</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2,779,589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in 2022 after the QED following the one-year anniversary of the Business Combination</w:t>
            </w: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680" w:type="dxa"/>
            <w:vAlign w:val="bottom"/>
          </w:tcPr>
          <w:p>
            <w:pPr>
              <w:ind w:left="20"/>
              <w:spacing w:after="0" w:line="176" w:lineRule="exact"/>
              <w:rPr>
                <w:sz w:val="20"/>
                <w:szCs w:val="20"/>
                <w:color w:val="auto"/>
              </w:rPr>
            </w:pPr>
            <w:r>
              <w:rPr>
                <w:rFonts w:ascii="Arial" w:cs="Arial" w:eastAsia="Arial" w:hAnsi="Arial"/>
                <w:sz w:val="18"/>
                <w:szCs w:val="18"/>
                <w:color w:val="auto"/>
                <w:w w:val="92"/>
              </w:rPr>
              <w:t>Class A common stock issuable in exchange for PWP OpCo Class A partnership units and Class B-1 common stock first eligible for</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2,779,589</w:t>
            </w:r>
          </w:p>
        </w:tc>
        <w:tc>
          <w:tcPr>
            <w:tcW w:w="0" w:type="dxa"/>
            <w:vAlign w:val="bottom"/>
          </w:tcPr>
          <w:p>
            <w:pPr>
              <w:spacing w:after="0"/>
              <w:rPr>
                <w:sz w:val="1"/>
                <w:szCs w:val="1"/>
                <w:color w:val="auto"/>
              </w:rPr>
            </w:pP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exchange in 2023</w:t>
            </w: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Class A common stock issuable in exchange for PWP OpCo Class A partnership units and Class B-1 common stock first eligible for</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34,283,052</w:t>
            </w:r>
          </w:p>
        </w:tc>
        <w:tc>
          <w:tcPr>
            <w:tcW w:w="0" w:type="dxa"/>
            <w:vAlign w:val="bottom"/>
          </w:tcPr>
          <w:p>
            <w:pPr>
              <w:spacing w:after="0"/>
              <w:rPr>
                <w:sz w:val="1"/>
                <w:szCs w:val="1"/>
                <w:color w:val="auto"/>
              </w:rPr>
            </w:pPr>
          </w:p>
        </w:tc>
      </w:tr>
      <w:tr>
        <w:trPr>
          <w:trHeight w:val="235"/>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beginning in 2024 and thereafter</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680" w:type="dxa"/>
            <w:vAlign w:val="bottom"/>
          </w:tcPr>
          <w:p>
            <w:pPr>
              <w:ind w:left="360"/>
              <w:spacing w:after="0" w:line="156" w:lineRule="exact"/>
              <w:rPr>
                <w:sz w:val="20"/>
                <w:szCs w:val="20"/>
                <w:color w:val="auto"/>
              </w:rPr>
            </w:pPr>
            <w:r>
              <w:rPr>
                <w:rFonts w:ascii="Arial" w:cs="Arial" w:eastAsia="Arial" w:hAnsi="Arial"/>
                <w:sz w:val="18"/>
                <w:szCs w:val="18"/>
                <w:b w:val="1"/>
                <w:bCs w:val="1"/>
                <w:color w:val="auto"/>
                <w:w w:val="93"/>
              </w:rPr>
              <w:t>TOTAL Class A common stock issuable in exchange for PWP OpCo Class A partnership units and Class B-1 and B-2</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46,365,271</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common stock</w:t>
            </w: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6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1"/>
              </w:rPr>
              <w:t>Total shares of Class A common stock outstanding (including shares of Class A common stock issuable upon exchange of</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93,305,064</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outstanding OpCo Class A partnership units and shares of Class B-1 and B-2 common stock)</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Excludes RSUs and Warrants. Fractional PWP OpCo Class A partnership units are rounded to the nearest whole unit.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PWP OpCo Class A partnership units which were eligible for exchange at the Q1 2022 QED (February 28, 2022), but the holder of such units did not elect to exchange.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amended and restated limited partnership agreement of Professional Partners contains restrictions on when limited partners are eligible to redeem/exchange their units as set forth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August 30, 2021, we filed a registration statement on Form S-8 under the Securities Act to register 24,180,000 shares of Class A common stock issued or issuable under our Incentive Plan, which became effective automatically upon filing. On February 25, 2022, we filed a registration statement on Form S-8 under the Securities Act to register an additional 10,364,127 shares of Class A common stock issuable under our Incentive Plan, which became effective automatically upon filing. Since these shares are registered, they can be sold in the public market upon issuance, subject to Rule 144 limitations applicable to affiliates and vesting restrictions. We may file one or more amendments to such registration statements on Form S-8 or one or more registration statements on Form S-8 to register additional shares of Class A common stock that are issuable under our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known to the Company regarding the beneficial ownership of shares of the Company’s Common Stock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 by:</w:t>
      </w:r>
    </w:p>
    <w:p>
      <w:pPr>
        <w:spacing w:after="0" w:line="15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of the Company’s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9" w:name="page160"/>
    <w:bookmarkEnd w:id="159"/>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beneficial ownership of the Company’s Common Stock is based on 46,939,793 shares of Class A common stock, 44,354,908.737 shares of Class B-1 common stock and 1,964,044.000 shares of Class B-2 common stock issued and outstanding as of February 28,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tcPr>
          <w:p>
            <w:pPr>
              <w:ind w:left="660"/>
              <w:spacing w:after="0"/>
              <w:rPr>
                <w:sz w:val="20"/>
                <w:szCs w:val="20"/>
                <w:color w:val="auto"/>
              </w:rPr>
            </w:pPr>
            <w:r>
              <w:rPr>
                <w:rFonts w:ascii="Arial" w:cs="Arial" w:eastAsia="Arial" w:hAnsi="Arial"/>
                <w:sz w:val="11"/>
                <w:szCs w:val="11"/>
                <w:b w:val="1"/>
                <w:bCs w:val="1"/>
                <w:color w:val="auto"/>
              </w:rPr>
              <w:t>Shares Beneficially Owned as of February 28, 2022</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4"/>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ind w:left="580"/>
              <w:spacing w:after="0"/>
              <w:rPr>
                <w:sz w:val="20"/>
                <w:szCs w:val="20"/>
                <w:color w:val="auto"/>
              </w:rPr>
            </w:pPr>
            <w:r>
              <w:rPr>
                <w:rFonts w:ascii="Arial" w:cs="Arial" w:eastAsia="Arial" w:hAnsi="Arial"/>
                <w:sz w:val="11"/>
                <w:szCs w:val="11"/>
                <w:b w:val="1"/>
                <w:bCs w:val="1"/>
                <w:color w:val="auto"/>
                <w:w w:val="86"/>
              </w:rPr>
              <w:t>Class A Common Stock</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4"/>
          </w:tcPr>
          <w:p>
            <w:pPr>
              <w:ind w:left="560"/>
              <w:spacing w:after="0"/>
              <w:rPr>
                <w:sz w:val="20"/>
                <w:szCs w:val="20"/>
                <w:color w:val="auto"/>
              </w:rPr>
            </w:pPr>
            <w:r>
              <w:rPr>
                <w:rFonts w:ascii="Arial" w:cs="Arial" w:eastAsia="Arial" w:hAnsi="Arial"/>
                <w:sz w:val="11"/>
                <w:szCs w:val="11"/>
                <w:b w:val="1"/>
                <w:bCs w:val="1"/>
                <w:color w:val="auto"/>
              </w:rPr>
              <w:t>Class B-1 Common Stock</w:t>
            </w:r>
          </w:p>
        </w:tc>
        <w:tc>
          <w:tcPr>
            <w:tcW w:w="2280" w:type="dxa"/>
            <w:vAlign w:val="bottom"/>
            <w:gridSpan w:val="3"/>
          </w:tcPr>
          <w:p>
            <w:pPr>
              <w:jc w:val="right"/>
              <w:ind w:right="489"/>
              <w:spacing w:after="0"/>
              <w:rPr>
                <w:sz w:val="20"/>
                <w:szCs w:val="20"/>
                <w:color w:val="auto"/>
              </w:rPr>
            </w:pPr>
            <w:r>
              <w:rPr>
                <w:rFonts w:ascii="Arial" w:cs="Arial" w:eastAsia="Arial" w:hAnsi="Arial"/>
                <w:sz w:val="11"/>
                <w:szCs w:val="11"/>
                <w:b w:val="1"/>
                <w:bCs w:val="1"/>
                <w:color w:val="auto"/>
              </w:rPr>
              <w:t>Class B-2 Common Stock</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 and Address of Beneficial Owner</w:t>
            </w:r>
            <w:r>
              <w:rPr>
                <w:rFonts w:ascii="Arial" w:cs="Arial" w:eastAsia="Arial" w:hAnsi="Arial"/>
                <w:sz w:val="14"/>
                <w:szCs w:val="14"/>
                <w:b w:val="1"/>
                <w:bCs w:val="1"/>
                <w:color w:val="auto"/>
                <w:vertAlign w:val="superscript"/>
              </w:rPr>
              <w:t>(1)</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vMerge w:val="restart"/>
          </w:tcPr>
          <w:p>
            <w:pPr>
              <w:jc w:val="right"/>
              <w:ind w:right="31"/>
              <w:spacing w:after="0"/>
              <w:rPr>
                <w:sz w:val="20"/>
                <w:szCs w:val="20"/>
                <w:color w:val="auto"/>
              </w:rPr>
            </w:pPr>
            <w:r>
              <w:rPr>
                <w:rFonts w:ascii="Arial" w:cs="Arial" w:eastAsia="Arial" w:hAnsi="Arial"/>
                <w:sz w:val="11"/>
                <w:szCs w:val="11"/>
                <w:b w:val="1"/>
                <w:bCs w:val="1"/>
                <w:color w:val="auto"/>
                <w:w w:val="97"/>
              </w:rPr>
              <w:t>% of Combined Voting</w:t>
            </w:r>
          </w:p>
        </w:tc>
        <w:tc>
          <w:tcPr>
            <w:tcW w:w="0" w:type="dxa"/>
            <w:vAlign w:val="bottom"/>
          </w:tcPr>
          <w:p>
            <w:pPr>
              <w:spacing w:after="0"/>
              <w:rPr>
                <w:sz w:val="1"/>
                <w:szCs w:val="1"/>
                <w:color w:val="auto"/>
              </w:rPr>
            </w:pPr>
          </w:p>
        </w:tc>
      </w:tr>
      <w:tr>
        <w:trPr>
          <w:trHeight w:val="88"/>
        </w:trPr>
        <w:tc>
          <w:tcPr>
            <w:tcW w:w="2860" w:type="dxa"/>
            <w:vAlign w:val="bottom"/>
            <w:gridSpan w:val="2"/>
            <w:vMerge w:val="continue"/>
          </w:tcPr>
          <w:p>
            <w:pPr>
              <w:spacing w:after="0"/>
              <w:rPr>
                <w:sz w:val="7"/>
                <w:szCs w:val="7"/>
                <w:color w:val="auto"/>
              </w:rPr>
            </w:pPr>
          </w:p>
        </w:tc>
        <w:tc>
          <w:tcPr>
            <w:tcW w:w="168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Number of Shares</w:t>
            </w:r>
          </w:p>
        </w:tc>
        <w:tc>
          <w:tcPr>
            <w:tcW w:w="580" w:type="dxa"/>
            <w:vAlign w:val="bottom"/>
            <w:vMerge w:val="restart"/>
          </w:tcPr>
          <w:p>
            <w:pPr>
              <w:jc w:val="right"/>
              <w:ind w:right="389"/>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Number of Shares</w:t>
            </w:r>
          </w:p>
        </w:tc>
        <w:tc>
          <w:tcPr>
            <w:tcW w:w="1020" w:type="dxa"/>
            <w:vAlign w:val="bottom"/>
            <w:vMerge w:val="restart"/>
          </w:tcPr>
          <w:p>
            <w:pPr>
              <w:jc w:val="right"/>
              <w:ind w:right="389"/>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Number of Shares</w:t>
            </w:r>
          </w:p>
        </w:tc>
        <w:tc>
          <w:tcPr>
            <w:tcW w:w="1020" w:type="dxa"/>
            <w:vAlign w:val="bottom"/>
            <w:vMerge w:val="restart"/>
          </w:tcPr>
          <w:p>
            <w:pPr>
              <w:jc w:val="right"/>
              <w:ind w:right="389"/>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60" w:type="dxa"/>
            <w:vAlign w:val="bottom"/>
            <w:gridSpan w:val="2"/>
            <w:vMerge w:val="continue"/>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11"/>
              <w:spacing w:after="0"/>
              <w:rPr>
                <w:sz w:val="20"/>
                <w:szCs w:val="20"/>
                <w:color w:val="auto"/>
              </w:rPr>
            </w:pPr>
            <w:r>
              <w:rPr>
                <w:rFonts w:ascii="Arial" w:cs="Arial" w:eastAsia="Arial" w:hAnsi="Arial"/>
                <w:sz w:val="11"/>
                <w:szCs w:val="11"/>
                <w:b w:val="1"/>
                <w:bCs w:val="1"/>
                <w:color w:val="auto"/>
              </w:rPr>
              <w:t>Power</w:t>
            </w:r>
          </w:p>
        </w:tc>
        <w:tc>
          <w:tcPr>
            <w:tcW w:w="0" w:type="dxa"/>
            <w:vAlign w:val="bottom"/>
          </w:tcPr>
          <w:p>
            <w:pPr>
              <w:spacing w:after="0"/>
              <w:rPr>
                <w:sz w:val="1"/>
                <w:szCs w:val="1"/>
                <w:color w:val="auto"/>
              </w:rPr>
            </w:pPr>
          </w:p>
        </w:tc>
      </w:tr>
      <w:tr>
        <w:trPr>
          <w:trHeight w:val="181"/>
        </w:trPr>
        <w:tc>
          <w:tcPr>
            <w:tcW w:w="27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Greater than 5% Beneficial Owners</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4"/>
                <w:szCs w:val="14"/>
                <w:color w:val="auto"/>
              </w:rPr>
              <w:t>Wellington Management Group LLP</w:t>
            </w:r>
            <w:r>
              <w:rPr>
                <w:rFonts w:ascii="Arial" w:cs="Arial" w:eastAsia="Arial" w:hAnsi="Arial"/>
                <w:sz w:val="18"/>
                <w:szCs w:val="18"/>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5,670,939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12.00 %</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Westwood Management Corp.</w:t>
            </w:r>
            <w:r>
              <w:rPr>
                <w:rFonts w:ascii="Arial" w:cs="Arial" w:eastAsia="Arial" w:hAnsi="Arial"/>
                <w:sz w:val="18"/>
                <w:szCs w:val="18"/>
                <w:color w:val="auto"/>
                <w:vertAlign w:val="superscript"/>
              </w:rPr>
              <w:t>(3)</w:t>
            </w:r>
          </w:p>
        </w:tc>
        <w:tc>
          <w:tcPr>
            <w:tcW w:w="1140" w:type="dxa"/>
            <w:vAlign w:val="bottom"/>
          </w:tcPr>
          <w:p>
            <w:pPr>
              <w:jc w:val="right"/>
              <w:spacing w:after="0"/>
              <w:rPr>
                <w:sz w:val="20"/>
                <w:szCs w:val="20"/>
                <w:color w:val="auto"/>
              </w:rPr>
            </w:pPr>
            <w:r>
              <w:rPr>
                <w:rFonts w:ascii="Arial" w:cs="Arial" w:eastAsia="Arial" w:hAnsi="Arial"/>
                <w:sz w:val="14"/>
                <w:szCs w:val="14"/>
                <w:color w:val="auto"/>
              </w:rPr>
              <w:t>3,888,240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8.28 %</w:t>
            </w: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3,750,439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7.99 %</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Samlyn Capital, LLC</w:t>
            </w:r>
            <w:r>
              <w:rPr>
                <w:rFonts w:ascii="Arial" w:cs="Arial" w:eastAsia="Arial" w:hAnsi="Arial"/>
                <w:sz w:val="18"/>
                <w:szCs w:val="18"/>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4"/>
                <w:szCs w:val="14"/>
                <w:color w:val="auto"/>
              </w:rPr>
              <w:t>2,993,365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6.38 %</w:t>
            </w: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Schroder Investment Management North</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2,983,912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6.36 %</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4"/>
                <w:szCs w:val="14"/>
                <w:color w:val="auto"/>
              </w:rPr>
              <w:t xml:space="preserve">America Inc </w:t>
            </w:r>
            <w:r>
              <w:rPr>
                <w:rFonts w:ascii="Arial" w:cs="Arial" w:eastAsia="Arial" w:hAnsi="Arial"/>
                <w:sz w:val="18"/>
                <w:szCs w:val="18"/>
                <w:color w:val="auto"/>
                <w:vertAlign w:val="superscript"/>
              </w:rPr>
              <w:t>(6)</w:t>
            </w: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Basswood Capital Management L.L.C.</w:t>
            </w:r>
            <w:r>
              <w:rPr>
                <w:rFonts w:ascii="Arial" w:cs="Arial" w:eastAsia="Arial" w:hAnsi="Arial"/>
                <w:sz w:val="18"/>
                <w:szCs w:val="18"/>
                <w:color w:val="auto"/>
                <w:vertAlign w:val="superscript"/>
              </w:rPr>
              <w:t>(7)</w:t>
            </w:r>
          </w:p>
        </w:tc>
        <w:tc>
          <w:tcPr>
            <w:tcW w:w="1140" w:type="dxa"/>
            <w:vAlign w:val="bottom"/>
          </w:tcPr>
          <w:p>
            <w:pPr>
              <w:jc w:val="right"/>
              <w:spacing w:after="0"/>
              <w:rPr>
                <w:sz w:val="20"/>
                <w:szCs w:val="20"/>
                <w:color w:val="auto"/>
              </w:rPr>
            </w:pPr>
            <w:r>
              <w:rPr>
                <w:rFonts w:ascii="Arial" w:cs="Arial" w:eastAsia="Arial" w:hAnsi="Arial"/>
                <w:sz w:val="14"/>
                <w:szCs w:val="14"/>
                <w:color w:val="auto"/>
              </w:rPr>
              <w:t>2,857,118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6.09 %</w:t>
            </w: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Adage Capital Partners GP, L.L.C.</w:t>
            </w:r>
            <w:r>
              <w:rPr>
                <w:rFonts w:ascii="Arial" w:cs="Arial" w:eastAsia="Arial" w:hAnsi="Arial"/>
                <w:sz w:val="18"/>
                <w:szCs w:val="18"/>
                <w:color w:val="auto"/>
                <w:vertAlign w:val="superscript"/>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2,538,768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5.41 %</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Bay Bond Partners, L.P.</w:t>
            </w:r>
            <w:r>
              <w:rPr>
                <w:rFonts w:ascii="Arial" w:cs="Arial" w:eastAsia="Arial" w:hAnsi="Arial"/>
                <w:sz w:val="18"/>
                <w:szCs w:val="18"/>
                <w:color w:val="auto"/>
                <w:vertAlign w:val="superscript"/>
              </w:rPr>
              <w:t>(8)</w:t>
            </w:r>
          </w:p>
        </w:tc>
        <w:tc>
          <w:tcPr>
            <w:tcW w:w="1140" w:type="dxa"/>
            <w:vAlign w:val="bottom"/>
          </w:tcPr>
          <w:p>
            <w:pPr>
              <w:jc w:val="right"/>
              <w:spacing w:after="0"/>
              <w:rPr>
                <w:sz w:val="20"/>
                <w:szCs w:val="20"/>
                <w:color w:val="auto"/>
              </w:rPr>
            </w:pPr>
            <w:r>
              <w:rPr>
                <w:rFonts w:ascii="Arial" w:cs="Arial" w:eastAsia="Arial" w:hAnsi="Arial"/>
                <w:sz w:val="14"/>
                <w:szCs w:val="14"/>
                <w:color w:val="auto"/>
              </w:rPr>
              <w:t>2,419,407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5.15 %</w:t>
            </w:r>
          </w:p>
        </w:tc>
        <w:tc>
          <w:tcPr>
            <w:tcW w:w="1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PWP Professional Partners LP</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44,354,909</w:t>
            </w:r>
            <w:r>
              <w:rPr>
                <w:rFonts w:ascii="Arial" w:cs="Arial" w:eastAsia="Arial" w:hAnsi="Arial"/>
                <w:sz w:val="18"/>
                <w:szCs w:val="18"/>
                <w:color w:val="auto"/>
                <w:vertAlign w:val="superscript"/>
              </w:rPr>
              <w:t>(10)</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90.07 %</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TWCL US Inc.</w:t>
            </w:r>
          </w:p>
        </w:tc>
        <w:tc>
          <w:tcPr>
            <w:tcW w:w="1680" w:type="dxa"/>
            <w:vAlign w:val="bottom"/>
            <w:gridSpan w:val="3"/>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(11)</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1,122,264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57.14 %</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 Hook Capital LLC</w:t>
            </w:r>
          </w:p>
        </w:tc>
        <w:tc>
          <w:tcPr>
            <w:tcW w:w="1680" w:type="dxa"/>
            <w:vAlign w:val="bottom"/>
            <w:gridSpan w:val="3"/>
            <w:shd w:val="clear" w:color="auto" w:fill="CCEEFF"/>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841,780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Directors and Executive Officers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Peter A. Weinberg</w:t>
            </w:r>
          </w:p>
        </w:tc>
        <w:tc>
          <w:tcPr>
            <w:tcW w:w="1680" w:type="dxa"/>
            <w:vAlign w:val="bottom"/>
            <w:gridSpan w:val="3"/>
            <w:shd w:val="clear" w:color="auto" w:fill="CCEEFF"/>
          </w:tcPr>
          <w:p>
            <w:pPr>
              <w:jc w:val="right"/>
              <w:ind w:right="560"/>
              <w:spacing w:after="0" w:line="23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(13)</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44,354,909</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841,780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90.24 %</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Joseph R. Perella</w:t>
            </w:r>
          </w:p>
        </w:tc>
        <w:tc>
          <w:tcPr>
            <w:tcW w:w="1680" w:type="dxa"/>
            <w:vAlign w:val="bottom"/>
            <w:gridSpan w:val="3"/>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(14)</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Robert K. Steel</w:t>
            </w:r>
          </w:p>
        </w:tc>
        <w:tc>
          <w:tcPr>
            <w:tcW w:w="1680" w:type="dxa"/>
            <w:vAlign w:val="bottom"/>
            <w:gridSpan w:val="3"/>
            <w:shd w:val="clear" w:color="auto" w:fill="CCEEFF"/>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(15)</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Gary S. Barancik</w:t>
            </w:r>
          </w:p>
        </w:tc>
        <w:tc>
          <w:tcPr>
            <w:tcW w:w="1680" w:type="dxa"/>
            <w:vAlign w:val="bottom"/>
            <w:gridSpan w:val="3"/>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(16)</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Dietrich Becker</w:t>
            </w:r>
          </w:p>
        </w:tc>
        <w:tc>
          <w:tcPr>
            <w:tcW w:w="1680" w:type="dxa"/>
            <w:vAlign w:val="bottom"/>
            <w:gridSpan w:val="3"/>
            <w:shd w:val="clear" w:color="auto" w:fill="CCEEFF"/>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(17)</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Andrew Bednar.</w:t>
            </w:r>
          </w:p>
        </w:tc>
        <w:tc>
          <w:tcPr>
            <w:tcW w:w="1680" w:type="dxa"/>
            <w:vAlign w:val="bottom"/>
            <w:gridSpan w:val="3"/>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(18)</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Vladimir Shendelman</w:t>
            </w:r>
          </w:p>
        </w:tc>
        <w:tc>
          <w:tcPr>
            <w:tcW w:w="1680" w:type="dxa"/>
            <w:vAlign w:val="bottom"/>
            <w:gridSpan w:val="3"/>
            <w:shd w:val="clear" w:color="auto" w:fill="CCEEFF"/>
          </w:tcPr>
          <w:p>
            <w:pPr>
              <w:jc w:val="right"/>
              <w:ind w:right="5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Jorma Ollila</w:t>
            </w:r>
          </w:p>
        </w:tc>
        <w:tc>
          <w:tcPr>
            <w:tcW w:w="16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Ivan G. Seidenberg</w:t>
            </w:r>
          </w:p>
        </w:tc>
        <w:tc>
          <w:tcPr>
            <w:tcW w:w="16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Jane C. Sherburne</w:t>
            </w:r>
          </w:p>
        </w:tc>
        <w:tc>
          <w:tcPr>
            <w:tcW w:w="16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Daniel G. Cohen</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349,030</w:t>
            </w:r>
            <w:r>
              <w:rPr>
                <w:rFonts w:ascii="Arial" w:cs="Arial" w:eastAsia="Arial" w:hAnsi="Arial"/>
                <w:sz w:val="18"/>
                <w:szCs w:val="18"/>
                <w:color w:val="auto"/>
                <w:vertAlign w:val="superscript"/>
              </w:rPr>
              <w:t>(20)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All company's directors and executive officers</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349,030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44,354,909</w:t>
            </w:r>
            <w:r>
              <w:rPr>
                <w:rFonts w:ascii="Arial" w:cs="Arial" w:eastAsia="Arial" w:hAnsi="Arial"/>
                <w:sz w:val="18"/>
                <w:szCs w:val="18"/>
                <w:color w:val="auto"/>
                <w:vertAlign w:val="superscript"/>
              </w:rPr>
              <w:t>(10)</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841,780</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42.86 %</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90.31 %</w:t>
            </w:r>
          </w:p>
        </w:tc>
        <w:tc>
          <w:tcPr>
            <w:tcW w:w="0" w:type="dxa"/>
            <w:vAlign w:val="bottom"/>
          </w:tcPr>
          <w:p>
            <w:pPr>
              <w:spacing w:after="0"/>
              <w:rPr>
                <w:sz w:val="1"/>
                <w:szCs w:val="1"/>
                <w:color w:val="auto"/>
              </w:rPr>
            </w:pPr>
          </w:p>
        </w:tc>
      </w:tr>
      <w:tr>
        <w:trPr>
          <w:trHeight w:val="234"/>
        </w:trPr>
        <w:tc>
          <w:tcPr>
            <w:tcW w:w="2860" w:type="dxa"/>
            <w:vAlign w:val="bottom"/>
            <w:gridSpan w:val="2"/>
          </w:tcPr>
          <w:p>
            <w:pPr>
              <w:ind w:left="180"/>
              <w:spacing w:after="0"/>
              <w:rPr>
                <w:sz w:val="20"/>
                <w:szCs w:val="20"/>
                <w:color w:val="auto"/>
              </w:rPr>
            </w:pPr>
            <w:r>
              <w:rPr>
                <w:rFonts w:ascii="Arial" w:cs="Arial" w:eastAsia="Arial" w:hAnsi="Arial"/>
                <w:sz w:val="14"/>
                <w:szCs w:val="14"/>
                <w:color w:val="auto"/>
              </w:rPr>
              <w:t>as a group (11 persons)</w:t>
            </w: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a Schedule 13G/A filed by Wellington Management Group LLP, Wellington Group Holdings LLP, Wellington Investment Advisors Holdings LLP and Wellington Management Company LLP with the SEC on February 4, 2022. (i) Each of Wellington Management Group LLP, Wellington Group Holdings LLP and Wellington Investment Advisors Holdings LLP have shared voting power over 5,219,041 shares of Class A common stock, shared dispositive power over all 5,670,939 shares of Class A common stock, and sole voting and dispositive powers over none of the shares, and (ii) Wellington Management Company LLP has shared voting power over 5,176,264 shares of Class A common stock, shared dispositive power over 5,598,240 shares of Class A common stock, 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pacing w:after="0" w:line="3" w:lineRule="exact"/>
        <w:rPr>
          <w:rFonts w:ascii="Arial" w:cs="Arial" w:eastAsia="Arial" w:hAnsi="Arial"/>
          <w:sz w:val="14"/>
          <w:szCs w:val="14"/>
          <w:color w:val="auto"/>
        </w:rPr>
      </w:pPr>
    </w:p>
    <w:p>
      <w:pPr>
        <w:ind w:left="340" w:right="140" w:hanging="332"/>
        <w:spacing w:after="0" w:line="255"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a Schedule 13G filed by Westwood Management Corp. (“Westwood”) with the SEC on February 25, 2022. Westwood has sole voting power over 3,838,022 of the shares, shared voting power over 50,218 of the shares and sole dispositive power over 3,888,240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9" w:lineRule="exact"/>
        <w:rPr>
          <w:sz w:val="20"/>
          <w:szCs w:val="20"/>
          <w:color w:val="auto"/>
        </w:rPr>
      </w:pPr>
    </w:p>
    <w:p>
      <w:pPr>
        <w:ind w:left="332" w:right="20" w:hanging="332"/>
        <w:spacing w:after="0" w:line="261" w:lineRule="auto"/>
        <w:tabs>
          <w:tab w:leader="none" w:pos="324"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a Schedule 13G filed by FMR LLC with the SEC on February 9, 2022.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business address of this stockholder is 245 Summer Street, Boston, MA 02210.</w:t>
      </w:r>
    </w:p>
    <w:p>
      <w:pPr>
        <w:spacing w:after="0" w:line="5" w:lineRule="exact"/>
        <w:rPr>
          <w:rFonts w:ascii="Arial" w:cs="Arial" w:eastAsia="Arial" w:hAnsi="Arial"/>
          <w:sz w:val="13"/>
          <w:szCs w:val="13"/>
          <w:color w:val="auto"/>
        </w:rPr>
      </w:pPr>
    </w:p>
    <w:p>
      <w:pPr>
        <w:ind w:left="332" w:right="40" w:hanging="332"/>
        <w:spacing w:after="0" w:line="241" w:lineRule="auto"/>
        <w:tabs>
          <w:tab w:leader="none" w:pos="3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 Schedule 13G filed by Samlyn Capital, LLC's (“Samlyn Capital”), Samlyn, LP and Robert Pohly with the SEC on February 14, 2022. Each of Samlyn Capital, Samlyn, LP and Robert Pohly have shared voting power and shared dispositive power over all of the shares. All of the shares are directly owned by advisory clients of Samlyn Capital. None of those advisory clients may be deemed to beneficially own more than 5% of Class A common stock. Samlyn Capital, Samlyn, LP and Robert Pohly disclaim beneficial ownership of the reported securities except to the extent of their respective pecuniary interests therein, and this prospectus shall not be deemed an admission that any of them are the beneficial owners of the securities for purposes of Section 16 of the Exchange Act, or for any other purpose. The address for each of Samlyn Capital, Samlyn, LP and Robert Pohly is c/o Samlyn Capital, LLC, 500 Park Avenue, New York, NY 10022.</w:t>
      </w:r>
    </w:p>
    <w:p>
      <w:pPr>
        <w:spacing w:after="0" w:line="2" w:lineRule="exact"/>
        <w:rPr>
          <w:rFonts w:ascii="Arial" w:cs="Arial" w:eastAsia="Arial" w:hAnsi="Arial"/>
          <w:sz w:val="14"/>
          <w:szCs w:val="14"/>
          <w:color w:val="auto"/>
        </w:rPr>
      </w:pPr>
    </w:p>
    <w:p>
      <w:pPr>
        <w:ind w:left="332" w:right="60" w:hanging="332"/>
        <w:spacing w:after="0" w:line="260" w:lineRule="auto"/>
        <w:tabs>
          <w:tab w:leader="none" w:pos="324"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a Schedule 13G filed by Schroder Investment Management North America Inc. with the SEC on February 9, 2022. Schroder Investment Management North America Inc. has sole voting power and sole dispositive power over all of the shares of Class A common stock. Schroder Investment Management North America Inc. is a registered investment adviser with its respective home country regulator. Schroder Investment Management North America Inc. is located in the United States at 7 Bryant Park, 19th Floor, New York, NY 10018.</w:t>
      </w:r>
    </w:p>
    <w:p>
      <w:pPr>
        <w:ind w:left="332" w:right="80" w:hanging="332"/>
        <w:spacing w:after="0" w:line="241" w:lineRule="auto"/>
        <w:tabs>
          <w:tab w:leader="none" w:pos="3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 Schedule 13G filed by Basswood Capital Management, L.L.C. (“Basswood”), Matthew Lindenbaum and Bennett Lindenbaum with the SEC on November 15, 2021. Basswood, Matthew Lindenbaum and Bennett Lindebaum have shared voting power and shared dispositive power with respect to all of the shares. The address for Basswood Capital Management L.L.C. is 645 Madison Avenue, 10th Floor, New York, NY, 10022.</w:t>
      </w:r>
    </w:p>
    <w:p>
      <w:pPr>
        <w:spacing w:after="0" w:line="1" w:lineRule="exact"/>
        <w:rPr>
          <w:rFonts w:ascii="Arial" w:cs="Arial" w:eastAsia="Arial" w:hAnsi="Arial"/>
          <w:sz w:val="14"/>
          <w:szCs w:val="14"/>
          <w:color w:val="auto"/>
        </w:rPr>
      </w:pPr>
    </w:p>
    <w:p>
      <w:pPr>
        <w:ind w:left="332" w:right="80" w:hanging="332"/>
        <w:spacing w:after="0" w:line="241" w:lineRule="auto"/>
        <w:tabs>
          <w:tab w:leader="none" w:pos="3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 Schedule 13G/A filed by Adage Capital Partners, L.P., a Delaware limited partnership (“ACP”), Adage Capital Partners GP, L.L.C., a Delaware limited liability company (“ACPGP”), Adage Capital Advisors, L.L.C., a Delaware limited liability company (“AC Advisors”), Robert Atchinson and Phillip Gross with the SEC on February 10, 2022.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2" w:lineRule="exact"/>
        <w:rPr>
          <w:rFonts w:ascii="Arial" w:cs="Arial" w:eastAsia="Arial" w:hAnsi="Arial"/>
          <w:sz w:val="14"/>
          <w:szCs w:val="14"/>
          <w:color w:val="auto"/>
        </w:rPr>
      </w:pPr>
    </w:p>
    <w:p>
      <w:pPr>
        <w:ind w:left="332" w:right="60" w:hanging="332"/>
        <w:spacing w:after="0" w:line="241" w:lineRule="auto"/>
        <w:tabs>
          <w:tab w:leader="none" w:pos="3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 Schedule 13G filed by Bay Pond Partners, L.P. (“Bay Pond”) with the SEC on January 31, 2022. Bay Pond has shared voting power and shared dispositive power with respect to all of the shares of Class A common stock. The address for Bay Pond is c/o Wellington Management Company LLP, 280 Congress Street, Boston, MA 02210.</w:t>
      </w:r>
    </w:p>
    <w:p>
      <w:pPr>
        <w:ind w:left="332" w:right="20" w:hanging="332"/>
        <w:spacing w:after="0" w:line="260" w:lineRule="auto"/>
        <w:tabs>
          <w:tab w:leader="none" w:pos="329" w:val="left"/>
        </w:tabs>
        <w:numPr>
          <w:ilvl w:val="0"/>
          <w:numId w:val="69"/>
        </w:numPr>
        <w:rPr>
          <w:rFonts w:ascii="Arial" w:cs="Arial" w:eastAsia="Arial" w:hAnsi="Arial"/>
          <w:sz w:val="13"/>
          <w:szCs w:val="13"/>
          <w:color w:val="auto"/>
        </w:rPr>
      </w:pPr>
      <w:r>
        <w:rPr>
          <w:rFonts w:ascii="Arial" w:cs="Arial" w:eastAsia="Arial" w:hAnsi="Arial"/>
          <w:sz w:val="13"/>
          <w:szCs w:val="13"/>
          <w:color w:val="auto"/>
        </w:rPr>
        <w:t>Shares of Class B-1 common stock are held by Professional Partners. This number correlates to 44.4 million PWP OpCo Class A partnership units held by Professional Partners, which represents 44.4 million shares of Class A common stock that may be issuable upon the exchange of 44.4 million PWP OpCo Class A partnership units.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ind w:left="332" w:right="440" w:hanging="332"/>
        <w:spacing w:after="0" w:line="241" w:lineRule="auto"/>
        <w:tabs>
          <w:tab w:leader="none" w:pos="323"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780 PWP OpCo Class A partnership units held by TWCL US Inc.</w:t>
      </w:r>
    </w:p>
    <w:p>
      <w:pPr>
        <w:ind w:left="332" w:right="40" w:hanging="332"/>
        <w:spacing w:after="0" w:line="241" w:lineRule="auto"/>
        <w:tabs>
          <w:tab w:leader="none" w:pos="32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This number excludes 841,780 shares of our Class A common stock that may be issuable upon redemption of the 841,780 PWP 780 PWP OpCo Class A partnership units held by Red Hook Capital LLC.</w:t>
      </w:r>
    </w:p>
    <w:p>
      <w:pPr>
        <w:ind w:left="332" w:hanging="332"/>
        <w:spacing w:after="0" w:line="244" w:lineRule="auto"/>
        <w:tabs>
          <w:tab w:leader="none" w:pos="329"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if all outstanding such vested partnership units of Professional Partners were exchanged for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61" w:name="page162"/>
    <w:bookmarkEnd w:id="161"/>
    <w:p>
      <w:pPr>
        <w:spacing w:after="0" w:line="139" w:lineRule="exact"/>
        <w:rPr>
          <w:sz w:val="20"/>
          <w:szCs w:val="20"/>
          <w:color w:val="auto"/>
        </w:rPr>
      </w:pPr>
    </w:p>
    <w:p>
      <w:pPr>
        <w:ind w:left="332" w:right="100"/>
        <w:spacing w:after="0" w:line="244" w:lineRule="auto"/>
        <w:rPr>
          <w:sz w:val="20"/>
          <w:szCs w:val="20"/>
          <w:color w:val="auto"/>
        </w:rPr>
      </w:pPr>
      <w:r>
        <w:rPr>
          <w:rFonts w:ascii="Arial" w:cs="Arial" w:eastAsia="Arial" w:hAnsi="Arial"/>
          <w:sz w:val="14"/>
          <w:szCs w:val="14"/>
          <w:color w:val="auto"/>
        </w:rPr>
        <w:t>Class A partnership units, and such PWP OpCo Class A partnership units were then exchanged, together with an equal number of Class B-1 common stock, for our Class A common stock. Mr. Weinberg would hold on a fully-vested basis, 3,397,036 partnership units of Professional Partners that may be redeemed for 3,397,036 PWP OpCo Class A partnership units that are held by Professional Partners on behalf of Mr. Weinberg and exchanged for 3,397,036 shares of our Class A common stock. These shares of our Class A common stock represent approximately 3.6%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 w:lineRule="exact"/>
        <w:rPr>
          <w:sz w:val="20"/>
          <w:szCs w:val="20"/>
          <w:color w:val="auto"/>
        </w:rPr>
      </w:pPr>
    </w:p>
    <w:p>
      <w:pPr>
        <w:ind w:left="332" w:right="20" w:hanging="332"/>
        <w:spacing w:after="0" w:line="260"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4,058,854 shares of our Class A common stock that may be issuable upon the exchange of 4,058,854 PWP OpCo Class A partnership units that are held by Professional Partners on behalf of Joseph R. Perella that Mr. Perella may receive upon redemption of 4,058,854 partnership units of Professional Partners that Mr. Perella holds or will hold upon on a fully-vested basis within sixty (60) days. These shares of our Class A common stock represent approximately 5.8%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4,058,854 partnership units of Professional Partners that may be redeemed for 4,058,854 PWP OpCo Class A partnership units that are held by Professional Partners on behalf of Mr. Perella and exchanged for 4,058,854 shares of our Class A common stock. These shares of our Class A common stock represent approximately 4.4%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hanging="332"/>
        <w:spacing w:after="0" w:line="260"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708,437 shares of our Class A common stock that may be issuable upon the exchange of 708,437 PWP OpCo Class A partnership units that are held by Professional Partners on behalf of Robert K. Steel that Mr. Steel may receive upon redemption of 708,437 partnership units of Professional Partners that Mr. Steel holds or will hold upon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970,582 partnership units of Professional Partners that may be redeemed for 970,582 PWP OpCo Class A partnership units that are held by Professional Partners on behalf of Mr. Steel and exchanged for 970,582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100" w:hanging="332"/>
        <w:spacing w:after="0" w:line="260"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727,936 partnership units of Professional Partners that may be redeemed for 727,936 PWP OpCo Class A partnership units that are held by Professional Partners on behalf of Mr. Barancik and exchanged for 727,936 shares of our Class A common stock. These shares of our Class A common stock represent approximately 0.8%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60" w:hanging="332"/>
        <w:spacing w:after="0" w:line="260"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767,301 shares of our Class A common stock that may be issuable upon the exchange of 767,301 PWP OpCo Class A partnership units that are held by Professional Partners on behalf of Dietrich Becker that Mr. Becker may receive upon redemption of 767,301 partnership units of Professional Partners that Mr. Becker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2,305,132 partnership units of Professional Partners that may be redeemed for 2,305,132 PWP OpCo Class A partnership units that are held by Professional Partners on behalf of Mr. Becker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40" w:hanging="332"/>
        <w:spacing w:after="0" w:line="264" w:lineRule="auto"/>
        <w:tabs>
          <w:tab w:leader="none" w:pos="32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number excludes 903,790 shares of our Class A common stock that may be issuable upon the exchange of 903,790 PWP OpCo Class A partnership units that are held by Professional Partners on behalf of Andrew Bednar that Mr. Bednar may receive upon redemption of 903,790 partnership units of Professional Partners that Mr. Bednar holds or will hold upon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2,305,132 partnership units of Professional Partners that may be redeemed for 2,305,132 PWP OpCo Class A partnership units that are held by Professional Partners on behalf of Mr. Bednar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62" w:name="page163"/>
    <w:bookmarkEnd w:id="162"/>
    <w:p>
      <w:pPr>
        <w:spacing w:after="0" w:line="139" w:lineRule="exact"/>
        <w:rPr>
          <w:sz w:val="20"/>
          <w:szCs w:val="20"/>
          <w:color w:val="auto"/>
        </w:rPr>
      </w:pPr>
    </w:p>
    <w:p>
      <w:pPr>
        <w:ind w:left="332" w:hanging="332"/>
        <w:spacing w:after="0" w:line="262" w:lineRule="auto"/>
        <w:tabs>
          <w:tab w:leader="none" w:pos="329"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485,291 partnership units of Professional Partners that may be redeemed for 485,291 PWP OpCo Class A partnership units that are held by Professional Partners on behalf of Mr. Shendelman and exchanged for 485,291 shares of our Class A common stock. These shares of our Class A common stock represent approximately 0.5%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 w:lineRule="exact"/>
        <w:rPr>
          <w:rFonts w:ascii="Arial" w:cs="Arial" w:eastAsia="Arial" w:hAnsi="Arial"/>
          <w:sz w:val="13"/>
          <w:szCs w:val="13"/>
          <w:color w:val="auto"/>
        </w:rPr>
      </w:pPr>
    </w:p>
    <w:p>
      <w:pPr>
        <w:ind w:left="332" w:right="60" w:hanging="332"/>
        <w:spacing w:after="0" w:line="248" w:lineRule="auto"/>
        <w:tabs>
          <w:tab w:leader="none" w:pos="329"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Interests include shares held directly by Sponsor and indirectly by Cohen Sponsor Interests IV, LLC (“Manager”). Daniel G. Cohen and DGC Family FinTech Trust (the “Trust”) are members of FinTech Masala Advisors IV, LLC. Mr. Cohen and the Trust are indirect owners of Manager. Mr. Cohen disclaims beneficial ownership of these shares, except to the extent of his pecuniary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440" w:right="439" w:bottom="1440" w:gutter="0" w:footer="0" w:header="0"/>
        </w:sectPr>
      </w:pPr>
    </w:p>
    <w:bookmarkStart w:id="163" w:name="page164"/>
    <w:bookmarkEnd w:id="16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FTIV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Units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4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1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the section entitled “</w:t>
      </w:r>
      <w:r>
        <w:rPr>
          <w:rFonts w:ascii="Arial" w:cs="Arial" w:eastAsia="Arial" w:hAnsi="Arial"/>
          <w:sz w:val="17"/>
          <w:szCs w:val="17"/>
          <w:i w:val="1"/>
          <w:iCs w:val="1"/>
          <w:color w:val="auto"/>
        </w:rPr>
        <w:t>Business Combination—Related Agreements—Sponsor</w:t>
      </w:r>
      <w:r>
        <w:rPr>
          <w:rFonts w:ascii="Arial" w:cs="Arial" w:eastAsia="Arial" w:hAnsi="Arial"/>
          <w:sz w:val="17"/>
          <w:szCs w:val="17"/>
          <w:color w:val="auto"/>
        </w:rPr>
        <w:t xml:space="preserve"> </w:t>
      </w:r>
      <w:r>
        <w:rPr>
          <w:rFonts w:ascii="Arial" w:cs="Arial" w:eastAsia="Arial" w:hAnsi="Arial"/>
          <w:sz w:val="17"/>
          <w:szCs w:val="17"/>
          <w:i w:val="1"/>
          <w:iCs w:val="1"/>
          <w:color w:val="auto"/>
        </w:rPr>
        <w:t>Share Surrender and Share Restriction Agreement</w:t>
      </w:r>
      <w:r>
        <w:rPr>
          <w:rFonts w:ascii="Arial" w:cs="Arial" w:eastAsia="Arial" w:hAnsi="Arial"/>
          <w:sz w:val="17"/>
          <w:szCs w:val="17"/>
          <w:color w:val="auto"/>
        </w:rPr>
        <w:t>” for a description of these transfer restrictions.</w:t>
      </w:r>
    </w:p>
    <w:p>
      <w:pPr>
        <w:spacing w:after="0" w:line="1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Private Placement Warrant to purchase one share of Class A common stock exercisable at $11.50.</w:t>
      </w:r>
    </w:p>
    <w:p>
      <w:pPr>
        <w:spacing w:after="0" w:line="13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IPO, except that if held by the Sponsor or their permitted transferees, (i) they will not be redeemable by the Company, (ii) they (including the Class A common stock issuable upon exercise of these Warrants) could not, subject to certain limited exceptions, be transferred, assigned or sold until July 24, 2021, 30 days after the closing of the Business Combination, and (iii) they may be exercised by the holders on a cashless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and Advance—Related Party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Arial" w:cs="Arial" w:eastAsia="Arial" w:hAnsi="Arial"/>
          <w:sz w:val="18"/>
          <w:szCs w:val="18"/>
          <w:i w:val="1"/>
          <w:iCs w:val="1"/>
          <w:color w:val="auto"/>
        </w:rPr>
        <w:t>Business Combination—Related Agreements—Amended and Restated 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connection with the Business Combination, certain individuals entered into the Stockholders Agreement. See the section entitled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Concurrently with the execution of the Business Combination Agreement, FTIV entered into a Support Agreement with (i) the Sponsor, (ii) PWP OpCo, PWP GP, Professional Partners, Professionals GP (together, the “</w:t>
      </w:r>
      <w:r>
        <w:rPr>
          <w:rFonts w:ascii="Arial" w:cs="Arial" w:eastAsia="Arial" w:hAnsi="Arial"/>
          <w:sz w:val="17"/>
          <w:szCs w:val="17"/>
          <w:u w:val="single" w:color="auto"/>
          <w:color w:val="auto"/>
        </w:rPr>
        <w:t>PWP Entities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PWP Entity</w:t>
      </w:r>
      <w:r>
        <w:rPr>
          <w:rFonts w:ascii="Arial" w:cs="Arial" w:eastAsia="Arial" w:hAnsi="Arial"/>
          <w:sz w:val="17"/>
          <w:szCs w:val="17"/>
          <w:color w:val="auto"/>
        </w:rPr>
        <w:t>”), and (iii) the equity holders of the PWP Entities (together with Sponsor and the PWP Entities, “</w:t>
      </w:r>
      <w:r>
        <w:rPr>
          <w:rFonts w:ascii="Arial" w:cs="Arial" w:eastAsia="Arial" w:hAnsi="Arial"/>
          <w:sz w:val="17"/>
          <w:szCs w:val="17"/>
          <w:u w:val="single" w:color="auto"/>
          <w:color w:val="auto"/>
        </w:rPr>
        <w:t>Voting Parties</w:t>
      </w:r>
      <w:r>
        <w:rPr>
          <w:rFonts w:ascii="Arial" w:cs="Arial" w:eastAsia="Arial" w:hAnsi="Arial"/>
          <w:sz w:val="17"/>
          <w:szCs w:val="17"/>
          <w:color w:val="auto"/>
        </w:rPr>
        <w:t>”),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Combination—Related Agreements—Subscription Agreements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entitled “</w:t>
      </w:r>
      <w:r>
        <w:rPr>
          <w:rFonts w:ascii="Arial" w:cs="Arial" w:eastAsia="Arial" w:hAnsi="Arial"/>
          <w:sz w:val="16"/>
          <w:szCs w:val="16"/>
          <w:i w:val="1"/>
          <w:iCs w:val="1"/>
          <w:color w:val="auto"/>
        </w:rPr>
        <w:t>Business Combination—Related Agreements—Sponsor Share Surrender and Share Restriction Agreement</w:t>
      </w:r>
      <w:r>
        <w:rPr>
          <w:rFonts w:ascii="Arial" w:cs="Arial" w:eastAsia="Arial" w:hAnsi="Arial"/>
          <w:sz w:val="16"/>
          <w:szCs w:val="16"/>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connection with the Closing, we entered into the Amended and Restated Registration Rights Agreement, with the Sponsor, Professional Partners, and the third party ILPs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 For information, see “</w:t>
      </w:r>
      <w:r>
        <w:rPr>
          <w:rFonts w:ascii="Arial" w:cs="Arial" w:eastAsia="Arial" w:hAnsi="Arial"/>
          <w:sz w:val="16"/>
          <w:szCs w:val="16"/>
          <w:i w:val="1"/>
          <w:iCs w:val="1"/>
          <w:color w:val="auto"/>
        </w:rPr>
        <w:t>Business Combination—Related Agreements—Amended and Restated Registration Rights Agreement</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Professional Partners and Stockholders Agreement</w:t>
      </w:r>
    </w:p>
    <w:p>
      <w:pPr>
        <w:spacing w:after="0" w:line="17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For additional information, see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Loan Guarantees</w:t>
      </w:r>
    </w:p>
    <w:p>
      <w:pPr>
        <w:spacing w:after="0" w:line="17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Group LP provides an unconditional guaranty (the “</w:t>
      </w:r>
      <w:r>
        <w:rPr>
          <w:rFonts w:ascii="Arial" w:cs="Arial" w:eastAsia="Arial" w:hAnsi="Arial"/>
          <w:sz w:val="16"/>
          <w:szCs w:val="16"/>
          <w:u w:val="single" w:color="auto"/>
          <w:color w:val="auto"/>
        </w:rPr>
        <w:t>Guaranty</w:t>
      </w:r>
      <w:r>
        <w:rPr>
          <w:rFonts w:ascii="Arial" w:cs="Arial" w:eastAsia="Arial" w:hAnsi="Arial"/>
          <w:sz w:val="16"/>
          <w:szCs w:val="16"/>
          <w:color w:val="auto"/>
        </w:rPr>
        <w:t>”) under a loan program (the “</w:t>
      </w:r>
      <w:r>
        <w:rPr>
          <w:rFonts w:ascii="Arial" w:cs="Arial" w:eastAsia="Arial" w:hAnsi="Arial"/>
          <w:sz w:val="16"/>
          <w:szCs w:val="16"/>
          <w:u w:val="single" w:color="auto"/>
          <w:color w:val="auto"/>
        </w:rPr>
        <w:t>Loan Program</w:t>
      </w:r>
      <w:r>
        <w:rPr>
          <w:rFonts w:ascii="Arial" w:cs="Arial" w:eastAsia="Arial" w:hAnsi="Arial"/>
          <w:sz w:val="16"/>
          <w:szCs w:val="16"/>
          <w:color w:val="auto"/>
        </w:rPr>
        <w:t>”)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Principal</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Annual</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Related party</w:t>
            </w:r>
          </w:p>
        </w:tc>
        <w:tc>
          <w:tcPr>
            <w:tcW w:w="20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Issue date</w:t>
            </w:r>
          </w:p>
        </w:tc>
        <w:tc>
          <w:tcPr>
            <w:tcW w:w="2020" w:type="dxa"/>
            <w:vAlign w:val="bottom"/>
            <w:gridSpan w:val="2"/>
            <w:vMerge w:val="continue"/>
          </w:tcPr>
          <w:p>
            <w:pPr>
              <w:spacing w:after="0"/>
              <w:rPr>
                <w:sz w:val="11"/>
                <w:szCs w:val="11"/>
                <w:color w:val="auto"/>
              </w:rPr>
            </w:pPr>
          </w:p>
        </w:tc>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interest</w:t>
            </w:r>
          </w:p>
        </w:tc>
        <w:tc>
          <w:tcPr>
            <w:tcW w:w="19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328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rate</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Gary Barancik</w:t>
            </w:r>
            <w:r>
              <w:rPr>
                <w:rFonts w:ascii="Arial" w:cs="Arial" w:eastAsia="Arial" w:hAnsi="Arial"/>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26, 2016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304"/>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Vladimir Shendelman</w:t>
            </w:r>
            <w:r>
              <w:rPr>
                <w:rFonts w:ascii="Arial" w:cs="Arial" w:eastAsia="Arial" w:hAnsi="Arial"/>
                <w:sz w:val="23"/>
                <w:szCs w:val="23"/>
                <w:color w:val="auto"/>
                <w:vertAlign w:val="superscript"/>
              </w:rPr>
              <w:t>(2)</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June 1, 2016</w:t>
            </w: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June 1, 2023</w:t>
            </w: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20" w:hanging="332"/>
        <w:spacing w:after="0" w:line="241" w:lineRule="auto"/>
        <w:tabs>
          <w:tab w:leader="none" w:pos="332"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ind w:left="340" w:right="220" w:hanging="332"/>
        <w:spacing w:after="0" w:line="255" w:lineRule="auto"/>
        <w:tabs>
          <w:tab w:leader="none" w:pos="332"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the Convertible Notes. For additional information on the Convertible Notes, see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Operations—Liquidity and Capital Resources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February 28, 2019, in connection with the PWP Separation, PWP OpCo entered into a first amendment to the NPA governing its Convertible Notes reflecting the consent of the requisite holders of the Convertible Notes to the PWP Separation and a proposed reorganization and initial public offering of our advisory business (“</w:t>
      </w:r>
      <w:r>
        <w:rPr>
          <w:rFonts w:ascii="Arial" w:cs="Arial" w:eastAsia="Arial" w:hAnsi="Arial"/>
          <w:sz w:val="17"/>
          <w:szCs w:val="17"/>
          <w:u w:val="single" w:color="auto"/>
          <w:color w:val="auto"/>
        </w:rPr>
        <w:t>PWP IPO</w:t>
      </w:r>
      <w:r>
        <w:rPr>
          <w:rFonts w:ascii="Arial" w:cs="Arial" w:eastAsia="Arial" w:hAnsi="Arial"/>
          <w:sz w:val="17"/>
          <w:szCs w:val="17"/>
          <w:color w:val="auto"/>
        </w:rPr>
        <w:t>”) and making (i) related amendments to various restrictive covenants and related definitions in the NPA and (ii) related clarifications to the redemption and conversion provisions. In connection with the first NPA amendment PWP OpCo also entered into letter agreements (the “</w:t>
      </w:r>
      <w:r>
        <w:rPr>
          <w:rFonts w:ascii="Arial" w:cs="Arial" w:eastAsia="Arial" w:hAnsi="Arial"/>
          <w:sz w:val="17"/>
          <w:szCs w:val="17"/>
          <w:u w:val="single" w:color="auto"/>
          <w:color w:val="auto"/>
        </w:rPr>
        <w:t>2019 Letter Agreements</w:t>
      </w:r>
      <w:r>
        <w:rPr>
          <w:rFonts w:ascii="Arial" w:cs="Arial" w:eastAsia="Arial" w:hAnsi="Arial"/>
          <w:sz w:val="17"/>
          <w:szCs w:val="17"/>
          <w:color w:val="auto"/>
        </w:rPr>
        <w:t>”) with holders representing approximately substantially all of the total outstanding $150 million aggregate principal amount of its Convertible Notes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2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w:t>
      </w:r>
      <w:r>
        <w:rPr>
          <w:rFonts w:ascii="Arial" w:cs="Arial" w:eastAsia="Arial" w:hAnsi="Arial"/>
          <w:sz w:val="16"/>
          <w:szCs w:val="16"/>
          <w:u w:val="single" w:color="auto"/>
          <w:color w:val="auto"/>
        </w:rPr>
        <w:t>2020 Letter Agreements</w:t>
      </w:r>
      <w:r>
        <w:rPr>
          <w:rFonts w:ascii="Arial" w:cs="Arial" w:eastAsia="Arial" w:hAnsi="Arial"/>
          <w:sz w:val="16"/>
          <w:szCs w:val="16"/>
          <w:color w:val="auto"/>
        </w:rPr>
        <w:t>”) with all of the holders of the Convertible Notes (which amended and restated their existing 2019 Letter Agreements), pursuant to which all of the holders (the “</w:t>
      </w:r>
      <w:r>
        <w:rPr>
          <w:rFonts w:ascii="Arial" w:cs="Arial" w:eastAsia="Arial" w:hAnsi="Arial"/>
          <w:sz w:val="16"/>
          <w:szCs w:val="16"/>
          <w:u w:val="single" w:color="auto"/>
          <w:color w:val="auto"/>
        </w:rPr>
        <w:t>Redeeming Holders</w:t>
      </w:r>
      <w:r>
        <w:rPr>
          <w:rFonts w:ascii="Arial" w:cs="Arial" w:eastAsia="Arial" w:hAnsi="Arial"/>
          <w:sz w:val="16"/>
          <w:szCs w:val="16"/>
          <w:color w:val="auto"/>
        </w:rPr>
        <w:t>”) agreed to collectively tender for redemption $150 million aggregate principal amount of their Convertible Notes (such Convertible Notes, the “</w:t>
      </w:r>
      <w:r>
        <w:rPr>
          <w:rFonts w:ascii="Arial" w:cs="Arial" w:eastAsia="Arial" w:hAnsi="Arial"/>
          <w:sz w:val="16"/>
          <w:szCs w:val="16"/>
          <w:u w:val="single" w:color="auto"/>
          <w:color w:val="auto"/>
        </w:rPr>
        <w:t>Redeemed</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amount, an applicable premium for Redeeming Holders owning at least $5.0 million of principal, and accrued and unpaid interest.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August 9, 2021, the Company repurchased 1,000,000 Founder Shares from the Sponsor at $12.00 per share for a total purchase price of $12.0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ACU Reimbursement Agreement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PWP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 Agreement</w:t>
      </w:r>
    </w:p>
    <w:p>
      <w:pPr>
        <w:spacing w:after="0" w:line="17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PWP is party to a transition services agreement with PWP Capital (the “</w:t>
      </w:r>
      <w:r>
        <w:rPr>
          <w:rFonts w:ascii="Arial" w:cs="Arial" w:eastAsia="Arial" w:hAnsi="Arial"/>
          <w:sz w:val="16"/>
          <w:szCs w:val="16"/>
          <w:u w:val="single" w:color="auto"/>
          <w:color w:val="auto"/>
        </w:rPr>
        <w:t>TSA</w:t>
      </w:r>
      <w:r>
        <w:rPr>
          <w:rFonts w:ascii="Arial" w:cs="Arial" w:eastAsia="Arial" w:hAnsi="Arial"/>
          <w:sz w:val="16"/>
          <w:szCs w:val="16"/>
          <w:color w:val="auto"/>
        </w:rPr>
        <w:t>”). Under the TSA, PWP agreed to provide certain corporate, healthcare, benefits and technology services to PWP Capital, and PWP Capital agreed to 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Plans of Division and Master Separation Agreement</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 License Agreement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Sublease Agreement</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1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Internal Restructuring Transaction</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closing of the Business Combination, we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Tax Receivable Agreement. We expect to retain the benefit of the remaining 15% of these cash tax savings. See “</w:t>
      </w:r>
      <w:r>
        <w:rPr>
          <w:rFonts w:ascii="Arial" w:cs="Arial" w:eastAsia="Arial" w:hAnsi="Arial"/>
          <w:sz w:val="17"/>
          <w:szCs w:val="17"/>
          <w:i w:val="1"/>
          <w:iCs w:val="1"/>
          <w:color w:val="auto"/>
        </w:rPr>
        <w:t>Business Combination—Related Agreements—Tax Receivable Agreement</w:t>
      </w:r>
      <w:r>
        <w:rPr>
          <w:rFonts w:ascii="Arial" w:cs="Arial" w:eastAsia="Arial" w:hAnsi="Arial"/>
          <w:sz w:val="17"/>
          <w:szCs w:val="17"/>
          <w:color w:val="auto"/>
        </w:rPr>
        <w:t>” for a description of the Tax Receivable Agreement generally and for a discussion of circumstances in which we will be deemed to realize net cash tax savings.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Compensation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Ivan G. Seidenberg, Jorma Ollila and Jane C. Sherburne, three of PWP’s independent directors, received compensation in connection with their consultant services in 2020.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for additional details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2021 in amounts equal to $510,500 and $7,986,867,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have four "independent directors" as defined in Nasdaq rules and applicable SEC rules. We have determined that Mr. Ollila, Mr. Seidenberg,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HOLDERS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relates to the possible offer and resale by the Selling Holders of (i) up to 64,738,934 shares of Class A common stock (including 203,333 shares of Class A common stock that may be issued upon exercise of the Private Placement Warrants, 5,846,667 Founder Shares, 12,500,000 PIPE Shares, 610,000 Placement Shares and 45,578,934 Exchange Shares); and (ii) up to 203,333 Warrants.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 to the IPO, the Sponsor acquired Founder Shares, 7,870,000 of which were held by the Sponsor prior to the Business Combination. Simultaneously with the consummation of the IPO, the Sponsor purchased 610,000 placement units, which consisted of 610,000 Placement Shares and 203,333 Private Placement Warrants. Upon the consummation of the Business Combination, (i) the Sponsor forfeited 1,023,333 Founder Shares and the remaining Founder Shares were converted from Class B common stock to Class A common stock, (ii) the PIPE Investors acquired the PIPE Shares pursuant to Subscription Agreements, (iii) the limited partnership agreement of PWP OpCo was amended and restated to, among other things, permit holders of PWP OpCo Class A partnership units (other than the Company) to exchange these units, with the simultaneous conversion of an equivalent number of shares of our Class B common stock, for (a) shares of Class A common stock or (b) cash from an offering of shares of Class A common stock with the form of consideration to be determined by the Company and (iv) we entered into the Amended and Restated Registration Rights Agreement with the RRA Parties. In August 2021, we repurchased 1,000,000 Founder Shares from the Sponsor pursuant to the Sponsor Share Surrender and Share Restriction Agreement. In January 2021, the Sponsor completed the Sponsor Distribution, pursuant to which it distributed 5,456,667 Founder Shares and Placement Shares and 203,333 Private Placement Warrants to its members. The Founder Shares, Placement Shares, PIPE Shares, Exchange Shares, Private Placement Warrants and class A common stock issuable upon exercise of the Private Placement Warrants are being registered by the registration statement of which this prospectus forms a part pursuant to the registration rights granted under certain of the Subscription Agreements and the Amended and Restated Registration Rights Agreement.</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Selling Holders may from time to time offer and sell any or all of the shares of Class A common stock and Warrants set forth below pursuant to this prospectus. When we refer to the “Selling Holders” in this prospectus, we mean the persons listed in the table below, and the pledgees, donees, transferees, assignees, successors and others who later come to hold any of the Selling Holders’ interest in the shares of Class A common stock or Warrants after the date of this prospectus such that registration rights shall apply to those securities.</w:t>
      </w:r>
    </w:p>
    <w:p>
      <w:pPr>
        <w:spacing w:after="0" w:line="1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tables are prepared based on information provided to us by the Selling Holders. It sets forth the name and address of the Selling Holders, the aggregate number of shares of Class A common stock or Warrants, as applicable, that the Selling Holders may offer pursuant to this prospectus, and the beneficial ownership of the Selling Holders both before and after the offering. We have based percentage ownership prior to this offering on 46,939,793 shares of Class A common stock and 7,869,975 Warrants outstanding, in each case, as of February 28, 2022. In calculating percentages of shares of Class A common stock owned by a particular Selling Holder, we treated as outstanding the number of shares of our Class A common stock issuable upon exercise of that particular Selling Holder’s Warrants, if any, and did not assume the exercise of any other Selling Holder’s Warrants.</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advise you as to whether the Selling Holders will in fact sell any or all of such Class A common stock or Warrants. In addition, the Selling Holders may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otherwise indicated below, the address of each beneficial owner listed in the tables below is c/o Perella Weinberg Partners, 767 5th Ave, New York, NY 10153.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Class A common stock</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40" w:type="dxa"/>
            <w:vAlign w:val="bottom"/>
            <w:vMerge w:val="restart"/>
          </w:tcPr>
          <w:p>
            <w:pPr>
              <w:jc w:val="center"/>
              <w:ind w:left="568"/>
              <w:spacing w:after="0"/>
              <w:rPr>
                <w:sz w:val="20"/>
                <w:szCs w:val="20"/>
                <w:color w:val="auto"/>
              </w:rPr>
            </w:pPr>
            <w:r>
              <w:rPr>
                <w:rFonts w:ascii="Arial" w:cs="Arial" w:eastAsia="Arial" w:hAnsi="Arial"/>
                <w:sz w:val="14"/>
                <w:szCs w:val="14"/>
                <w:b w:val="1"/>
                <w:bCs w:val="1"/>
                <w:color w:val="auto"/>
                <w:w w:val="92"/>
              </w:rPr>
              <w:t>Beneficial Ownership</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vMerge w:val="restart"/>
          </w:tcPr>
          <w:p>
            <w:pPr>
              <w:jc w:val="center"/>
              <w:ind w:left="588"/>
              <w:spacing w:after="0"/>
              <w:rPr>
                <w:sz w:val="20"/>
                <w:szCs w:val="20"/>
                <w:color w:val="auto"/>
              </w:rPr>
            </w:pPr>
            <w:r>
              <w:rPr>
                <w:rFonts w:ascii="Arial" w:cs="Arial" w:eastAsia="Arial" w:hAnsi="Arial"/>
                <w:sz w:val="14"/>
                <w:szCs w:val="14"/>
                <w:b w:val="1"/>
                <w:bCs w:val="1"/>
                <w:color w:val="auto"/>
                <w:w w:val="89"/>
              </w:rPr>
              <w:t>Shares to be Sold in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528"/>
              <w:spacing w:after="0"/>
              <w:rPr>
                <w:sz w:val="20"/>
                <w:szCs w:val="20"/>
                <w:color w:val="auto"/>
              </w:rPr>
            </w:pPr>
            <w:r>
              <w:rPr>
                <w:rFonts w:ascii="Arial" w:cs="Arial" w:eastAsia="Arial" w:hAnsi="Arial"/>
                <w:sz w:val="14"/>
                <w:szCs w:val="14"/>
                <w:b w:val="1"/>
                <w:bCs w:val="1"/>
                <w:color w:val="auto"/>
                <w:w w:val="90"/>
              </w:rPr>
              <w:t>Beneficial</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ind w:left="528"/>
              <w:spacing w:after="0" w:line="135" w:lineRule="exact"/>
              <w:rPr>
                <w:sz w:val="20"/>
                <w:szCs w:val="20"/>
                <w:color w:val="auto"/>
              </w:rPr>
            </w:pPr>
            <w:r>
              <w:rPr>
                <w:rFonts w:ascii="Arial" w:cs="Arial" w:eastAsia="Arial" w:hAnsi="Arial"/>
                <w:sz w:val="14"/>
                <w:szCs w:val="14"/>
                <w:b w:val="1"/>
                <w:bCs w:val="1"/>
                <w:color w:val="auto"/>
                <w:w w:val="95"/>
              </w:rPr>
              <w:t>Ownership After</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204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w w:val="94"/>
              </w:rPr>
              <w:t>Before the Offering</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b w:val="1"/>
                <w:bCs w:val="1"/>
                <w:color w:val="auto"/>
                <w:w w:val="95"/>
              </w:rPr>
              <w:t>the Offering</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5"/>
              </w:rPr>
              <w:t>the Offering</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Holder</w:t>
            </w:r>
          </w:p>
        </w:tc>
        <w:tc>
          <w:tcPr>
            <w:tcW w:w="2040" w:type="dxa"/>
            <w:vAlign w:val="bottom"/>
          </w:tcPr>
          <w:p>
            <w:pPr>
              <w:jc w:val="center"/>
              <w:ind w:right="308"/>
              <w:spacing w:after="0" w:line="130"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vMerge w:val="restart"/>
          </w:tcPr>
          <w:p>
            <w:pPr>
              <w:jc w:val="right"/>
              <w:ind w:right="273"/>
              <w:spacing w:after="0" w:line="318"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2020" w:type="dxa"/>
            <w:vAlign w:val="bottom"/>
          </w:tcPr>
          <w:p>
            <w:pPr>
              <w:jc w:val="center"/>
              <w:ind w:right="288"/>
              <w:spacing w:after="0" w:line="130"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vMerge w:val="restart"/>
          </w:tcPr>
          <w:p>
            <w:pPr>
              <w:jc w:val="right"/>
              <w:ind w:right="293"/>
              <w:spacing w:after="0" w:line="318"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1680" w:type="dxa"/>
            <w:vAlign w:val="bottom"/>
          </w:tcPr>
          <w:p>
            <w:pPr>
              <w:jc w:val="center"/>
              <w:ind w:right="348"/>
              <w:spacing w:after="0" w:line="130"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vMerge w:val="restart"/>
          </w:tcPr>
          <w:p>
            <w:pPr>
              <w:jc w:val="right"/>
              <w:ind w:right="293"/>
              <w:spacing w:after="0" w:line="318" w:lineRule="exact"/>
              <w:rPr>
                <w:sz w:val="20"/>
                <w:szCs w:val="20"/>
                <w:color w:val="auto"/>
              </w:rPr>
            </w:pPr>
            <w:r>
              <w:rPr>
                <w:rFonts w:ascii="Arial" w:cs="Arial" w:eastAsia="Arial" w:hAnsi="Arial"/>
                <w:sz w:val="28"/>
                <w:szCs w:val="28"/>
                <w:b w:val="1"/>
                <w:bCs w:val="1"/>
                <w:color w:val="auto"/>
                <w:w w:val="94"/>
                <w:vertAlign w:val="subscript"/>
              </w:rPr>
              <w:t>%</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189"/>
        </w:trPr>
        <w:tc>
          <w:tcPr>
            <w:tcW w:w="3380" w:type="dxa"/>
            <w:vAlign w:val="bottom"/>
            <w:vMerge w:val="continue"/>
          </w:tcPr>
          <w:p>
            <w:pPr>
              <w:spacing w:after="0"/>
              <w:rPr>
                <w:sz w:val="16"/>
                <w:szCs w:val="16"/>
                <w:color w:val="auto"/>
              </w:rPr>
            </w:pPr>
          </w:p>
        </w:tc>
        <w:tc>
          <w:tcPr>
            <w:tcW w:w="2040" w:type="dxa"/>
            <w:vAlign w:val="bottom"/>
          </w:tcPr>
          <w:p>
            <w:pPr>
              <w:jc w:val="center"/>
              <w:ind w:right="308"/>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ind w:right="288"/>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ind w:right="348"/>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77"/>
        </w:trPr>
        <w:tc>
          <w:tcPr>
            <w:tcW w:w="332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4"/>
                <w:szCs w:val="14"/>
                <w:color w:val="auto"/>
              </w:rPr>
              <w:t>FinTech Masala, LLC</w:t>
            </w:r>
            <w:r>
              <w:rPr>
                <w:rFonts w:ascii="Arial" w:cs="Arial" w:eastAsia="Arial" w:hAnsi="Arial"/>
                <w:sz w:val="18"/>
                <w:szCs w:val="18"/>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4"/>
                <w:szCs w:val="14"/>
                <w:color w:val="auto"/>
              </w:rPr>
              <w:t>1,942,593</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rPr>
              <w:t>Fidelity Securities Fund: Fidelity Small Cap Growth</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2,039,500</w:t>
            </w:r>
          </w:p>
        </w:tc>
        <w:tc>
          <w:tcPr>
            <w:tcW w:w="0" w:type="dxa"/>
            <w:vAlign w:val="bottom"/>
          </w:tcPr>
          <w:p>
            <w:pPr>
              <w:spacing w:after="0"/>
              <w:rPr>
                <w:sz w:val="1"/>
                <w:szCs w:val="1"/>
                <w:color w:val="auto"/>
              </w:rPr>
            </w:pPr>
          </w:p>
        </w:tc>
      </w:tr>
      <w:tr>
        <w:trPr>
          <w:trHeight w:val="184"/>
        </w:trPr>
        <w:tc>
          <w:tcPr>
            <w:tcW w:w="3320" w:type="dxa"/>
            <w:vAlign w:val="bottom"/>
          </w:tcPr>
          <w:p>
            <w:pPr>
              <w:ind w:left="180"/>
              <w:spacing w:after="0" w:line="184" w:lineRule="exact"/>
              <w:rPr>
                <w:sz w:val="20"/>
                <w:szCs w:val="20"/>
                <w:color w:val="auto"/>
              </w:rPr>
            </w:pPr>
            <w:r>
              <w:rPr>
                <w:rFonts w:ascii="Arial" w:cs="Arial" w:eastAsia="Arial" w:hAnsi="Arial"/>
                <w:sz w:val="14"/>
                <w:szCs w:val="14"/>
                <w:color w:val="auto"/>
              </w:rPr>
              <w:t>Fund</w:t>
            </w:r>
            <w:r>
              <w:rPr>
                <w:rFonts w:ascii="Arial" w:cs="Arial" w:eastAsia="Arial" w:hAnsi="Arial"/>
                <w:sz w:val="18"/>
                <w:szCs w:val="18"/>
                <w:color w:val="auto"/>
                <w:vertAlign w:val="superscript"/>
              </w:rPr>
              <w:t>(3)</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w w:val="97"/>
              </w:rPr>
              <w:t>Fidelity Securities Fund: Fidelity Small Cap Growth K6</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457,262</w:t>
            </w:r>
          </w:p>
        </w:tc>
        <w:tc>
          <w:tcPr>
            <w:tcW w:w="0" w:type="dxa"/>
            <w:vAlign w:val="bottom"/>
          </w:tcPr>
          <w:p>
            <w:pPr>
              <w:spacing w:after="0"/>
              <w:rPr>
                <w:sz w:val="1"/>
                <w:szCs w:val="1"/>
                <w:color w:val="auto"/>
              </w:rPr>
            </w:pPr>
          </w:p>
        </w:tc>
      </w:tr>
      <w:tr>
        <w:trPr>
          <w:trHeight w:val="184"/>
        </w:trPr>
        <w:tc>
          <w:tcPr>
            <w:tcW w:w="3320" w:type="dxa"/>
            <w:vAlign w:val="bottom"/>
          </w:tcPr>
          <w:p>
            <w:pPr>
              <w:ind w:left="20"/>
              <w:spacing w:after="0" w:line="184" w:lineRule="exact"/>
              <w:rPr>
                <w:sz w:val="20"/>
                <w:szCs w:val="20"/>
                <w:color w:val="auto"/>
              </w:rPr>
            </w:pPr>
            <w:r>
              <w:rPr>
                <w:rFonts w:ascii="Arial" w:cs="Arial" w:eastAsia="Arial" w:hAnsi="Arial"/>
                <w:sz w:val="14"/>
                <w:szCs w:val="14"/>
                <w:color w:val="auto"/>
              </w:rPr>
              <w:t>Fund</w:t>
            </w:r>
            <w:r>
              <w:rPr>
                <w:rFonts w:ascii="Arial" w:cs="Arial" w:eastAsia="Arial" w:hAnsi="Arial"/>
                <w:sz w:val="18"/>
                <w:szCs w:val="18"/>
                <w:color w:val="auto"/>
                <w:vertAlign w:val="superscript"/>
              </w:rPr>
              <w:t>(3)</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rPr>
              <w:t>Fidelity Capital Trust: Fidelity Flex Small Cap Fund -</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3,238</w:t>
            </w:r>
          </w:p>
        </w:tc>
        <w:tc>
          <w:tcPr>
            <w:tcW w:w="0" w:type="dxa"/>
            <w:vAlign w:val="bottom"/>
          </w:tcPr>
          <w:p>
            <w:pPr>
              <w:spacing w:after="0"/>
              <w:rPr>
                <w:sz w:val="1"/>
                <w:szCs w:val="1"/>
                <w:color w:val="auto"/>
              </w:rPr>
            </w:pPr>
          </w:p>
        </w:tc>
      </w:tr>
      <w:tr>
        <w:trPr>
          <w:trHeight w:val="179"/>
        </w:trPr>
        <w:tc>
          <w:tcPr>
            <w:tcW w:w="3320" w:type="dxa"/>
            <w:vAlign w:val="bottom"/>
          </w:tcPr>
          <w:p>
            <w:pPr>
              <w:ind w:left="180"/>
              <w:spacing w:after="0" w:line="179" w:lineRule="exact"/>
              <w:rPr>
                <w:sz w:val="20"/>
                <w:szCs w:val="20"/>
                <w:color w:val="auto"/>
              </w:rPr>
            </w:pPr>
            <w:r>
              <w:rPr>
                <w:rFonts w:ascii="Arial" w:cs="Arial" w:eastAsia="Arial" w:hAnsi="Arial"/>
                <w:sz w:val="14"/>
                <w:szCs w:val="14"/>
                <w:color w:val="auto"/>
              </w:rPr>
              <w:t>Small Cap Growth Subportfolio</w:t>
            </w:r>
            <w:r>
              <w:rPr>
                <w:rFonts w:ascii="Arial" w:cs="Arial" w:eastAsia="Arial" w:hAnsi="Arial"/>
                <w:sz w:val="18"/>
                <w:szCs w:val="18"/>
                <w:color w:val="auto"/>
                <w:vertAlign w:val="superscript"/>
              </w:rPr>
              <w:t>(3)</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Adage Capital Partners, L.P.</w:t>
            </w:r>
            <w:r>
              <w:rPr>
                <w:rFonts w:ascii="Arial" w:cs="Arial" w:eastAsia="Arial" w:hAnsi="Arial"/>
                <w:sz w:val="18"/>
                <w:szCs w:val="18"/>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4"/>
                <w:szCs w:val="14"/>
                <w:color w:val="auto"/>
              </w:rPr>
              <w:t>2,538,768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Citadel Multi-Strategy Equities Master Fund Ltd.</w:t>
            </w:r>
            <w:r>
              <w:rPr>
                <w:rFonts w:ascii="Arial" w:cs="Arial" w:eastAsia="Arial" w:hAnsi="Arial"/>
                <w:sz w:val="18"/>
                <w:szCs w:val="18"/>
                <w:color w:val="auto"/>
                <w:vertAlign w:val="superscript"/>
              </w:rPr>
              <w:t>(5)</w:t>
            </w:r>
          </w:p>
        </w:tc>
        <w:tc>
          <w:tcPr>
            <w:tcW w:w="1300" w:type="dxa"/>
            <w:vAlign w:val="bottom"/>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Korea Investment &amp; Securities Co., Ltd.</w:t>
            </w:r>
            <w:r>
              <w:rPr>
                <w:rFonts w:ascii="Arial" w:cs="Arial" w:eastAsia="Arial" w:hAnsi="Arial"/>
                <w:sz w:val="18"/>
                <w:szCs w:val="18"/>
                <w:color w:val="auto"/>
                <w:vertAlign w:val="superscript"/>
              </w:rPr>
              <w:t>(6)</w:t>
            </w:r>
          </w:p>
        </w:tc>
        <w:tc>
          <w:tcPr>
            <w:tcW w:w="13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Integrated Core Strategies (US) LLC</w:t>
            </w:r>
            <w:r>
              <w:rPr>
                <w:rFonts w:ascii="Arial" w:cs="Arial" w:eastAsia="Arial" w:hAnsi="Arial"/>
                <w:sz w:val="18"/>
                <w:szCs w:val="18"/>
                <w:color w:val="auto"/>
                <w:vertAlign w:val="superscript"/>
              </w:rPr>
              <w:t>(7)</w:t>
            </w:r>
          </w:p>
        </w:tc>
        <w:tc>
          <w:tcPr>
            <w:tcW w:w="1300" w:type="dxa"/>
            <w:vAlign w:val="bottom"/>
          </w:tcPr>
          <w:p>
            <w:pPr>
              <w:jc w:val="right"/>
              <w:spacing w:after="0"/>
              <w:rPr>
                <w:sz w:val="20"/>
                <w:szCs w:val="20"/>
                <w:color w:val="auto"/>
              </w:rPr>
            </w:pPr>
            <w:r>
              <w:rPr>
                <w:rFonts w:ascii="Arial" w:cs="Arial" w:eastAsia="Arial" w:hAnsi="Arial"/>
                <w:sz w:val="14"/>
                <w:szCs w:val="14"/>
                <w:color w:val="auto"/>
              </w:rPr>
              <w:t>1,643,383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Riverview Group LLC</w:t>
            </w:r>
            <w:r>
              <w:rPr>
                <w:rFonts w:ascii="Arial" w:cs="Arial" w:eastAsia="Arial" w:hAnsi="Arial"/>
                <w:sz w:val="18"/>
                <w:szCs w:val="18"/>
                <w:color w:val="auto"/>
                <w:vertAlign w:val="superscript"/>
              </w:rPr>
              <w:t>(7)</w:t>
            </w:r>
          </w:p>
        </w:tc>
        <w:tc>
          <w:tcPr>
            <w:tcW w:w="1300" w:type="dxa"/>
            <w:vAlign w:val="bottom"/>
          </w:tcPr>
          <w:p>
            <w:pPr>
              <w:jc w:val="right"/>
              <w:spacing w:after="0"/>
              <w:rPr>
                <w:sz w:val="20"/>
                <w:szCs w:val="20"/>
                <w:color w:val="auto"/>
              </w:rPr>
            </w:pPr>
            <w:r>
              <w:rPr>
                <w:rFonts w:ascii="Arial" w:cs="Arial" w:eastAsia="Arial" w:hAnsi="Arial"/>
                <w:sz w:val="14"/>
                <w:szCs w:val="14"/>
                <w:color w:val="auto"/>
              </w:rPr>
              <w:t>1,308,580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Ghisallo Master Fund LP</w:t>
            </w:r>
            <w:r>
              <w:rPr>
                <w:rFonts w:ascii="Arial" w:cs="Arial" w:eastAsia="Arial" w:hAnsi="Arial"/>
                <w:sz w:val="18"/>
                <w:szCs w:val="18"/>
                <w:color w:val="auto"/>
                <w:vertAlign w:val="superscript"/>
              </w:rPr>
              <w:t>(9)</w:t>
            </w:r>
          </w:p>
        </w:tc>
        <w:tc>
          <w:tcPr>
            <w:tcW w:w="1300" w:type="dxa"/>
            <w:vAlign w:val="bottom"/>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Bay Pond Partners, L.P.</w:t>
            </w:r>
            <w:r>
              <w:rPr>
                <w:rFonts w:ascii="Arial" w:cs="Arial" w:eastAsia="Arial" w:hAnsi="Arial"/>
                <w:sz w:val="18"/>
                <w:szCs w:val="18"/>
                <w:color w:val="auto"/>
                <w:vertAlign w:val="superscript"/>
              </w:rPr>
              <w:t>(10)</w:t>
            </w:r>
          </w:p>
        </w:tc>
        <w:tc>
          <w:tcPr>
            <w:tcW w:w="1300" w:type="dxa"/>
            <w:vAlign w:val="bottom"/>
          </w:tcPr>
          <w:p>
            <w:pPr>
              <w:jc w:val="right"/>
              <w:spacing w:after="0"/>
              <w:rPr>
                <w:sz w:val="20"/>
                <w:szCs w:val="20"/>
                <w:color w:val="auto"/>
              </w:rPr>
            </w:pPr>
            <w:r>
              <w:rPr>
                <w:rFonts w:ascii="Arial" w:cs="Arial" w:eastAsia="Arial" w:hAnsi="Arial"/>
                <w:sz w:val="14"/>
                <w:szCs w:val="14"/>
                <w:color w:val="auto"/>
              </w:rPr>
              <w:t>2,419,407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Ithan Creek Master Investors (Cayman) L.P.</w:t>
            </w:r>
            <w:r>
              <w:rPr>
                <w:rFonts w:ascii="Arial" w:cs="Arial" w:eastAsia="Arial" w:hAnsi="Arial"/>
                <w:sz w:val="18"/>
                <w:szCs w:val="18"/>
                <w:color w:val="auto"/>
                <w:vertAlign w:val="superscript"/>
              </w:rPr>
              <w:t>(10)</w:t>
            </w:r>
          </w:p>
        </w:tc>
        <w:tc>
          <w:tcPr>
            <w:tcW w:w="1300" w:type="dxa"/>
            <w:vAlign w:val="bottom"/>
          </w:tcPr>
          <w:p>
            <w:pPr>
              <w:jc w:val="right"/>
              <w:spacing w:after="0"/>
              <w:rPr>
                <w:sz w:val="20"/>
                <w:szCs w:val="20"/>
                <w:color w:val="auto"/>
              </w:rPr>
            </w:pPr>
            <w:r>
              <w:rPr>
                <w:rFonts w:ascii="Arial" w:cs="Arial" w:eastAsia="Arial" w:hAnsi="Arial"/>
                <w:sz w:val="14"/>
                <w:szCs w:val="14"/>
                <w:color w:val="auto"/>
              </w:rPr>
              <w:t>484,233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Bay Pond Investors (Bermuda) L.P.</w:t>
            </w:r>
            <w:r>
              <w:rPr>
                <w:rFonts w:ascii="Arial" w:cs="Arial" w:eastAsia="Arial" w:hAnsi="Arial"/>
                <w:sz w:val="18"/>
                <w:szCs w:val="18"/>
                <w:color w:val="auto"/>
                <w:vertAlign w:val="superscript"/>
              </w:rPr>
              <w:t>(10)</w:t>
            </w:r>
          </w:p>
        </w:tc>
        <w:tc>
          <w:tcPr>
            <w:tcW w:w="1300" w:type="dxa"/>
            <w:vAlign w:val="bottom"/>
          </w:tcPr>
          <w:p>
            <w:pPr>
              <w:jc w:val="right"/>
              <w:spacing w:after="0"/>
              <w:rPr>
                <w:sz w:val="20"/>
                <w:szCs w:val="20"/>
                <w:color w:val="auto"/>
              </w:rPr>
            </w:pPr>
            <w:r>
              <w:rPr>
                <w:rFonts w:ascii="Arial" w:cs="Arial" w:eastAsia="Arial" w:hAnsi="Arial"/>
                <w:sz w:val="14"/>
                <w:szCs w:val="14"/>
                <w:color w:val="auto"/>
              </w:rPr>
              <w:t>281,944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PSAM Worldarb Master Fund Ltd</w:t>
            </w:r>
            <w:r>
              <w:rPr>
                <w:rFonts w:ascii="Arial" w:cs="Arial" w:eastAsia="Arial" w:hAnsi="Arial"/>
                <w:sz w:val="18"/>
                <w:szCs w:val="18"/>
                <w:color w:val="auto"/>
                <w:vertAlign w:val="superscript"/>
              </w:rPr>
              <w:t>(12)</w:t>
            </w:r>
          </w:p>
        </w:tc>
        <w:tc>
          <w:tcPr>
            <w:tcW w:w="1300" w:type="dxa"/>
            <w:vAlign w:val="bottom"/>
          </w:tcPr>
          <w:p>
            <w:pPr>
              <w:jc w:val="right"/>
              <w:spacing w:after="0"/>
              <w:rPr>
                <w:sz w:val="20"/>
                <w:szCs w:val="20"/>
                <w:color w:val="auto"/>
              </w:rPr>
            </w:pPr>
            <w:r>
              <w:rPr>
                <w:rFonts w:ascii="Arial" w:cs="Arial" w:eastAsia="Arial" w:hAnsi="Arial"/>
                <w:sz w:val="14"/>
                <w:szCs w:val="14"/>
                <w:color w:val="auto"/>
              </w:rPr>
              <w:t>3,060,615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Nantahala Capital Partners SI, LP</w:t>
            </w:r>
            <w:r>
              <w:rPr>
                <w:rFonts w:ascii="Arial" w:cs="Arial" w:eastAsia="Arial" w:hAnsi="Arial"/>
                <w:sz w:val="18"/>
                <w:szCs w:val="18"/>
                <w:color w:val="auto"/>
                <w:vertAlign w:val="superscript"/>
              </w:rPr>
              <w:t>(13)</w:t>
            </w:r>
          </w:p>
        </w:tc>
        <w:tc>
          <w:tcPr>
            <w:tcW w:w="1300" w:type="dxa"/>
            <w:vAlign w:val="bottom"/>
          </w:tcPr>
          <w:p>
            <w:pPr>
              <w:jc w:val="right"/>
              <w:spacing w:after="0"/>
              <w:rPr>
                <w:sz w:val="20"/>
                <w:szCs w:val="20"/>
                <w:color w:val="auto"/>
              </w:rPr>
            </w:pPr>
            <w:r>
              <w:rPr>
                <w:rFonts w:ascii="Arial" w:cs="Arial" w:eastAsia="Arial" w:hAnsi="Arial"/>
                <w:sz w:val="14"/>
                <w:szCs w:val="14"/>
                <w:color w:val="auto"/>
              </w:rPr>
              <w:t>448,285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NCP RFM LP</w:t>
            </w:r>
            <w:r>
              <w:rPr>
                <w:rFonts w:ascii="Arial" w:cs="Arial" w:eastAsia="Arial" w:hAnsi="Arial"/>
                <w:sz w:val="18"/>
                <w:szCs w:val="18"/>
                <w:color w:val="auto"/>
                <w:vertAlign w:val="superscript"/>
              </w:rPr>
              <w:t>(13)</w:t>
            </w:r>
          </w:p>
        </w:tc>
        <w:tc>
          <w:tcPr>
            <w:tcW w:w="1300" w:type="dxa"/>
            <w:vAlign w:val="bottom"/>
          </w:tcPr>
          <w:p>
            <w:pPr>
              <w:jc w:val="right"/>
              <w:spacing w:after="0"/>
              <w:rPr>
                <w:sz w:val="20"/>
                <w:szCs w:val="20"/>
                <w:color w:val="auto"/>
              </w:rPr>
            </w:pPr>
            <w:r>
              <w:rPr>
                <w:rFonts w:ascii="Arial" w:cs="Arial" w:eastAsia="Arial" w:hAnsi="Arial"/>
                <w:sz w:val="14"/>
                <w:szCs w:val="14"/>
                <w:color w:val="auto"/>
              </w:rPr>
              <w:t>79,184</w:t>
            </w:r>
          </w:p>
        </w:tc>
        <w:tc>
          <w:tcPr>
            <w:tcW w:w="0" w:type="dxa"/>
            <w:vAlign w:val="bottom"/>
          </w:tcPr>
          <w:p>
            <w:pPr>
              <w:spacing w:after="0"/>
              <w:rPr>
                <w:sz w:val="1"/>
                <w:szCs w:val="1"/>
                <w:color w:val="auto"/>
              </w:rPr>
            </w:pPr>
          </w:p>
        </w:tc>
      </w:tr>
      <w:tr>
        <w:trPr>
          <w:trHeight w:val="194"/>
        </w:trPr>
        <w:tc>
          <w:tcPr>
            <w:tcW w:w="3320" w:type="dxa"/>
            <w:vAlign w:val="bottom"/>
          </w:tcPr>
          <w:p>
            <w:pPr>
              <w:ind w:left="20"/>
              <w:spacing w:after="0" w:line="195" w:lineRule="exact"/>
              <w:rPr>
                <w:sz w:val="20"/>
                <w:szCs w:val="20"/>
                <w:color w:val="auto"/>
              </w:rPr>
            </w:pPr>
            <w:r>
              <w:rPr>
                <w:rFonts w:ascii="Arial" w:cs="Arial" w:eastAsia="Arial" w:hAnsi="Arial"/>
                <w:sz w:val="14"/>
                <w:szCs w:val="14"/>
                <w:color w:val="auto"/>
              </w:rPr>
              <w:t>FinTech Masala Advisors IV, LLC</w:t>
            </w:r>
            <w:r>
              <w:rPr>
                <w:rFonts w:ascii="Arial" w:cs="Arial" w:eastAsia="Arial" w:hAnsi="Arial"/>
                <w:sz w:val="18"/>
                <w:szCs w:val="18"/>
                <w:color w:val="auto"/>
                <w:vertAlign w:val="superscript"/>
              </w:rPr>
              <w:t>(14)</w:t>
            </w:r>
          </w:p>
        </w:tc>
        <w:tc>
          <w:tcPr>
            <w:tcW w:w="1300" w:type="dxa"/>
            <w:vAlign w:val="bottom"/>
          </w:tcPr>
          <w:p>
            <w:pPr>
              <w:jc w:val="right"/>
              <w:spacing w:after="0"/>
              <w:rPr>
                <w:sz w:val="20"/>
                <w:szCs w:val="20"/>
                <w:color w:val="auto"/>
              </w:rPr>
            </w:pPr>
            <w:r>
              <w:rPr>
                <w:rFonts w:ascii="Arial" w:cs="Arial" w:eastAsia="Arial" w:hAnsi="Arial"/>
                <w:sz w:val="14"/>
                <w:szCs w:val="14"/>
                <w:color w:val="auto"/>
              </w:rPr>
              <w:t>658,196</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rPr>
              <w:t>Certain members of FinTech Masala Advisors IV,</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1,090,425</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line="179" w:lineRule="exact"/>
              <w:rPr>
                <w:sz w:val="20"/>
                <w:szCs w:val="20"/>
                <w:color w:val="auto"/>
              </w:rPr>
            </w:pPr>
            <w:r>
              <w:rPr>
                <w:rFonts w:ascii="Arial" w:cs="Arial" w:eastAsia="Arial" w:hAnsi="Arial"/>
                <w:sz w:val="20"/>
                <w:szCs w:val="20"/>
                <w:color w:val="auto"/>
                <w:vertAlign w:val="subscript"/>
              </w:rPr>
              <w:t>LLC</w:t>
            </w:r>
            <w:r>
              <w:rPr>
                <w:rFonts w:ascii="Arial" w:cs="Arial" w:eastAsia="Arial" w:hAnsi="Arial"/>
                <w:sz w:val="8"/>
                <w:szCs w:val="8"/>
                <w:color w:val="auto"/>
              </w:rPr>
              <w:t>(15)</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320" w:type="dxa"/>
            <w:vAlign w:val="bottom"/>
          </w:tcPr>
          <w:p>
            <w:pPr>
              <w:ind w:left="20"/>
              <w:spacing w:after="0" w:line="195" w:lineRule="exact"/>
              <w:rPr>
                <w:sz w:val="20"/>
                <w:szCs w:val="20"/>
                <w:color w:val="auto"/>
              </w:rPr>
            </w:pPr>
            <w:r>
              <w:rPr>
                <w:rFonts w:ascii="Arial" w:cs="Arial" w:eastAsia="Arial" w:hAnsi="Arial"/>
                <w:sz w:val="14"/>
                <w:szCs w:val="14"/>
                <w:color w:val="auto"/>
              </w:rPr>
              <w:t>FinTech Investor Holdings IV, LLC</w:t>
            </w:r>
            <w:r>
              <w:rPr>
                <w:rFonts w:ascii="Arial" w:cs="Arial" w:eastAsia="Arial" w:hAnsi="Arial"/>
                <w:sz w:val="18"/>
                <w:szCs w:val="18"/>
                <w:color w:val="auto"/>
                <w:vertAlign w:val="superscript"/>
              </w:rPr>
              <w:t>(14)</w:t>
            </w:r>
          </w:p>
        </w:tc>
        <w:tc>
          <w:tcPr>
            <w:tcW w:w="1300" w:type="dxa"/>
            <w:vAlign w:val="bottom"/>
          </w:tcPr>
          <w:p>
            <w:pPr>
              <w:jc w:val="right"/>
              <w:spacing w:after="0"/>
              <w:rPr>
                <w:sz w:val="20"/>
                <w:szCs w:val="20"/>
                <w:color w:val="auto"/>
              </w:rPr>
            </w:pPr>
            <w:r>
              <w:rPr>
                <w:rFonts w:ascii="Arial" w:cs="Arial" w:eastAsia="Arial" w:hAnsi="Arial"/>
                <w:sz w:val="14"/>
                <w:szCs w:val="14"/>
                <w:color w:val="auto"/>
              </w:rPr>
              <w:t>341,804</w:t>
            </w:r>
          </w:p>
        </w:tc>
        <w:tc>
          <w:tcPr>
            <w:tcW w:w="0" w:type="dxa"/>
            <w:vAlign w:val="bottom"/>
          </w:tcPr>
          <w:p>
            <w:pPr>
              <w:spacing w:after="0"/>
              <w:rPr>
                <w:sz w:val="1"/>
                <w:szCs w:val="1"/>
                <w:color w:val="auto"/>
              </w:rPr>
            </w:pPr>
          </w:p>
        </w:tc>
      </w:tr>
      <w:tr>
        <w:trPr>
          <w:trHeight w:val="140"/>
        </w:trPr>
        <w:tc>
          <w:tcPr>
            <w:tcW w:w="3320" w:type="dxa"/>
            <w:vAlign w:val="bottom"/>
          </w:tcPr>
          <w:p>
            <w:pPr>
              <w:ind w:left="20"/>
              <w:spacing w:after="0" w:line="141" w:lineRule="exact"/>
              <w:rPr>
                <w:sz w:val="20"/>
                <w:szCs w:val="20"/>
                <w:color w:val="auto"/>
              </w:rPr>
            </w:pPr>
            <w:r>
              <w:rPr>
                <w:rFonts w:ascii="Arial" w:cs="Arial" w:eastAsia="Arial" w:hAnsi="Arial"/>
                <w:sz w:val="14"/>
                <w:szCs w:val="14"/>
                <w:color w:val="auto"/>
              </w:rPr>
              <w:t>Certain members of FinTech Investor Holdings IV,</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1,676,064</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line="179" w:lineRule="exact"/>
              <w:rPr>
                <w:sz w:val="20"/>
                <w:szCs w:val="20"/>
                <w:color w:val="auto"/>
              </w:rPr>
            </w:pPr>
            <w:r>
              <w:rPr>
                <w:rFonts w:ascii="Arial" w:cs="Arial" w:eastAsia="Arial" w:hAnsi="Arial"/>
                <w:sz w:val="20"/>
                <w:szCs w:val="20"/>
                <w:color w:val="auto"/>
                <w:vertAlign w:val="subscript"/>
              </w:rPr>
              <w:t>LLC</w:t>
            </w:r>
            <w:r>
              <w:rPr>
                <w:rFonts w:ascii="Arial" w:cs="Arial" w:eastAsia="Arial" w:hAnsi="Arial"/>
                <w:sz w:val="8"/>
                <w:szCs w:val="8"/>
                <w:color w:val="auto"/>
              </w:rPr>
              <w:t>(16)</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Linden Capital L.P.</w:t>
            </w:r>
            <w:r>
              <w:rPr>
                <w:rFonts w:ascii="Arial" w:cs="Arial" w:eastAsia="Arial" w:hAnsi="Arial"/>
                <w:sz w:val="18"/>
                <w:szCs w:val="18"/>
                <w:color w:val="auto"/>
                <w:vertAlign w:val="superscript"/>
              </w:rPr>
              <w:t>(17)</w:t>
            </w:r>
          </w:p>
        </w:tc>
        <w:tc>
          <w:tcPr>
            <w:tcW w:w="1300" w:type="dxa"/>
            <w:vAlign w:val="bottom"/>
          </w:tcPr>
          <w:p>
            <w:pPr>
              <w:jc w:val="right"/>
              <w:spacing w:after="0"/>
              <w:rPr>
                <w:sz w:val="20"/>
                <w:szCs w:val="20"/>
                <w:color w:val="auto"/>
              </w:rPr>
            </w:pPr>
            <w:r>
              <w:rPr>
                <w:rFonts w:ascii="Arial" w:cs="Arial" w:eastAsia="Arial" w:hAnsi="Arial"/>
                <w:sz w:val="14"/>
                <w:szCs w:val="14"/>
                <w:color w:val="auto"/>
              </w:rPr>
              <w:t>698,158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Corbin ERISA Opportunity Fund, Ltd.</w:t>
            </w:r>
            <w:r>
              <w:rPr>
                <w:rFonts w:ascii="Arial" w:cs="Arial" w:eastAsia="Arial" w:hAnsi="Arial"/>
                <w:sz w:val="18"/>
                <w:szCs w:val="18"/>
                <w:color w:val="auto"/>
                <w:vertAlign w:val="superscript"/>
              </w:rPr>
              <w:t>(18)</w:t>
            </w:r>
          </w:p>
        </w:tc>
        <w:tc>
          <w:tcPr>
            <w:tcW w:w="1300" w:type="dxa"/>
            <w:vAlign w:val="bottom"/>
          </w:tcPr>
          <w:p>
            <w:pPr>
              <w:jc w:val="right"/>
              <w:spacing w:after="0"/>
              <w:rPr>
                <w:sz w:val="20"/>
                <w:szCs w:val="20"/>
                <w:color w:val="auto"/>
              </w:rPr>
            </w:pPr>
            <w:r>
              <w:rPr>
                <w:rFonts w:ascii="Arial" w:cs="Arial" w:eastAsia="Arial" w:hAnsi="Arial"/>
                <w:sz w:val="14"/>
                <w:szCs w:val="14"/>
                <w:color w:val="auto"/>
              </w:rPr>
              <w:t>1,007,582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Corbin Opportunity Fund, L.P.</w:t>
            </w:r>
            <w:r>
              <w:rPr>
                <w:rFonts w:ascii="Arial" w:cs="Arial" w:eastAsia="Arial" w:hAnsi="Arial"/>
                <w:sz w:val="18"/>
                <w:szCs w:val="18"/>
                <w:color w:val="auto"/>
                <w:vertAlign w:val="superscript"/>
              </w:rPr>
              <w:t>(18)</w:t>
            </w:r>
          </w:p>
        </w:tc>
        <w:tc>
          <w:tcPr>
            <w:tcW w:w="1300" w:type="dxa"/>
            <w:vAlign w:val="bottom"/>
          </w:tcPr>
          <w:p>
            <w:pPr>
              <w:jc w:val="right"/>
              <w:spacing w:after="0"/>
              <w:rPr>
                <w:sz w:val="20"/>
                <w:szCs w:val="20"/>
                <w:color w:val="auto"/>
              </w:rPr>
            </w:pPr>
            <w:r>
              <w:rPr>
                <w:rFonts w:ascii="Arial" w:cs="Arial" w:eastAsia="Arial" w:hAnsi="Arial"/>
                <w:sz w:val="14"/>
                <w:szCs w:val="14"/>
                <w:color w:val="auto"/>
              </w:rPr>
              <w:t>503,793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CVI Investments, Inc.</w:t>
            </w:r>
            <w:r>
              <w:rPr>
                <w:rFonts w:ascii="Arial" w:cs="Arial" w:eastAsia="Arial" w:hAnsi="Arial"/>
                <w:sz w:val="18"/>
                <w:szCs w:val="18"/>
                <w:color w:val="auto"/>
                <w:vertAlign w:val="superscript"/>
              </w:rPr>
              <w:t>(19)</w:t>
            </w:r>
          </w:p>
        </w:tc>
        <w:tc>
          <w:tcPr>
            <w:tcW w:w="1300" w:type="dxa"/>
            <w:vAlign w:val="bottom"/>
          </w:tcPr>
          <w:p>
            <w:pPr>
              <w:jc w:val="right"/>
              <w:spacing w:after="0"/>
              <w:rPr>
                <w:sz w:val="20"/>
                <w:szCs w:val="20"/>
                <w:color w:val="auto"/>
              </w:rPr>
            </w:pPr>
            <w:r>
              <w:rPr>
                <w:rFonts w:ascii="Arial" w:cs="Arial" w:eastAsia="Arial" w:hAnsi="Arial"/>
                <w:sz w:val="14"/>
                <w:szCs w:val="14"/>
                <w:color w:val="auto"/>
              </w:rPr>
              <w:t>260,186</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MMCAP International Inc. SPC</w:t>
            </w:r>
            <w:r>
              <w:rPr>
                <w:rFonts w:ascii="Arial" w:cs="Arial" w:eastAsia="Arial" w:hAnsi="Arial"/>
                <w:sz w:val="18"/>
                <w:szCs w:val="18"/>
                <w:color w:val="auto"/>
                <w:vertAlign w:val="superscript"/>
              </w:rPr>
              <w:t>(20)</w:t>
            </w:r>
          </w:p>
        </w:tc>
        <w:tc>
          <w:tcPr>
            <w:tcW w:w="1300" w:type="dxa"/>
            <w:vAlign w:val="bottom"/>
          </w:tcPr>
          <w:p>
            <w:pPr>
              <w:jc w:val="right"/>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Atalaya Special Purpose Investment Fund LP</w:t>
            </w:r>
            <w:r>
              <w:rPr>
                <w:rFonts w:ascii="Arial" w:cs="Arial" w:eastAsia="Arial" w:hAnsi="Arial"/>
                <w:sz w:val="18"/>
                <w:szCs w:val="18"/>
                <w:color w:val="auto"/>
                <w:vertAlign w:val="superscript"/>
              </w:rPr>
              <w:t>(21)</w:t>
            </w:r>
          </w:p>
        </w:tc>
        <w:tc>
          <w:tcPr>
            <w:tcW w:w="1300" w:type="dxa"/>
            <w:vAlign w:val="bottom"/>
          </w:tcPr>
          <w:p>
            <w:pPr>
              <w:jc w:val="right"/>
              <w:spacing w:after="0"/>
              <w:rPr>
                <w:sz w:val="20"/>
                <w:szCs w:val="20"/>
                <w:color w:val="auto"/>
              </w:rPr>
            </w:pPr>
            <w:r>
              <w:rPr>
                <w:rFonts w:ascii="Arial" w:cs="Arial" w:eastAsia="Arial" w:hAnsi="Arial"/>
                <w:sz w:val="14"/>
                <w:szCs w:val="14"/>
                <w:color w:val="auto"/>
              </w:rPr>
              <w:t>889,057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Samlyn Offshore Master Fund, Ltd.</w:t>
            </w:r>
            <w:r>
              <w:rPr>
                <w:rFonts w:ascii="Arial" w:cs="Arial" w:eastAsia="Arial" w:hAnsi="Arial"/>
                <w:sz w:val="18"/>
                <w:szCs w:val="18"/>
                <w:color w:val="auto"/>
                <w:vertAlign w:val="superscript"/>
              </w:rPr>
              <w:t>(22)</w:t>
            </w:r>
          </w:p>
        </w:tc>
        <w:tc>
          <w:tcPr>
            <w:tcW w:w="1300" w:type="dxa"/>
            <w:vAlign w:val="bottom"/>
          </w:tcPr>
          <w:p>
            <w:pPr>
              <w:jc w:val="right"/>
              <w:spacing w:after="0"/>
              <w:rPr>
                <w:sz w:val="20"/>
                <w:szCs w:val="20"/>
                <w:color w:val="auto"/>
              </w:rPr>
            </w:pPr>
            <w:r>
              <w:rPr>
                <w:rFonts w:ascii="Arial" w:cs="Arial" w:eastAsia="Arial" w:hAnsi="Arial"/>
                <w:sz w:val="14"/>
                <w:szCs w:val="14"/>
                <w:color w:val="auto"/>
              </w:rPr>
              <w:t>1,541,045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Samlyn Net Neutral Master Fund, Ltd.</w:t>
            </w:r>
            <w:r>
              <w:rPr>
                <w:rFonts w:ascii="Arial" w:cs="Arial" w:eastAsia="Arial" w:hAnsi="Arial"/>
                <w:sz w:val="18"/>
                <w:szCs w:val="18"/>
                <w:color w:val="auto"/>
                <w:vertAlign w:val="superscript"/>
              </w:rPr>
              <w:t>(22)</w:t>
            </w:r>
          </w:p>
        </w:tc>
        <w:tc>
          <w:tcPr>
            <w:tcW w:w="1300" w:type="dxa"/>
            <w:vAlign w:val="bottom"/>
          </w:tcPr>
          <w:p>
            <w:pPr>
              <w:jc w:val="right"/>
              <w:spacing w:after="0"/>
              <w:rPr>
                <w:sz w:val="20"/>
                <w:szCs w:val="20"/>
                <w:color w:val="auto"/>
              </w:rPr>
            </w:pPr>
            <w:r>
              <w:rPr>
                <w:rFonts w:ascii="Arial" w:cs="Arial" w:eastAsia="Arial" w:hAnsi="Arial"/>
                <w:sz w:val="14"/>
                <w:szCs w:val="14"/>
                <w:color w:val="auto"/>
              </w:rPr>
              <w:t>1,233,877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Samlyn Long Alpha Master Fund, Ltd.</w:t>
            </w:r>
            <w:r>
              <w:rPr>
                <w:rFonts w:ascii="Arial" w:cs="Arial" w:eastAsia="Arial" w:hAnsi="Arial"/>
                <w:sz w:val="18"/>
                <w:szCs w:val="18"/>
                <w:color w:val="auto"/>
                <w:vertAlign w:val="superscript"/>
              </w:rPr>
              <w:t>(22)</w:t>
            </w:r>
          </w:p>
        </w:tc>
        <w:tc>
          <w:tcPr>
            <w:tcW w:w="1300" w:type="dxa"/>
            <w:vAlign w:val="bottom"/>
          </w:tcPr>
          <w:p>
            <w:pPr>
              <w:jc w:val="right"/>
              <w:spacing w:after="0"/>
              <w:rPr>
                <w:sz w:val="20"/>
                <w:szCs w:val="20"/>
                <w:color w:val="auto"/>
              </w:rPr>
            </w:pPr>
            <w:r>
              <w:rPr>
                <w:rFonts w:ascii="Arial" w:cs="Arial" w:eastAsia="Arial" w:hAnsi="Arial"/>
                <w:sz w:val="14"/>
                <w:szCs w:val="14"/>
                <w:color w:val="auto"/>
              </w:rPr>
              <w:t>37,367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Samlyn Onshore Fund, LP</w:t>
            </w:r>
            <w:r>
              <w:rPr>
                <w:rFonts w:ascii="Arial" w:cs="Arial" w:eastAsia="Arial" w:hAnsi="Arial"/>
                <w:sz w:val="18"/>
                <w:szCs w:val="18"/>
                <w:color w:val="auto"/>
                <w:vertAlign w:val="superscript"/>
              </w:rPr>
              <w:t>(23)</w:t>
            </w:r>
          </w:p>
        </w:tc>
        <w:tc>
          <w:tcPr>
            <w:tcW w:w="1300" w:type="dxa"/>
            <w:vAlign w:val="bottom"/>
          </w:tcPr>
          <w:p>
            <w:pPr>
              <w:jc w:val="right"/>
              <w:spacing w:after="0"/>
              <w:rPr>
                <w:sz w:val="20"/>
                <w:szCs w:val="20"/>
                <w:color w:val="auto"/>
              </w:rPr>
            </w:pPr>
            <w:r>
              <w:rPr>
                <w:rFonts w:ascii="Arial" w:cs="Arial" w:eastAsia="Arial" w:hAnsi="Arial"/>
                <w:sz w:val="14"/>
                <w:szCs w:val="14"/>
                <w:color w:val="auto"/>
              </w:rPr>
              <w:t>604,225</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FM PWP PIPE Sponsor, LLC</w:t>
            </w:r>
            <w:r>
              <w:rPr>
                <w:rFonts w:ascii="Arial" w:cs="Arial" w:eastAsia="Arial" w:hAnsi="Arial"/>
                <w:sz w:val="18"/>
                <w:szCs w:val="18"/>
                <w:color w:val="auto"/>
                <w:vertAlign w:val="superscript"/>
              </w:rPr>
              <w:t>(24)</w:t>
            </w:r>
          </w:p>
        </w:tc>
        <w:tc>
          <w:tcPr>
            <w:tcW w:w="1300" w:type="dxa"/>
            <w:vAlign w:val="bottom"/>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Tech Opportunities LLC</w:t>
            </w:r>
            <w:r>
              <w:rPr>
                <w:rFonts w:ascii="Arial" w:cs="Arial" w:eastAsia="Arial" w:hAnsi="Arial"/>
                <w:sz w:val="18"/>
                <w:szCs w:val="18"/>
                <w:color w:val="auto"/>
                <w:vertAlign w:val="superscript"/>
              </w:rPr>
              <w:t>(25)</w:t>
            </w:r>
          </w:p>
        </w:tc>
        <w:tc>
          <w:tcPr>
            <w:tcW w:w="130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Fisher Perella Partners LLC</w:t>
            </w:r>
            <w:r>
              <w:rPr>
                <w:rFonts w:ascii="Arial" w:cs="Arial" w:eastAsia="Arial" w:hAnsi="Arial"/>
                <w:sz w:val="18"/>
                <w:szCs w:val="18"/>
                <w:color w:val="auto"/>
                <w:vertAlign w:val="superscript"/>
              </w:rPr>
              <w:t>(26)</w:t>
            </w:r>
          </w:p>
        </w:tc>
        <w:tc>
          <w:tcPr>
            <w:tcW w:w="1300" w:type="dxa"/>
            <w:vAlign w:val="bottom"/>
          </w:tcPr>
          <w:p>
            <w:pPr>
              <w:jc w:val="right"/>
              <w:spacing w:after="0"/>
              <w:rPr>
                <w:sz w:val="20"/>
                <w:szCs w:val="20"/>
                <w:color w:val="auto"/>
              </w:rPr>
            </w:pPr>
            <w:r>
              <w:rPr>
                <w:rFonts w:ascii="Arial" w:cs="Arial" w:eastAsia="Arial" w:hAnsi="Arial"/>
                <w:sz w:val="14"/>
                <w:szCs w:val="14"/>
                <w:color w:val="auto"/>
              </w:rPr>
              <w:t>337,048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line="189" w:lineRule="exact"/>
              <w:rPr>
                <w:sz w:val="20"/>
                <w:szCs w:val="20"/>
                <w:color w:val="auto"/>
              </w:rPr>
            </w:pPr>
            <w:r>
              <w:rPr>
                <w:rFonts w:ascii="Arial" w:cs="Arial" w:eastAsia="Arial" w:hAnsi="Arial"/>
                <w:sz w:val="14"/>
                <w:szCs w:val="14"/>
                <w:color w:val="auto"/>
              </w:rPr>
              <w:t>PWP Professional Partners LP</w:t>
            </w:r>
            <w:r>
              <w:rPr>
                <w:rFonts w:ascii="Arial" w:cs="Arial" w:eastAsia="Arial" w:hAnsi="Arial"/>
                <w:sz w:val="18"/>
                <w:szCs w:val="18"/>
                <w:color w:val="auto"/>
                <w:vertAlign w:val="superscript"/>
              </w:rPr>
              <w:t>(27)</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3320" w:type="dxa"/>
            <w:vAlign w:val="bottom"/>
          </w:tcPr>
          <w:p>
            <w:pPr>
              <w:ind w:left="20"/>
              <w:spacing w:after="0"/>
              <w:rPr>
                <w:sz w:val="20"/>
                <w:szCs w:val="20"/>
                <w:color w:val="auto"/>
              </w:rPr>
            </w:pPr>
            <w:r>
              <w:rPr>
                <w:rFonts w:ascii="Arial" w:cs="Arial" w:eastAsia="Arial" w:hAnsi="Arial"/>
                <w:sz w:val="14"/>
                <w:szCs w:val="14"/>
                <w:color w:val="auto"/>
              </w:rPr>
              <w:t>Red Hook Capital, LLC</w:t>
            </w:r>
            <w:r>
              <w:rPr>
                <w:rFonts w:ascii="Arial" w:cs="Arial" w:eastAsia="Arial" w:hAnsi="Arial"/>
                <w:sz w:val="18"/>
                <w:szCs w:val="18"/>
                <w:color w:val="auto"/>
                <w:vertAlign w:val="superscript"/>
              </w:rPr>
              <w:t>(29)</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1320" w:type="dxa"/>
            <w:vAlign w:val="bottom"/>
          </w:tcPr>
          <w:p>
            <w:pPr>
              <w:jc w:val="right"/>
              <w:spacing w:after="0"/>
              <w:rPr>
                <w:sz w:val="20"/>
                <w:szCs w:val="20"/>
                <w:color w:val="auto"/>
              </w:rPr>
            </w:pPr>
            <w:r>
              <w:rPr>
                <w:rFonts w:ascii="Arial" w:cs="Arial" w:eastAsia="Arial" w:hAnsi="Arial"/>
                <w:sz w:val="14"/>
                <w:szCs w:val="14"/>
                <w:color w:val="auto"/>
              </w:rPr>
              <w:t>1,942,593</w:t>
            </w:r>
          </w:p>
        </w:tc>
      </w:tr>
      <w:tr>
        <w:trPr>
          <w:trHeight w:val="312"/>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4.3 %</w:t>
            </w:r>
          </w:p>
        </w:tc>
        <w:tc>
          <w:tcPr>
            <w:tcW w:w="1320" w:type="dxa"/>
            <w:vAlign w:val="bottom"/>
          </w:tcPr>
          <w:p>
            <w:pPr>
              <w:jc w:val="right"/>
              <w:spacing w:after="0"/>
              <w:rPr>
                <w:sz w:val="20"/>
                <w:szCs w:val="20"/>
                <w:color w:val="auto"/>
              </w:rPr>
            </w:pPr>
            <w:r>
              <w:rPr>
                <w:rFonts w:ascii="Arial" w:cs="Arial" w:eastAsia="Arial" w:hAnsi="Arial"/>
                <w:sz w:val="14"/>
                <w:szCs w:val="14"/>
                <w:color w:val="auto"/>
              </w:rPr>
              <w:t>2,039,500</w:t>
            </w:r>
          </w:p>
        </w:tc>
      </w:tr>
      <w:tr>
        <w:trPr>
          <w:trHeight w:val="324"/>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457,262</w:t>
            </w:r>
          </w:p>
        </w:tc>
      </w:tr>
      <w:tr>
        <w:trPr>
          <w:trHeight w:val="324"/>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3,238</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5.4 %</w:t>
            </w:r>
          </w:p>
        </w:tc>
        <w:tc>
          <w:tcPr>
            <w:tcW w:w="1320" w:type="dxa"/>
            <w:vAlign w:val="bottom"/>
          </w:tcPr>
          <w:p>
            <w:pPr>
              <w:jc w:val="right"/>
              <w:spacing w:after="0"/>
              <w:rPr>
                <w:sz w:val="20"/>
                <w:szCs w:val="20"/>
                <w:color w:val="auto"/>
              </w:rPr>
            </w:pPr>
            <w:r>
              <w:rPr>
                <w:rFonts w:ascii="Arial" w:cs="Arial" w:eastAsia="Arial" w:hAnsi="Arial"/>
                <w:sz w:val="14"/>
                <w:szCs w:val="14"/>
                <w:color w:val="auto"/>
              </w:rPr>
              <w:t>1,500,000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2.6 %</w:t>
            </w:r>
          </w:p>
        </w:tc>
        <w:tc>
          <w:tcPr>
            <w:tcW w:w="1320" w:type="dxa"/>
            <w:vAlign w:val="bottom"/>
          </w:tcPr>
          <w:p>
            <w:pPr>
              <w:jc w:val="right"/>
              <w:spacing w:after="0"/>
              <w:rPr>
                <w:sz w:val="20"/>
                <w:szCs w:val="20"/>
                <w:color w:val="auto"/>
              </w:rPr>
            </w:pPr>
            <w:r>
              <w:rPr>
                <w:rFonts w:ascii="Arial" w:cs="Arial" w:eastAsia="Arial" w:hAnsi="Arial"/>
                <w:sz w:val="14"/>
                <w:szCs w:val="14"/>
                <w:color w:val="auto"/>
              </w:rPr>
              <w:t>1,200,000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2.1 %</w:t>
            </w:r>
          </w:p>
        </w:tc>
        <w:tc>
          <w:tcPr>
            <w:tcW w:w="132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3.5 %</w:t>
            </w:r>
          </w:p>
        </w:tc>
        <w:tc>
          <w:tcPr>
            <w:tcW w:w="1320" w:type="dxa"/>
            <w:vAlign w:val="bottom"/>
          </w:tcPr>
          <w:p>
            <w:pPr>
              <w:jc w:val="right"/>
              <w:spacing w:after="0"/>
              <w:rPr>
                <w:sz w:val="20"/>
                <w:szCs w:val="20"/>
                <w:color w:val="auto"/>
              </w:rPr>
            </w:pPr>
            <w:r>
              <w:rPr>
                <w:rFonts w:ascii="Arial" w:cs="Arial" w:eastAsia="Arial" w:hAnsi="Arial"/>
                <w:sz w:val="14"/>
                <w:szCs w:val="14"/>
                <w:color w:val="auto"/>
              </w:rPr>
              <w:t>850,000</w:t>
            </w:r>
          </w:p>
        </w:tc>
      </w:tr>
      <w:tr>
        <w:trPr>
          <w:trHeight w:val="189"/>
        </w:trPr>
        <w:tc>
          <w:tcPr>
            <w:tcW w:w="440" w:type="dxa"/>
            <w:vAlign w:val="bottom"/>
          </w:tcPr>
          <w:p>
            <w:pPr>
              <w:spacing w:after="0"/>
              <w:rPr>
                <w:sz w:val="20"/>
                <w:szCs w:val="20"/>
                <w:color w:val="auto"/>
              </w:rPr>
            </w:pPr>
            <w:r>
              <w:rPr>
                <w:rFonts w:ascii="Arial" w:cs="Arial" w:eastAsia="Arial" w:hAnsi="Arial"/>
                <w:sz w:val="9"/>
                <w:szCs w:val="9"/>
                <w:color w:val="auto"/>
              </w:rPr>
              <w:t>(8)</w:t>
            </w:r>
          </w:p>
        </w:tc>
        <w:tc>
          <w:tcPr>
            <w:tcW w:w="920" w:type="dxa"/>
            <w:vAlign w:val="bottom"/>
          </w:tcPr>
          <w:p>
            <w:pPr>
              <w:jc w:val="right"/>
              <w:spacing w:after="0"/>
              <w:rPr>
                <w:sz w:val="20"/>
                <w:szCs w:val="20"/>
                <w:color w:val="auto"/>
              </w:rPr>
            </w:pPr>
            <w:r>
              <w:rPr>
                <w:rFonts w:ascii="Arial" w:cs="Arial" w:eastAsia="Arial" w:hAnsi="Arial"/>
                <w:sz w:val="14"/>
                <w:szCs w:val="14"/>
                <w:color w:val="auto"/>
              </w:rPr>
              <w:t>2.8 %</w:t>
            </w:r>
          </w:p>
        </w:tc>
        <w:tc>
          <w:tcPr>
            <w:tcW w:w="1320" w:type="dxa"/>
            <w:vAlign w:val="bottom"/>
          </w:tcPr>
          <w:p>
            <w:pPr>
              <w:jc w:val="right"/>
              <w:spacing w:after="0"/>
              <w:rPr>
                <w:sz w:val="20"/>
                <w:szCs w:val="20"/>
                <w:color w:val="auto"/>
              </w:rPr>
            </w:pPr>
            <w:r>
              <w:rPr>
                <w:rFonts w:ascii="Arial" w:cs="Arial" w:eastAsia="Arial" w:hAnsi="Arial"/>
                <w:sz w:val="14"/>
                <w:szCs w:val="14"/>
                <w:color w:val="auto"/>
              </w:rPr>
              <w:t>350,000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1.5 %</w:t>
            </w:r>
          </w:p>
        </w:tc>
        <w:tc>
          <w:tcPr>
            <w:tcW w:w="1320" w:type="dxa"/>
            <w:vAlign w:val="bottom"/>
          </w:tcPr>
          <w:p>
            <w:pPr>
              <w:jc w:val="right"/>
              <w:spacing w:after="0"/>
              <w:rPr>
                <w:sz w:val="20"/>
                <w:szCs w:val="20"/>
                <w:color w:val="auto"/>
              </w:rPr>
            </w:pPr>
            <w:r>
              <w:rPr>
                <w:rFonts w:ascii="Arial" w:cs="Arial" w:eastAsia="Arial" w:hAnsi="Arial"/>
                <w:sz w:val="14"/>
                <w:szCs w:val="14"/>
                <w:color w:val="auto"/>
              </w:rPr>
              <w:t>700,000</w:t>
            </w:r>
          </w:p>
        </w:tc>
      </w:tr>
      <w:tr>
        <w:trPr>
          <w:trHeight w:val="189"/>
        </w:trPr>
        <w:tc>
          <w:tcPr>
            <w:tcW w:w="440" w:type="dxa"/>
            <w:vAlign w:val="bottom"/>
          </w:tcPr>
          <w:p>
            <w:pPr>
              <w:spacing w:after="0"/>
              <w:rPr>
                <w:sz w:val="20"/>
                <w:szCs w:val="20"/>
                <w:color w:val="auto"/>
              </w:rPr>
            </w:pPr>
            <w:r>
              <w:rPr>
                <w:rFonts w:ascii="Arial" w:cs="Arial" w:eastAsia="Arial" w:hAnsi="Arial"/>
                <w:sz w:val="9"/>
                <w:szCs w:val="9"/>
                <w:color w:val="auto"/>
              </w:rPr>
              <w:t>(11)</w:t>
            </w:r>
          </w:p>
        </w:tc>
        <w:tc>
          <w:tcPr>
            <w:tcW w:w="920" w:type="dxa"/>
            <w:vAlign w:val="bottom"/>
          </w:tcPr>
          <w:p>
            <w:pPr>
              <w:jc w:val="right"/>
              <w:spacing w:after="0"/>
              <w:rPr>
                <w:sz w:val="20"/>
                <w:szCs w:val="20"/>
                <w:color w:val="auto"/>
              </w:rPr>
            </w:pPr>
            <w:r>
              <w:rPr>
                <w:rFonts w:ascii="Arial" w:cs="Arial" w:eastAsia="Arial" w:hAnsi="Arial"/>
                <w:sz w:val="14"/>
                <w:szCs w:val="14"/>
                <w:color w:val="auto"/>
              </w:rPr>
              <w:t>5.1 %</w:t>
            </w:r>
          </w:p>
        </w:tc>
        <w:tc>
          <w:tcPr>
            <w:tcW w:w="1320" w:type="dxa"/>
            <w:vAlign w:val="bottom"/>
          </w:tcPr>
          <w:p>
            <w:pPr>
              <w:jc w:val="right"/>
              <w:spacing w:after="0"/>
              <w:rPr>
                <w:sz w:val="20"/>
                <w:szCs w:val="20"/>
                <w:color w:val="auto"/>
              </w:rPr>
            </w:pPr>
            <w:r>
              <w:rPr>
                <w:rFonts w:ascii="Arial" w:cs="Arial" w:eastAsia="Arial" w:hAnsi="Arial"/>
                <w:sz w:val="14"/>
                <w:szCs w:val="14"/>
                <w:color w:val="auto"/>
              </w:rPr>
              <w:t>761,319</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1.0 %</w:t>
            </w:r>
          </w:p>
        </w:tc>
        <w:tc>
          <w:tcPr>
            <w:tcW w:w="1320" w:type="dxa"/>
            <w:vAlign w:val="bottom"/>
          </w:tcPr>
          <w:p>
            <w:pPr>
              <w:jc w:val="right"/>
              <w:spacing w:after="0"/>
              <w:rPr>
                <w:sz w:val="20"/>
                <w:szCs w:val="20"/>
                <w:color w:val="auto"/>
              </w:rPr>
            </w:pPr>
            <w:r>
              <w:rPr>
                <w:rFonts w:ascii="Arial" w:cs="Arial" w:eastAsia="Arial" w:hAnsi="Arial"/>
                <w:sz w:val="14"/>
                <w:szCs w:val="14"/>
                <w:color w:val="auto"/>
              </w:rPr>
              <w:t>227,240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134,610</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6.5 %</w:t>
            </w:r>
          </w:p>
        </w:tc>
        <w:tc>
          <w:tcPr>
            <w:tcW w:w="1320" w:type="dxa"/>
            <w:vAlign w:val="bottom"/>
          </w:tcPr>
          <w:p>
            <w:pPr>
              <w:jc w:val="right"/>
              <w:spacing w:after="0"/>
              <w:rPr>
                <w:sz w:val="20"/>
                <w:szCs w:val="20"/>
                <w:color w:val="auto"/>
              </w:rPr>
            </w:pPr>
            <w:r>
              <w:rPr>
                <w:rFonts w:ascii="Arial" w:cs="Arial" w:eastAsia="Arial" w:hAnsi="Arial"/>
                <w:sz w:val="14"/>
                <w:szCs w:val="14"/>
                <w:color w:val="auto"/>
              </w:rPr>
              <w:t>1,069,504</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447,985</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79,184</w:t>
            </w:r>
          </w:p>
        </w:tc>
      </w:tr>
      <w:tr>
        <w:trPr>
          <w:trHeight w:val="189"/>
        </w:trPr>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1.4 %</w:t>
            </w:r>
          </w:p>
        </w:tc>
        <w:tc>
          <w:tcPr>
            <w:tcW w:w="1320" w:type="dxa"/>
            <w:vAlign w:val="bottom"/>
          </w:tcPr>
          <w:p>
            <w:pPr>
              <w:jc w:val="right"/>
              <w:spacing w:after="0"/>
              <w:rPr>
                <w:sz w:val="20"/>
                <w:szCs w:val="20"/>
                <w:color w:val="auto"/>
              </w:rPr>
            </w:pPr>
            <w:r>
              <w:rPr>
                <w:rFonts w:ascii="Arial" w:cs="Arial" w:eastAsia="Arial" w:hAnsi="Arial"/>
                <w:sz w:val="14"/>
                <w:szCs w:val="14"/>
                <w:color w:val="auto"/>
              </w:rPr>
              <w:t>658,196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-1963420</wp:posOffset>
            </wp:positionV>
            <wp:extent cx="7132320" cy="2057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-1551940</wp:posOffset>
            </wp:positionV>
            <wp:extent cx="7132320" cy="1200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-1311910</wp:posOffset>
            </wp:positionV>
            <wp:extent cx="7132320" cy="1200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-1071880</wp:posOffset>
            </wp:positionV>
            <wp:extent cx="7132320" cy="1200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-831850</wp:posOffset>
            </wp:positionV>
            <wp:extent cx="7132320"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-591820</wp:posOffset>
            </wp:positionV>
            <wp:extent cx="7132320" cy="1200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-351790</wp:posOffset>
            </wp:positionV>
            <wp:extent cx="7132320" cy="120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-111760</wp:posOffset>
            </wp:positionV>
            <wp:extent cx="7132320" cy="1200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22" w:lineRule="exact"/>
        <w:rPr>
          <w:sz w:val="20"/>
          <w:szCs w:val="20"/>
          <w:color w:val="auto"/>
        </w:rPr>
      </w:pPr>
    </w:p>
    <w:p>
      <w:pPr>
        <w:jc w:val="right"/>
        <w:spacing w:after="0"/>
        <w:tabs>
          <w:tab w:leader="none" w:pos="560" w:val="left"/>
        </w:tabs>
        <w:rPr>
          <w:sz w:val="20"/>
          <w:szCs w:val="20"/>
          <w:color w:val="auto"/>
        </w:rPr>
      </w:pPr>
      <w:r>
        <w:rPr>
          <w:rFonts w:ascii="Arial" w:cs="Arial" w:eastAsia="Arial" w:hAnsi="Arial"/>
          <w:sz w:val="14"/>
          <w:szCs w:val="14"/>
          <w:color w:val="auto"/>
        </w:rPr>
        <w:t>2.3 %</w:t>
      </w:r>
      <w:r>
        <w:rPr>
          <w:sz w:val="20"/>
          <w:szCs w:val="20"/>
          <w:color w:val="auto"/>
        </w:rPr>
        <w:tab/>
      </w:r>
      <w:r>
        <w:rPr>
          <w:rFonts w:ascii="Arial" w:cs="Arial" w:eastAsia="Arial" w:hAnsi="Arial"/>
          <w:sz w:val="13"/>
          <w:szCs w:val="13"/>
          <w:color w:val="auto"/>
        </w:rPr>
        <w:t>1,090,425</w:t>
      </w:r>
    </w:p>
    <w:p>
      <w:pPr>
        <w:spacing w:after="0" w:line="28" w:lineRule="exact"/>
        <w:rPr>
          <w:sz w:val="20"/>
          <w:szCs w:val="20"/>
          <w:color w:val="auto"/>
        </w:rPr>
      </w:pPr>
    </w:p>
    <w:p>
      <w:pPr>
        <w:ind w:left="2220" w:hanging="940"/>
        <w:spacing w:after="0"/>
        <w:tabs>
          <w:tab w:leader="none" w:pos="22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341,804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-83820</wp:posOffset>
            </wp:positionV>
            <wp:extent cx="7132320" cy="1200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6" w:lineRule="exact"/>
        <w:rPr>
          <w:sz w:val="20"/>
          <w:szCs w:val="20"/>
          <w:color w:val="auto"/>
        </w:rPr>
      </w:pPr>
    </w:p>
    <w:p>
      <w:pPr>
        <w:jc w:val="right"/>
        <w:spacing w:after="0"/>
        <w:tabs>
          <w:tab w:leader="none" w:pos="560" w:val="left"/>
        </w:tabs>
        <w:rPr>
          <w:sz w:val="20"/>
          <w:szCs w:val="20"/>
          <w:color w:val="auto"/>
        </w:rPr>
      </w:pPr>
      <w:r>
        <w:rPr>
          <w:rFonts w:ascii="Arial" w:cs="Arial" w:eastAsia="Arial" w:hAnsi="Arial"/>
          <w:sz w:val="14"/>
          <w:szCs w:val="14"/>
          <w:color w:val="auto"/>
        </w:rPr>
        <w:t>3.6 %</w:t>
      </w:r>
      <w:r>
        <w:rPr>
          <w:sz w:val="20"/>
          <w:szCs w:val="20"/>
          <w:color w:val="auto"/>
        </w:rPr>
        <w:tab/>
      </w:r>
      <w:r>
        <w:rPr>
          <w:rFonts w:ascii="Arial" w:cs="Arial" w:eastAsia="Arial" w:hAnsi="Arial"/>
          <w:sz w:val="13"/>
          <w:szCs w:val="13"/>
          <w:color w:val="auto"/>
        </w:rPr>
        <w:t>1,676,064</w:t>
      </w:r>
    </w:p>
    <w:p>
      <w:pPr>
        <w:spacing w:after="0" w:line="2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1.5 %</w:t>
      </w:r>
      <w:r>
        <w:rPr>
          <w:sz w:val="20"/>
          <w:szCs w:val="20"/>
          <w:color w:val="auto"/>
        </w:rPr>
        <w:tab/>
      </w:r>
      <w:r>
        <w:rPr>
          <w:rFonts w:ascii="Arial" w:cs="Arial" w:eastAsia="Arial" w:hAnsi="Arial"/>
          <w:sz w:val="12"/>
          <w:szCs w:val="12"/>
          <w:color w:val="auto"/>
        </w:rPr>
        <w:t>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-98425</wp:posOffset>
            </wp:positionV>
            <wp:extent cx="7132320" cy="1200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2.2 %</w:t>
      </w:r>
      <w:r>
        <w:rPr>
          <w:sz w:val="20"/>
          <w:szCs w:val="20"/>
          <w:color w:val="auto"/>
        </w:rPr>
        <w:tab/>
      </w:r>
      <w:r>
        <w:rPr>
          <w:rFonts w:ascii="Arial" w:cs="Arial" w:eastAsia="Arial" w:hAnsi="Arial"/>
          <w:sz w:val="12"/>
          <w:szCs w:val="12"/>
          <w:color w:val="auto"/>
        </w:rPr>
        <w:t>443,066</w:t>
      </w:r>
    </w:p>
    <w:p>
      <w:pPr>
        <w:spacing w:after="0" w:line="2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1.1 %</w:t>
      </w:r>
      <w:r>
        <w:rPr>
          <w:sz w:val="20"/>
          <w:szCs w:val="20"/>
          <w:color w:val="auto"/>
        </w:rPr>
        <w:tab/>
      </w:r>
      <w:r>
        <w:rPr>
          <w:rFonts w:ascii="Arial" w:cs="Arial" w:eastAsia="Arial" w:hAnsi="Arial"/>
          <w:sz w:val="12"/>
          <w:szCs w:val="12"/>
          <w:color w:val="auto"/>
        </w:rPr>
        <w:t>221,534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-98425</wp:posOffset>
            </wp:positionV>
            <wp:extent cx="7132320" cy="1200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220" w:hanging="940"/>
        <w:spacing w:after="0"/>
        <w:tabs>
          <w:tab w:leader="none" w:pos="22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250,000</w:t>
      </w:r>
    </w:p>
    <w:p>
      <w:pPr>
        <w:spacing w:after="0" w:line="51" w:lineRule="exact"/>
        <w:rPr>
          <w:rFonts w:ascii="Arial" w:cs="Arial" w:eastAsia="Arial" w:hAnsi="Arial"/>
          <w:sz w:val="12"/>
          <w:szCs w:val="12"/>
          <w:color w:val="auto"/>
        </w:rPr>
      </w:pPr>
    </w:p>
    <w:p>
      <w:pPr>
        <w:ind w:left="2220" w:hanging="940"/>
        <w:spacing w:after="0"/>
        <w:tabs>
          <w:tab w:leader="none" w:pos="22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-83820</wp:posOffset>
            </wp:positionV>
            <wp:extent cx="7132320" cy="1200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1"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1.9 %</w:t>
      </w:r>
      <w:r>
        <w:rPr>
          <w:sz w:val="20"/>
          <w:szCs w:val="20"/>
          <w:color w:val="auto"/>
        </w:rPr>
        <w:tab/>
      </w:r>
      <w:r>
        <w:rPr>
          <w:rFonts w:ascii="Arial" w:cs="Arial" w:eastAsia="Arial" w:hAnsi="Arial"/>
          <w:sz w:val="12"/>
          <w:szCs w:val="12"/>
          <w:color w:val="auto"/>
        </w:rPr>
        <w:t>316,476</w:t>
      </w:r>
    </w:p>
    <w:p>
      <w:pPr>
        <w:spacing w:after="0" w:line="2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3.3 %</w:t>
      </w:r>
      <w:r>
        <w:rPr>
          <w:sz w:val="20"/>
          <w:szCs w:val="20"/>
          <w:color w:val="auto"/>
        </w:rPr>
        <w:tab/>
      </w:r>
      <w:r>
        <w:rPr>
          <w:rFonts w:ascii="Arial" w:cs="Arial" w:eastAsia="Arial" w:hAnsi="Arial"/>
          <w:sz w:val="12"/>
          <w:szCs w:val="12"/>
          <w:color w:val="auto"/>
        </w:rPr>
        <w:t>230,250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-98425</wp:posOffset>
            </wp:positionV>
            <wp:extent cx="7132320" cy="1200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2.6 %</w:t>
      </w:r>
      <w:r>
        <w:rPr>
          <w:sz w:val="20"/>
          <w:szCs w:val="20"/>
          <w:color w:val="auto"/>
        </w:rPr>
        <w:tab/>
      </w:r>
      <w:r>
        <w:rPr>
          <w:rFonts w:ascii="Arial" w:cs="Arial" w:eastAsia="Arial" w:hAnsi="Arial"/>
          <w:sz w:val="12"/>
          <w:szCs w:val="12"/>
          <w:color w:val="auto"/>
        </w:rPr>
        <w:t>182,450</w:t>
      </w:r>
    </w:p>
    <w:p>
      <w:pPr>
        <w:spacing w:after="0" w:line="28" w:lineRule="exact"/>
        <w:rPr>
          <w:sz w:val="20"/>
          <w:szCs w:val="20"/>
          <w:color w:val="auto"/>
        </w:rPr>
      </w:pPr>
    </w:p>
    <w:p>
      <w:pPr>
        <w:ind w:left="2360" w:hanging="1080"/>
        <w:spacing w:after="0"/>
        <w:tabs>
          <w:tab w:leader="none" w:pos="23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-83820</wp:posOffset>
            </wp:positionV>
            <wp:extent cx="7132320" cy="1200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1" w:lineRule="exact"/>
        <w:rPr>
          <w:sz w:val="20"/>
          <w:szCs w:val="20"/>
          <w:color w:val="auto"/>
        </w:rPr>
      </w:pPr>
    </w:p>
    <w:p>
      <w:pPr>
        <w:jc w:val="right"/>
        <w:spacing w:after="0"/>
        <w:tabs>
          <w:tab w:leader="none" w:pos="380" w:val="left"/>
        </w:tabs>
        <w:rPr>
          <w:sz w:val="20"/>
          <w:szCs w:val="20"/>
          <w:color w:val="auto"/>
        </w:rPr>
      </w:pPr>
      <w:r>
        <w:rPr>
          <w:rFonts w:ascii="Arial" w:cs="Arial" w:eastAsia="Arial" w:hAnsi="Arial"/>
          <w:sz w:val="14"/>
          <w:szCs w:val="14"/>
          <w:color w:val="auto"/>
        </w:rPr>
        <w:t>1.3 %</w:t>
      </w:r>
      <w:r>
        <w:rPr>
          <w:sz w:val="20"/>
          <w:szCs w:val="20"/>
          <w:color w:val="auto"/>
        </w:rPr>
        <w:tab/>
      </w:r>
      <w:r>
        <w:rPr>
          <w:rFonts w:ascii="Arial" w:cs="Arial" w:eastAsia="Arial" w:hAnsi="Arial"/>
          <w:sz w:val="13"/>
          <w:szCs w:val="13"/>
          <w:color w:val="auto"/>
        </w:rPr>
        <w:t>81,750</w:t>
      </w:r>
    </w:p>
    <w:p>
      <w:pPr>
        <w:spacing w:after="0" w:line="28" w:lineRule="exact"/>
        <w:rPr>
          <w:sz w:val="20"/>
          <w:szCs w:val="20"/>
          <w:color w:val="auto"/>
        </w:rPr>
      </w:pPr>
    </w:p>
    <w:p>
      <w:pPr>
        <w:ind w:left="2220" w:hanging="940"/>
        <w:spacing w:after="0"/>
        <w:tabs>
          <w:tab w:leader="none" w:pos="22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150,000</w:t>
      </w:r>
    </w:p>
    <w:p>
      <w:pPr>
        <w:spacing w:after="0" w:line="51" w:lineRule="exact"/>
        <w:rPr>
          <w:rFonts w:ascii="Arial" w:cs="Arial" w:eastAsia="Arial" w:hAnsi="Arial"/>
          <w:sz w:val="12"/>
          <w:szCs w:val="12"/>
          <w:color w:val="auto"/>
        </w:rPr>
      </w:pPr>
    </w:p>
    <w:p>
      <w:pPr>
        <w:ind w:left="2220" w:hanging="940"/>
        <w:spacing w:after="0"/>
        <w:tabs>
          <w:tab w:leader="none" w:pos="22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100,000</w:t>
      </w:r>
    </w:p>
    <w:p>
      <w:pPr>
        <w:spacing w:after="0" w:line="51" w:lineRule="exact"/>
        <w:rPr>
          <w:rFonts w:ascii="Arial" w:cs="Arial" w:eastAsia="Arial" w:hAnsi="Arial"/>
          <w:sz w:val="12"/>
          <w:szCs w:val="12"/>
          <w:color w:val="auto"/>
        </w:rPr>
      </w:pPr>
    </w:p>
    <w:p>
      <w:pPr>
        <w:ind w:left="2220" w:hanging="940"/>
        <w:spacing w:after="0"/>
        <w:tabs>
          <w:tab w:leader="none" w:pos="2220" w:val="left"/>
        </w:tabs>
        <w:numPr>
          <w:ilvl w:val="1"/>
          <w:numId w:val="76"/>
        </w:numPr>
        <w:rPr>
          <w:rFonts w:ascii="Arial" w:cs="Arial" w:eastAsia="Arial" w:hAnsi="Arial"/>
          <w:sz w:val="12"/>
          <w:szCs w:val="12"/>
          <w:color w:val="auto"/>
        </w:rPr>
      </w:pPr>
      <w:r>
        <w:rPr>
          <w:rFonts w:ascii="Arial" w:cs="Arial" w:eastAsia="Arial" w:hAnsi="Arial"/>
          <w:sz w:val="12"/>
          <w:szCs w:val="12"/>
          <w:color w:val="auto"/>
        </w:rPr>
        <w:t>337,048</w:t>
      </w:r>
    </w:p>
    <w:p>
      <w:pPr>
        <w:spacing w:after="0" w:line="51" w:lineRule="exact"/>
        <w:rPr>
          <w:rFonts w:ascii="Arial" w:cs="Arial" w:eastAsia="Arial" w:hAnsi="Arial"/>
          <w:sz w:val="12"/>
          <w:szCs w:val="12"/>
          <w:color w:val="auto"/>
        </w:rPr>
      </w:pPr>
    </w:p>
    <w:p>
      <w:pPr>
        <w:ind w:left="1040"/>
        <w:spacing w:after="0"/>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2"/>
          <w:szCs w:val="12"/>
          <w:color w:val="auto"/>
        </w:rPr>
        <w:t>44,399,264</w:t>
      </w:r>
    </w:p>
    <w:p>
      <w:pPr>
        <w:spacing w:after="0" w:line="28" w:lineRule="exact"/>
        <w:rPr>
          <w:rFonts w:ascii="Arial" w:cs="Arial" w:eastAsia="Arial" w:hAnsi="Arial"/>
          <w:sz w:val="12"/>
          <w:szCs w:val="12"/>
          <w:color w:val="auto"/>
        </w:rPr>
      </w:pPr>
    </w:p>
    <w:p>
      <w:pPr>
        <w:ind w:left="1040"/>
        <w:spacing w:after="0"/>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2"/>
          <w:szCs w:val="12"/>
          <w:color w:val="auto"/>
        </w:rPr>
        <w:t>842,622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-578485</wp:posOffset>
            </wp:positionV>
            <wp:extent cx="7132320" cy="1200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-338455</wp:posOffset>
            </wp:positionV>
            <wp:extent cx="7132320" cy="1200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-98425</wp:posOffset>
            </wp:positionV>
            <wp:extent cx="7132320" cy="1200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312"/>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4.3 %</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24"/>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24"/>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1,038,768</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793,383</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958,580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1,658,088</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256,993</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147,334</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1,991,111</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24"/>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324"/>
        </w:trPr>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298,158</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564,516</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282,259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10,186</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572,581</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1,310,795</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1,051,427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31,817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522,475</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jc w:val="right"/>
              <w:ind w:right="233"/>
              <w:spacing w:after="0"/>
              <w:rPr>
                <w:sz w:val="20"/>
                <w:szCs w:val="20"/>
                <w:color w:val="auto"/>
              </w:rPr>
            </w:pPr>
            <w:r>
              <w:rPr>
                <w:rFonts w:ascii="Arial" w:cs="Arial" w:eastAsia="Arial" w:hAnsi="Arial"/>
                <w:sz w:val="9"/>
                <w:szCs w:val="9"/>
                <w:color w:val="auto"/>
                <w:w w:val="87"/>
              </w:rPr>
              <w:t>(28)</w:t>
            </w:r>
          </w:p>
        </w:tc>
        <w:tc>
          <w:tcPr>
            <w:tcW w:w="940" w:type="dxa"/>
            <w:vAlign w:val="bottom"/>
          </w:tcPr>
          <w:p>
            <w:pPr>
              <w:jc w:val="right"/>
              <w:spacing w:after="0"/>
              <w:rPr>
                <w:sz w:val="20"/>
                <w:szCs w:val="20"/>
                <w:color w:val="auto"/>
              </w:rPr>
            </w:pPr>
            <w:r>
              <w:rPr>
                <w:rFonts w:ascii="Arial" w:cs="Arial" w:eastAsia="Arial" w:hAnsi="Arial"/>
                <w:sz w:val="14"/>
                <w:szCs w:val="14"/>
                <w:color w:val="auto"/>
              </w:rPr>
              <w:t>48.6 %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tcPr>
          <w:p>
            <w:pPr>
              <w:jc w:val="right"/>
              <w:ind w:right="233"/>
              <w:spacing w:after="0"/>
              <w:rPr>
                <w:sz w:val="20"/>
                <w:szCs w:val="20"/>
                <w:color w:val="auto"/>
              </w:rPr>
            </w:pPr>
            <w:r>
              <w:rPr>
                <w:rFonts w:ascii="Arial" w:cs="Arial" w:eastAsia="Arial" w:hAnsi="Arial"/>
                <w:sz w:val="9"/>
                <w:szCs w:val="9"/>
                <w:color w:val="auto"/>
                <w:w w:val="87"/>
              </w:rPr>
              <w:t>(28)</w:t>
            </w:r>
          </w:p>
        </w:tc>
        <w:tc>
          <w:tcPr>
            <w:tcW w:w="94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r>
    </w:tbl>
    <w:p>
      <w:pPr>
        <w:spacing w:after="0" w:line="88" w:lineRule="exact"/>
        <w:rPr>
          <w:sz w:val="20"/>
          <w:szCs w:val="20"/>
          <w:color w:val="auto"/>
        </w:rPr>
      </w:pPr>
    </w:p>
    <w:p>
      <w:pPr>
        <w:sectPr>
          <w:pgSz w:w="11900" w:h="16838" w:orient="portrait"/>
          <w:cols w:equalWidth="0" w:num="3">
            <w:col w:w="4620" w:space="80"/>
            <w:col w:w="2680" w:space="80"/>
            <w:col w:w="378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upon 46,939,793 shares of Class A common stock outstanding as of February 28, 2022.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address for the Selling Holder is 2929 Arch Street, Suite 1703, Philadelphia, PA 19104.</w:t>
      </w:r>
    </w:p>
    <w:p>
      <w:pPr>
        <w:spacing w:after="0" w:line="1" w:lineRule="exact"/>
        <w:rPr>
          <w:rFonts w:ascii="Arial" w:cs="Arial" w:eastAsia="Arial" w:hAnsi="Arial"/>
          <w:sz w:val="14"/>
          <w:szCs w:val="14"/>
          <w:color w:val="auto"/>
        </w:rPr>
      </w:pPr>
    </w:p>
    <w:p>
      <w:pPr>
        <w:ind w:left="340" w:right="140" w:hanging="332"/>
        <w:spacing w:after="0" w:line="246" w:lineRule="auto"/>
        <w:tabs>
          <w:tab w:leader="none" w:pos="332"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These accounts are managed by direct or indirect subsidiaries of FMR LLC. FMR LLC may be deemed to beneficially own 3,750,439 shares of the Company’s Class A common stock, including on behalf of entities and accounts not listed above as Selling Holders, based on the Schedule 13G filed by FMR LLC with the SEC on February 9, 2022.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line="139" w:lineRule="exact"/>
        <w:rPr>
          <w:sz w:val="20"/>
          <w:szCs w:val="20"/>
          <w:color w:val="auto"/>
        </w:rPr>
      </w:pPr>
    </w:p>
    <w:p>
      <w:pPr>
        <w:ind w:left="332" w:right="20"/>
        <w:spacing w:after="0" w:line="262" w:lineRule="auto"/>
        <w:rPr>
          <w:sz w:val="20"/>
          <w:szCs w:val="20"/>
          <w:color w:val="auto"/>
        </w:rPr>
      </w:pPr>
      <w:r>
        <w:rPr>
          <w:rFonts w:ascii="Arial" w:cs="Arial" w:eastAsia="Arial" w:hAnsi="Arial"/>
          <w:sz w:val="13"/>
          <w:szCs w:val="13"/>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for Fidelity Securities Fund: Fidelity Small Cap Growth Fund is c/o Brown Brothers Harriman &amp; Co., Attn: Corporate Actions /Vault, 140 Broadway, New York, NY 10005. The address for Fidelity Securities Fund: Fidelity Small Cap Growth K6 Fund is c/o BNY Mellon, PO Box 392002, Pittsburgh PA 15230. The address for Fidelity Capital Trust: Fidelity Flex Small Cap Fund - Small Cap Growth Subportfolio is c/o State Street Bank &amp; Trust, PO Box 5756, Boston, Massachusetts 02206, Attn: ISLANDMOORING CO FBO Fidelity Capital Trust: Fidelity Flex Small Cap Fund - Small Cap Growth Subportfolio.</w:t>
      </w:r>
    </w:p>
    <w:p>
      <w:pPr>
        <w:spacing w:after="0" w:line="1" w:lineRule="exact"/>
        <w:rPr>
          <w:sz w:val="20"/>
          <w:szCs w:val="20"/>
          <w:color w:val="auto"/>
        </w:rPr>
      </w:pPr>
    </w:p>
    <w:p>
      <w:pPr>
        <w:ind w:left="332" w:right="160" w:hanging="332"/>
        <w:spacing w:after="0" w:line="260"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amount of shares of the Company’s Class A common stock beneficially owned by Adage Capital Partners, L.P., a Delaware limited partnership (the “Fund”) is based on a Schedule 13G/A filed by the Fund, ACPGP, AC Advisors, Robert Atchinson and Phillip Gross with the SEC on February 10, 2022. The securities to which this filing relates are held directly by the Fund. ACPGP serves as the general partner of the Fund and as such has discretion over the portfolio securities beneficially owned by the Fund. AC Advisors is the managing member of ACPGP and directs ACPGP’s operations. Robert Atchinson and Phillip Gross are the managing members of ACPGP and AC Advisors and general partners of the Fund. Each of the reporting persons disclaims beneficial ownership of the securities reported herein for purposes of Section 16 of the Exchange Act, except as to such extent of such reporting person’s pecuniary interest in the securities. The address for Adage Capital Partners, L.P. is 200 Clarendon St, 52nd Floor, Boston, MA 02116.</w:t>
      </w:r>
    </w:p>
    <w:p>
      <w:pPr>
        <w:ind w:left="332" w:right="4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Pursuant to a portfolio management agreement, Citadel Advisors LLC, an investment advisor registered under the U.S. Investment Advisers Act of 1940 (“CAL”), holds the voting and dispositive power with respect to the shares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stock through their control of CAL and/or certain other affiliated entities. The address for Citadel Multi-Strategy Equities Master Fund Ltd. is c/o Citadel Enterprise Americas LLC, 131 South Dearborn Street, Chicago, Illinois 60603.</w:t>
      </w:r>
    </w:p>
    <w:p>
      <w:pPr>
        <w:spacing w:after="0" w:line="1" w:lineRule="exact"/>
        <w:rPr>
          <w:rFonts w:ascii="Arial" w:cs="Arial" w:eastAsia="Arial" w:hAnsi="Arial"/>
          <w:sz w:val="14"/>
          <w:szCs w:val="14"/>
          <w:color w:val="auto"/>
        </w:rPr>
      </w:pPr>
    </w:p>
    <w:p>
      <w:pPr>
        <w:ind w:left="332" w:right="32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Korea Investment Holdings Co., Ltd. may exercise voting or dispositive power over the securities held by Korea Investment &amp; Securities Co., Ltd. The address for Korea Investment &amp; Securities Co., Ltd. is 88,Uisadang-daero, Yeongdeungpo-gu, Seoul 07321 Korea.</w:t>
      </w:r>
    </w:p>
    <w:p>
      <w:pPr>
        <w:ind w:left="332" w:hanging="332"/>
        <w:spacing w:after="0" w:line="260"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color w:val="auto"/>
        </w:rPr>
        <w:t>Does not include 40,096 shares of the Company’s Class A common stock beneficially owned by ICS Opportunities, Ltd., an exempted company organized under the laws of the Cayman Islands (“ICS Opportunities”) and 800 shares of the Company’s Class A common stock beneficially owned by Integrated Assets, Ltd. (“Integrated Assets”) based on the Millennium 13G (as defined below). Millennium International Management LP, a Delaware limited partnership (“Millennium International Management”), is the investment manager to ICS Opportunities and Integrated Assets and may be deemed to have shared voting control and investment discretion over securities owned by ICS Opportunities and Integrated Assets. Millennium Management LLC, a Delaware limited liability company (“Millennium Management”), is the general partner of the managing member of Integrated Core Strategies (US) LLC, a Delaware limited liability company (“Integrated Core Strategies”) and Riverview Group LLC, a Delaware limited liability company (“Riverview Group”) and may be deemed to have shared voting control and investment discretion over securities owned by Integrated Core Strategies and Riverview Group. Millennium Management is also the general partner of the 100% owner of ICS Opportunities and Integrated Assets and may also be deemed to have shared voting control and investment discretion over securities owned by ICS Opportunities and Integrated Assets.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Integrated Assets.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Integrated Assets. The address for Integrated Core Strategies and Riverview Group is c/o Millennium Management LLC, 399 Park Avenue, New York, NY 10022.</w:t>
      </w:r>
    </w:p>
    <w:p>
      <w:pPr>
        <w:ind w:left="332" w:right="120" w:hanging="332"/>
        <w:spacing w:after="0" w:line="241" w:lineRule="auto"/>
        <w:tabs>
          <w:tab w:leader="none" w:pos="3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a Schedule 13G/A filed by Integrated Core Strategies, Riverview Group, ICS Opportunities, Integrated Assets, Millennium International Management, Millennium Management, Millennium Group Management and Mr. Englander with the SEC on February 11, 2022 (the “Millennium 13G”).</w:t>
      </w:r>
    </w:p>
    <w:p>
      <w:pPr>
        <w:ind w:left="332" w:right="80" w:hanging="332"/>
        <w:spacing w:after="0" w:line="260" w:lineRule="auto"/>
        <w:tabs>
          <w:tab w:leader="none" w:pos="324" w:val="left"/>
        </w:tabs>
        <w:numPr>
          <w:ilvl w:val="0"/>
          <w:numId w:val="79"/>
        </w:numPr>
        <w:rPr>
          <w:rFonts w:ascii="Arial" w:cs="Arial" w:eastAsia="Arial" w:hAnsi="Arial"/>
          <w:sz w:val="13"/>
          <w:szCs w:val="13"/>
          <w:color w:val="auto"/>
        </w:rPr>
      </w:pPr>
      <w:r>
        <w:rPr>
          <w:rFonts w:ascii="Arial" w:cs="Arial" w:eastAsia="Arial" w:hAnsi="Arial"/>
          <w:sz w:val="13"/>
          <w:szCs w:val="13"/>
          <w:color w:val="auto"/>
        </w:rPr>
        <w:t>Ghisallo Master Fund LP is managed by Ghisallo Capital Management LLC. Michael Germino is a managing member of Ghisallo Capital Management LLC and has voting and investment control over the securities held by Ghisallo Master Fund LP. The address for Ghisallo Master Fund LP is 27 Hospital Road, Grand Cayman, Cayman Islands KY1-9008.</w:t>
      </w:r>
    </w:p>
    <w:p>
      <w:pPr>
        <w:ind w:left="332" w:right="2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Wellington Management Company LLP, a subsidiary of Wellington Management Group LLP, is the investment manager of Bay Pond Partners, L.P., Ithan Creek Master Investors (Cayman) L.P. and Bay Pond Investors (Bermuda) L.P. (the “Wellington Clients”), and has voting and investment power over the securities held by the Wellington Clients. Wellington Management Group LLP may be deemed to beneficially own 5,670,939 shares of the Company’s Class A common stock, including on behalf of entities and accounts not listed above as Selling Holders, based on a Schedule 13G/A filed with the SEC on February 4, 2022. The address for the Wellington Clients is c/o Wellington Management Company LLP, 280 Congress Street, Boston, MA 02210, Attention: Private Investment Services.</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a Schedule 13G filed by Bay Pond Partners, L.P. filed with the SEC on January 31, 2022.</w:t>
      </w:r>
    </w:p>
    <w:p>
      <w:pPr>
        <w:spacing w:after="0" w:line="1" w:lineRule="exact"/>
        <w:rPr>
          <w:rFonts w:ascii="Arial" w:cs="Arial" w:eastAsia="Arial" w:hAnsi="Arial"/>
          <w:sz w:val="14"/>
          <w:szCs w:val="14"/>
          <w:color w:val="auto"/>
        </w:rPr>
      </w:pPr>
    </w:p>
    <w:p>
      <w:pPr>
        <w:ind w:left="332" w:right="200" w:hanging="332"/>
        <w:spacing w:after="0" w:line="260" w:lineRule="auto"/>
        <w:tabs>
          <w:tab w:leader="none" w:pos="329" w:val="left"/>
        </w:tabs>
        <w:numPr>
          <w:ilvl w:val="0"/>
          <w:numId w:val="79"/>
        </w:numPr>
        <w:rPr>
          <w:rFonts w:ascii="Arial" w:cs="Arial" w:eastAsia="Arial" w:hAnsi="Arial"/>
          <w:sz w:val="13"/>
          <w:szCs w:val="13"/>
          <w:color w:val="auto"/>
        </w:rPr>
      </w:pPr>
      <w:r>
        <w:rPr>
          <w:rFonts w:ascii="Arial" w:cs="Arial" w:eastAsia="Arial" w:hAnsi="Arial"/>
          <w:sz w:val="13"/>
          <w:szCs w:val="13"/>
          <w:color w:val="auto"/>
        </w:rPr>
        <w:t>P. Schoenfeld Asset Management LP (“PSAM”), is the investment manager of PSAM WorldArb Master Fund, Ltd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for P. Schoenfeld Asset Management LP is 1350 Avenue of the Americas, 21st Floor, New York, NY 10019.</w:t>
      </w:r>
    </w:p>
    <w:p>
      <w:pPr>
        <w:ind w:left="332" w:right="360" w:hanging="332"/>
        <w:spacing w:after="0" w:line="255"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Nantahala Capital Management, LLC is a Registered Investment Adviser and has been delegated the legal power to vote and/or direct the disposition of such securities on behalf of the selling stockholder as its Investment Manager and would be considered the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73" w:name="page174"/>
    <w:bookmarkEnd w:id="173"/>
    <w:p>
      <w:pPr>
        <w:spacing w:after="0" w:line="139" w:lineRule="exact"/>
        <w:rPr>
          <w:sz w:val="20"/>
          <w:szCs w:val="20"/>
          <w:color w:val="auto"/>
        </w:rPr>
      </w:pPr>
    </w:p>
    <w:p>
      <w:pPr>
        <w:ind w:left="332" w:right="100"/>
        <w:spacing w:after="0" w:line="245" w:lineRule="auto"/>
        <w:rPr>
          <w:sz w:val="20"/>
          <w:szCs w:val="20"/>
          <w:color w:val="auto"/>
        </w:rPr>
      </w:pPr>
      <w:r>
        <w:rPr>
          <w:rFonts w:ascii="Arial" w:cs="Arial" w:eastAsia="Arial" w:hAnsi="Arial"/>
          <w:sz w:val="14"/>
          <w:szCs w:val="14"/>
          <w:color w:val="auto"/>
        </w:rPr>
        <w:t>of such securities. Nantahala Capital Management, LLC may be deemed to beneficially own 1,340,020 shares of Class A common stock in the Company, including on behalf of managed funds and accounts not listed above as Selling Holders, based on a Schedule 13G/A filed with the SEC on February 14, 2022.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w:t>
      </w:r>
    </w:p>
    <w:p>
      <w:pPr>
        <w:ind w:left="332" w:right="8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Cohen Sponsor Interests IV, LLC is the manager of FinTech Masala Advisors IV, LLC and FinTech Investor Holdings IV, LLC. FinTech Masala, LLC is the sole member of Cohen Sponsor Interests IV. 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Cohen Sponsor Interests IV, LLC, FinTech Masala, LLC and FinTech Masala Holdings, LLC shares voting and investment power over the shares of common stock held directly by FinTech Masala Advisors IV, LLC and FinTech Investor Holdings IV, LLC. The address for the Selling Holder is 2929 Arch Street, Suite 1703, Philadelphia, PA 19104.</w:t>
      </w:r>
    </w:p>
    <w:p>
      <w:pPr>
        <w:ind w:left="332" w:right="20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aggregate holdings of 22 members of FinTech Masala Advisors IV, LLC who are selling shares of Class A common stock in this offering and excludes certain members of FinTech Masala Advisors IV, LLC who are separately shown in this table.</w:t>
      </w:r>
    </w:p>
    <w:p>
      <w:pPr>
        <w:ind w:left="332" w:right="1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aggregate holdings of 12 members of FinTech Investor Holdings IV, LLC who are selling shares of Class A common stock in this offering and excludes certain members of FinTech Investor Holdings IV, LLC who are separately shown in this table.</w:t>
      </w:r>
    </w:p>
    <w:p>
      <w:pPr>
        <w:ind w:left="332"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securities directly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 The addresses for Linden Capital L.P. is c/o Linden Advisors LP, 590 Madison Avenue, 15th Floor, New York, NY 10022.</w:t>
      </w:r>
    </w:p>
    <w:p>
      <w:pPr>
        <w:spacing w:after="0" w:line="1" w:lineRule="exact"/>
        <w:rPr>
          <w:rFonts w:ascii="Arial" w:cs="Arial" w:eastAsia="Arial" w:hAnsi="Arial"/>
          <w:sz w:val="14"/>
          <w:szCs w:val="14"/>
          <w:color w:val="auto"/>
        </w:rPr>
      </w:pPr>
    </w:p>
    <w:p>
      <w:pPr>
        <w:ind w:left="332" w:right="8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Craig Bergstrom is the Chief Investment Officer of Corbin Capital Partners, L.P., the investment manager of Corbin ERISA Opportunity Fund, Ltd. and Corbin Opportunity Fund, L.P., and directs the voting and investment decisions with respect to the securities held by these Selling Holders. Mr. Bergstrom disclaims beneficial ownership of such securities. The address for Corbin ERISA Opportunity Fund, Ltd. and Corbin Opportunity Fund, L.P. is 590 Madison Ave., 31st Floor, New York, NY 10022.</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w:t>
      </w:r>
    </w:p>
    <w:p>
      <w:pPr>
        <w:spacing w:after="0" w:line="1" w:lineRule="exact"/>
        <w:rPr>
          <w:rFonts w:ascii="Arial" w:cs="Arial" w:eastAsia="Arial" w:hAnsi="Arial"/>
          <w:sz w:val="14"/>
          <w:szCs w:val="14"/>
          <w:color w:val="auto"/>
        </w:rPr>
      </w:pPr>
    </w:p>
    <w:p>
      <w:pPr>
        <w:ind w:left="332" w:right="2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MMCAP International Inc. SPC holds the securities for and on behalf of MMCAP Master Segregated Portfolio. Matthew MacIsaac is the Secretary of MM Asset Management Inc., which is the investment advisor to MMCAP International Inc. SPC, and may be deemed to having voting and dispositive control over the securities held by the Selling Holder. The address for MMCAP International Inc. SPC is c/o MM Asset Management Inc., 161 Bay St. Ste 2240 BOX 600, Toronto, ON M5J 2S1.</w:t>
      </w:r>
    </w:p>
    <w:p>
      <w:pPr>
        <w:spacing w:after="0" w:line="1" w:lineRule="exact"/>
        <w:rPr>
          <w:rFonts w:ascii="Arial" w:cs="Arial" w:eastAsia="Arial" w:hAnsi="Arial"/>
          <w:sz w:val="14"/>
          <w:szCs w:val="14"/>
          <w:color w:val="auto"/>
        </w:rPr>
      </w:pPr>
    </w:p>
    <w:p>
      <w:pPr>
        <w:ind w:left="332" w:right="2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Ivan Zinn exercises voting or dispositive power over the securities held by Atalaya Special Purpose Investment Fund LP. The address for Atalaya Special Purpose Investment Fund LP is One Rockefeller Center, New York, NY 10020.</w:t>
      </w:r>
    </w:p>
    <w:p>
      <w:pPr>
        <w:ind w:left="332" w:right="10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reported securities are directly owned by Samlyn Offshore Master Fund, Ltd., Samlyn Net Neutral Master Fund, Ltd. or Samlyn Long Alpha Master Fund, Ltd., as applicable, and may be deemed to be indirectly beneficially owned by Samlyn Capital, as the investment manager of Samlyn Offshore Master Fund, Samlyn Net Neutral Master Fund and Samlyn Long Alpha Master Fund (“Samlyn Funds”), respectively. Samlyn Capital may be deemed to beneficially own 2,993,365 shares of the Company’s Class A common stock, including on behalf of funds and entities not listed above as Selling Holders, based on a Schedule 13G filed by Samlyn Capital, Samlyn, LP and Robert Pohly with the SEC on February 14, 2022 (the “Samlyn 13G”).</w:t>
      </w:r>
    </w:p>
    <w:p>
      <w:pPr>
        <w:ind w:left="332" w:right="120"/>
        <w:spacing w:after="0" w:line="241" w:lineRule="auto"/>
        <w:rPr>
          <w:rFonts w:ascii="Arial" w:cs="Arial" w:eastAsia="Arial" w:hAnsi="Arial"/>
          <w:sz w:val="13"/>
          <w:szCs w:val="13"/>
          <w:color w:val="auto"/>
        </w:rPr>
      </w:pPr>
      <w:r>
        <w:rPr>
          <w:rFonts w:ascii="Arial" w:cs="Arial" w:eastAsia="Arial" w:hAnsi="Arial"/>
          <w:sz w:val="14"/>
          <w:szCs w:val="14"/>
          <w:color w:val="auto"/>
        </w:rPr>
        <w:t>The reported securities may also be deemed to be indirectly beneficially owned by Robert Pohly as the principal of Samlyn Capital and Director of the Samlyn Funds. Samlyn Capital and Robert Pohly disclaim beneficial ownership of the reported securities except to the extent of their respective pecuniary interests therein, and this prospectus shall not be deemed an admission that either of them are the beneficial owners of the securities for purposes of Section 16 of the Exchange Act, or for any other purpose. The address for the Selling Holders is c/o Samlyn Capital, LLC, 500 Park Avenue, New York, NY 10022.</w:t>
      </w:r>
    </w:p>
    <w:p>
      <w:pPr>
        <w:spacing w:after="0" w:line="1" w:lineRule="exact"/>
        <w:rPr>
          <w:rFonts w:ascii="Arial" w:cs="Arial" w:eastAsia="Arial" w:hAnsi="Arial"/>
          <w:sz w:val="13"/>
          <w:szCs w:val="13"/>
          <w:color w:val="auto"/>
        </w:rPr>
      </w:pPr>
    </w:p>
    <w:p>
      <w:pPr>
        <w:ind w:left="332" w:right="2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reported securities are directly owned by Samlyn Onshore Fund, LP, and may be deemed to be indirectly beneficially owned by (i) Samlyn Capital, LLC, as the investment manager of Samlyn Onshore Fund, and (ii) Samlyn Partners, LLC (“Samlyn Partners”), as the general partner of Samlyn Onshore Fund. Samlyn Capital may be deemed to beneficially own 2,993,365 shares of the Company’s Class A common stock, including on behalf of funds and entities not listed above as Selling Holders, based on the Samlyn 13G. The reported securities may also be deemed to be indirectly beneficially owned by Robert Pohly as the principal of Samlyn Capital and Managing Member of Samlyn Partners. Samlyn Capital, Samlyn Partners and Robert Pohly disclaim beneficial ownership of the reported securities except to the extent of their respective pecuniary interests therein, and this prospectus shall not be deemed an admission that any of them are the beneficial owners of the securities for purposes of Section 16 of the Exchange Act or for any other purpose. The address for Samlyn Onshore Fund, LP is c/o Samlyn Capital, LLC, 500 Park Avenue, New York, NY 10022.</w:t>
      </w:r>
    </w:p>
    <w:p>
      <w:pPr>
        <w:spacing w:after="0" w:line="2"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Lester Brafman is the Chief Executive Officer of Cohen &amp; Company, LLC, which manages this Selling Holder, and accordingly may be deemed to have voting and dispositive power with respect to the shares held by this Selling Holder. The address for FM PWP PIPE Sponsor, LLC is 2929 Arch Street, Suite 1703, Philadelphia, PA 19104.</w:t>
      </w:r>
    </w:p>
    <w:p>
      <w:pPr>
        <w:jc w:val="both"/>
        <w:ind w:left="332" w:right="2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 The address for Tech Opportunities LLC is c/o Hudson Bay Capital Management LP, 777 Third Avenue, 30th Floor, New York, NY 10017.</w:t>
      </w:r>
    </w:p>
    <w:p>
      <w:pPr>
        <w:ind w:left="332" w:right="260" w:hanging="332"/>
        <w:spacing w:after="0" w:line="255"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Winston Fisher is a control person and has voting and dispositive power with respect to the securities held by this Selling Holder and may be deemed to beneficially own such securities. The address for Fisher Perella Partners LLC is c/o Fisher Brothers, 299 Park Avenue, 42 FL, New York, NY 10171.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74" w:name="page175"/>
    <w:bookmarkEnd w:id="174"/>
    <w:p>
      <w:pPr>
        <w:spacing w:after="0" w:line="139" w:lineRule="exact"/>
        <w:rPr>
          <w:sz w:val="20"/>
          <w:szCs w:val="20"/>
          <w:color w:val="auto"/>
        </w:rPr>
      </w:pPr>
    </w:p>
    <w:p>
      <w:pPr>
        <w:ind w:left="340" w:right="120" w:hanging="332"/>
        <w:spacing w:after="0" w:line="245" w:lineRule="auto"/>
        <w:tabs>
          <w:tab w:leader="none" w:pos="337"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2" w:lineRule="exact"/>
        <w:rPr>
          <w:rFonts w:ascii="Arial" w:cs="Arial" w:eastAsia="Arial" w:hAnsi="Arial"/>
          <w:sz w:val="14"/>
          <w:szCs w:val="14"/>
          <w:color w:val="auto"/>
        </w:rPr>
      </w:pPr>
    </w:p>
    <w:p>
      <w:pPr>
        <w:ind w:left="340" w:right="100" w:hanging="332"/>
        <w:spacing w:after="0" w:line="260" w:lineRule="auto"/>
        <w:tabs>
          <w:tab w:leader="none" w:pos="337"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Represents shares of Class A common stock issuable in exchange for PWP OpCo Class A partnership units and shares of our Class B common stock held by the Selling Holder prior to this offering. Each PWP OpCo Class A partnership unit is exchangeable for one share of Class A common stock. Concurrently with an exchange of PWP OpCo Class A partnership units for shares of Class A common stock or cash by a PWP OpCo unitholder who also holds shares of Class B common stock, such PWP OpCo unitholder will be required to surrender to the Company a number of shares of Class B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w:t>
      </w:r>
    </w:p>
    <w:p>
      <w:pPr>
        <w:ind w:left="340" w:right="160" w:hanging="332"/>
        <w:spacing w:after="0" w:line="255" w:lineRule="auto"/>
        <w:tabs>
          <w:tab w:leader="none" w:pos="337" w:val="left"/>
        </w:tabs>
        <w:numPr>
          <w:ilvl w:val="0"/>
          <w:numId w:val="81"/>
        </w:numPr>
        <w:rPr>
          <w:rFonts w:ascii="Arial" w:cs="Arial" w:eastAsia="Arial" w:hAnsi="Arial"/>
          <w:sz w:val="14"/>
          <w:szCs w:val="14"/>
          <w:color w:val="auto"/>
        </w:rPr>
      </w:pPr>
      <w:r>
        <w:rPr>
          <w:rFonts w:ascii="Arial" w:cs="Arial" w:eastAsia="Arial" w:hAnsi="Arial"/>
          <w:sz w:val="14"/>
          <w:szCs w:val="14"/>
          <w:color w:val="auto"/>
        </w:rPr>
        <w:t>Peter A. Weinberg has shared voting and dispositive power over the securities held by Red Hook Capital, LLC through his shared control over Rosedale Partners LLC, the sole member of Red Hook Capital, LLC.</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2"/>
              </w:rPr>
              <w:t>Beneficial Ownership</w:t>
            </w:r>
          </w:p>
        </w:tc>
        <w:tc>
          <w:tcPr>
            <w:tcW w:w="24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Securities to be Sold in</w:t>
            </w:r>
          </w:p>
        </w:tc>
        <w:tc>
          <w:tcPr>
            <w:tcW w:w="16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0"/>
              </w:rPr>
              <w:t>Beneficial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continue"/>
          </w:tcPr>
          <w:p>
            <w:pPr>
              <w:spacing w:after="0"/>
              <w:rPr>
                <w:sz w:val="11"/>
                <w:szCs w:val="11"/>
                <w:color w:val="auto"/>
              </w:rPr>
            </w:pPr>
          </w:p>
        </w:tc>
        <w:tc>
          <w:tcPr>
            <w:tcW w:w="2440" w:type="dxa"/>
            <w:vAlign w:val="bottom"/>
            <w:gridSpan w:val="5"/>
            <w:vMerge w:val="continue"/>
          </w:tcPr>
          <w:p>
            <w:pPr>
              <w:spacing w:after="0"/>
              <w:rPr>
                <w:sz w:val="11"/>
                <w:szCs w:val="11"/>
                <w:color w:val="auto"/>
              </w:rPr>
            </w:pPr>
          </w:p>
        </w:tc>
        <w:tc>
          <w:tcPr>
            <w:tcW w:w="1640" w:type="dxa"/>
            <w:vAlign w:val="bottom"/>
            <w:gridSpan w:val="3"/>
          </w:tcPr>
          <w:p>
            <w:pPr>
              <w:jc w:val="center"/>
              <w:ind w:left="481"/>
              <w:spacing w:after="0" w:line="135" w:lineRule="exact"/>
              <w:rPr>
                <w:sz w:val="20"/>
                <w:szCs w:val="20"/>
                <w:color w:val="auto"/>
              </w:rPr>
            </w:pPr>
            <w:r>
              <w:rPr>
                <w:rFonts w:ascii="Arial" w:cs="Arial" w:eastAsia="Arial" w:hAnsi="Arial"/>
                <w:sz w:val="14"/>
                <w:szCs w:val="14"/>
                <w:b w:val="1"/>
                <w:bCs w:val="1"/>
                <w:color w:val="auto"/>
                <w:w w:val="95"/>
              </w:rPr>
              <w:t>Ownership After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Before the Offering</w:t>
            </w:r>
          </w:p>
        </w:tc>
        <w:tc>
          <w:tcPr>
            <w:tcW w:w="1640" w:type="dxa"/>
            <w:vAlign w:val="bottom"/>
            <w:gridSpan w:val="3"/>
          </w:tcPr>
          <w:p>
            <w:pPr>
              <w:jc w:val="center"/>
              <w:ind w:left="620"/>
              <w:spacing w:after="0"/>
              <w:rPr>
                <w:sz w:val="20"/>
                <w:szCs w:val="20"/>
                <w:color w:val="auto"/>
              </w:rPr>
            </w:pPr>
            <w:r>
              <w:rPr>
                <w:rFonts w:ascii="Arial" w:cs="Arial" w:eastAsia="Arial" w:hAnsi="Arial"/>
                <w:sz w:val="14"/>
                <w:szCs w:val="14"/>
                <w:b w:val="1"/>
                <w:bCs w:val="1"/>
                <w:color w:val="auto"/>
                <w:w w:val="93"/>
              </w:rPr>
              <w:t>the Offering</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5"/>
              </w:rPr>
              <w:t>the Offering</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Selling Holder</w:t>
            </w:r>
          </w:p>
        </w:tc>
        <w:tc>
          <w:tcPr>
            <w:tcW w:w="80" w:type="dxa"/>
            <w:vAlign w:val="bottom"/>
            <w:vMerge w:val="restart"/>
          </w:tcPr>
          <w:p>
            <w:pPr>
              <w:spacing w:after="0"/>
              <w:rPr>
                <w:sz w:val="11"/>
                <w:szCs w:val="11"/>
                <w:color w:val="auto"/>
              </w:rPr>
            </w:pPr>
          </w:p>
        </w:tc>
        <w:tc>
          <w:tcPr>
            <w:tcW w:w="1380" w:type="dxa"/>
            <w:vAlign w:val="bottom"/>
            <w:tcBorders>
              <w:top w:val="single" w:sz="8" w:color="auto"/>
            </w:tcBorders>
            <w:gridSpan w:val="2"/>
          </w:tcPr>
          <w:p>
            <w:pPr>
              <w:ind w:left="320"/>
              <w:spacing w:after="0" w:line="130" w:lineRule="exact"/>
              <w:rPr>
                <w:sz w:val="20"/>
                <w:szCs w:val="20"/>
                <w:color w:val="auto"/>
              </w:rPr>
            </w:pPr>
            <w:r>
              <w:rPr>
                <w:rFonts w:ascii="Arial" w:cs="Arial" w:eastAsia="Arial" w:hAnsi="Arial"/>
                <w:sz w:val="14"/>
                <w:szCs w:val="14"/>
                <w:b w:val="1"/>
                <w:bCs w:val="1"/>
                <w:color w:val="auto"/>
              </w:rPr>
              <w:t>Number of</w:t>
            </w:r>
          </w:p>
        </w:tc>
        <w:tc>
          <w:tcPr>
            <w:tcW w:w="960" w:type="dxa"/>
            <w:vAlign w:val="bottom"/>
            <w:tcBorders>
              <w:top w:val="single" w:sz="8" w:color="auto"/>
            </w:tcBorders>
            <w:vMerge w:val="restart"/>
          </w:tcPr>
          <w:p>
            <w:pPr>
              <w:jc w:val="right"/>
              <w:ind w:right="281"/>
              <w:spacing w:after="0" w:line="318"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1640" w:type="dxa"/>
            <w:vAlign w:val="bottom"/>
            <w:tcBorders>
              <w:top w:val="single" w:sz="8" w:color="auto"/>
            </w:tcBorders>
            <w:gridSpan w:val="3"/>
          </w:tcPr>
          <w:p>
            <w:pPr>
              <w:ind w:left="300"/>
              <w:spacing w:after="0" w:line="130" w:lineRule="exact"/>
              <w:rPr>
                <w:sz w:val="20"/>
                <w:szCs w:val="20"/>
                <w:color w:val="auto"/>
              </w:rPr>
            </w:pPr>
            <w:r>
              <w:rPr>
                <w:rFonts w:ascii="Arial" w:cs="Arial" w:eastAsia="Arial" w:hAnsi="Arial"/>
                <w:sz w:val="14"/>
                <w:szCs w:val="14"/>
                <w:b w:val="1"/>
                <w:bCs w:val="1"/>
                <w:color w:val="auto"/>
              </w:rPr>
              <w:t>Number of</w:t>
            </w:r>
          </w:p>
        </w:tc>
        <w:tc>
          <w:tcPr>
            <w:tcW w:w="700" w:type="dxa"/>
            <w:vAlign w:val="bottom"/>
            <w:tcBorders>
              <w:top w:val="single" w:sz="8" w:color="auto"/>
            </w:tcBorders>
            <w:vMerge w:val="restart"/>
          </w:tcPr>
          <w:p>
            <w:pPr>
              <w:jc w:val="right"/>
              <w:ind w:right="281"/>
              <w:spacing w:after="0" w:line="318"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1640" w:type="dxa"/>
            <w:vAlign w:val="bottom"/>
            <w:tcBorders>
              <w:top w:val="single" w:sz="8" w:color="auto"/>
            </w:tcBorders>
            <w:gridSpan w:val="3"/>
          </w:tcPr>
          <w:p>
            <w:pPr>
              <w:jc w:val="center"/>
              <w:ind w:right="360"/>
              <w:spacing w:after="0" w:line="130"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Borders>
              <w:top w:val="single" w:sz="8" w:color="auto"/>
            </w:tcBorders>
            <w:vMerge w:val="restart"/>
          </w:tcPr>
          <w:p>
            <w:pPr>
              <w:jc w:val="right"/>
              <w:ind w:right="201"/>
              <w:spacing w:after="0" w:line="318" w:lineRule="exact"/>
              <w:rPr>
                <w:sz w:val="20"/>
                <w:szCs w:val="20"/>
                <w:color w:val="auto"/>
              </w:rPr>
            </w:pPr>
            <w:r>
              <w:rPr>
                <w:rFonts w:ascii="Arial" w:cs="Arial" w:eastAsia="Arial" w:hAnsi="Arial"/>
                <w:sz w:val="28"/>
                <w:szCs w:val="28"/>
                <w:b w:val="1"/>
                <w:bCs w:val="1"/>
                <w:color w:val="auto"/>
                <w:w w:val="94"/>
                <w:vertAlign w:val="subscript"/>
              </w:rPr>
              <w:t>%</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Warrants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Warrants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Certain members of FinTech Investor Holdings IV,</w:t>
            </w:r>
          </w:p>
        </w:tc>
        <w:tc>
          <w:tcPr>
            <w:tcW w:w="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153,330</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153,330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4"/>
                <w:szCs w:val="14"/>
                <w:color w:val="auto"/>
              </w:rPr>
            </w:pPr>
          </w:p>
        </w:tc>
        <w:tc>
          <w:tcPr>
            <w:tcW w:w="1640" w:type="dxa"/>
            <w:vAlign w:val="bottom"/>
            <w:gridSpan w:val="3"/>
            <w:vMerge w:val="restart"/>
            <w:shd w:val="clear" w:color="auto" w:fill="CCEEFF"/>
          </w:tcPr>
          <w:p>
            <w:pPr>
              <w:jc w:val="center"/>
              <w:ind w:left="541"/>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LLC</w:t>
            </w:r>
            <w:r>
              <w:rPr>
                <w:rFonts w:ascii="Arial" w:cs="Arial" w:eastAsia="Arial" w:hAnsi="Arial"/>
                <w:sz w:val="23"/>
                <w:szCs w:val="23"/>
                <w:color w:val="auto"/>
                <w:vertAlign w:val="superscript"/>
              </w:rPr>
              <w:t>(2)</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3"/>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FinTech Masala, LLC</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gridSpan w:val="3"/>
          </w:tcPr>
          <w:p>
            <w:pPr>
              <w:jc w:val="center"/>
              <w:ind w:left="541"/>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PSAM WorldArb Master Fund Ltd.</w:t>
            </w:r>
            <w:r>
              <w:rPr>
                <w:rFonts w:ascii="Arial" w:cs="Arial" w:eastAsia="Arial" w:hAnsi="Arial"/>
                <w:sz w:val="23"/>
                <w:szCs w:val="23"/>
                <w:color w:val="auto"/>
                <w:vertAlign w:val="superscript"/>
              </w:rPr>
              <w:t>(4)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center"/>
              <w:ind w:left="54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upon 7,869,975 Warrants outstanding as of February 28, 2022.</w:t>
      </w:r>
    </w:p>
    <w:p>
      <w:pPr>
        <w:spacing w:after="0" w:line="1" w:lineRule="exact"/>
        <w:rPr>
          <w:rFonts w:ascii="Arial" w:cs="Arial" w:eastAsia="Arial" w:hAnsi="Arial"/>
          <w:sz w:val="14"/>
          <w:szCs w:val="14"/>
          <w:color w:val="auto"/>
        </w:rPr>
      </w:pPr>
    </w:p>
    <w:p>
      <w:pPr>
        <w:ind w:left="340" w:right="420" w:hanging="332"/>
        <w:spacing w:after="0" w:line="241" w:lineRule="auto"/>
        <w:tabs>
          <w:tab w:leader="none" w:pos="332"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the aggregate holdings of 10 members of FinTech Investor Holdings IV, LLC who are selling Private Placement Warrants in this offering and excludes certain members of FinTech Investor Holdings IV, LLC who are separately shown in this table.</w:t>
      </w: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address for the Selling Holder is 2929 Arch Street, Suite 1703, Philadelphia, PA 19104.</w:t>
      </w:r>
    </w:p>
    <w:p>
      <w:pPr>
        <w:spacing w:after="0" w:line="1" w:lineRule="exact"/>
        <w:rPr>
          <w:rFonts w:ascii="Arial" w:cs="Arial" w:eastAsia="Arial" w:hAnsi="Arial"/>
          <w:sz w:val="14"/>
          <w:szCs w:val="14"/>
          <w:color w:val="auto"/>
        </w:rPr>
      </w:pPr>
    </w:p>
    <w:p>
      <w:pPr>
        <w:ind w:left="340" w:right="380" w:hanging="332"/>
        <w:spacing w:after="0" w:line="254" w:lineRule="auto"/>
        <w:tabs>
          <w:tab w:leader="none" w:pos="332" w:val="left"/>
        </w:tabs>
        <w:numPr>
          <w:ilvl w:val="0"/>
          <w:numId w:val="83"/>
        </w:numPr>
        <w:rPr>
          <w:rFonts w:ascii="Arial" w:cs="Arial" w:eastAsia="Arial" w:hAnsi="Arial"/>
          <w:sz w:val="14"/>
          <w:szCs w:val="14"/>
          <w:color w:val="auto"/>
        </w:rPr>
      </w:pPr>
      <w:r>
        <w:rPr>
          <w:rFonts w:ascii="Arial" w:cs="Arial" w:eastAsia="Arial" w:hAnsi="Arial"/>
          <w:sz w:val="14"/>
          <w:szCs w:val="14"/>
          <w:color w:val="auto"/>
        </w:rPr>
        <w:t>PSAM is the investment manager of WAM. Peter Schoenfeld is the CEO of PSAM. PSAM and Peter Schoenfeld have voting and investment power over the securities held directly by WAM. Each of PSAM and Peter Schoenfeld disclaim beneficial ownership of the securities reported herein except to the extent of their pecuniary interest therein. The address for P. Schoenfeld Asset Management LP is 1350 Avenue of the Americas, 21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Floor, New York, NY 10019.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the Selling Holders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Daniel G. Cohen is a member of our board of directors and a managing member of FinTech Masala, LLC. FinTech Masala, LLC is the sole member of Cohen Sponsor Interests IV, LLC, which is the manager of FinTech Investor Holdings IV, LLC.</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Peter A. Weinberg, our Chairman and Chief Executive Officer, exercises shared control over Rosedale Partners LLC, the sole member of Red Hook Capital, LLC.</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 description of our other relationships with the Selling Holders and their affiliates see the sections entitled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 “</w:t>
      </w:r>
      <w:r>
        <w:rPr>
          <w:rFonts w:ascii="Arial" w:cs="Arial" w:eastAsia="Arial" w:hAnsi="Arial"/>
          <w:sz w:val="18"/>
          <w:szCs w:val="18"/>
          <w:i w:val="1"/>
          <w:iCs w:val="1"/>
          <w:color w:val="auto"/>
        </w:rPr>
        <w:t>Management</w:t>
      </w:r>
      <w:r>
        <w:rPr>
          <w:rFonts w:ascii="Arial" w:cs="Arial" w:eastAsia="Arial" w:hAnsi="Arial"/>
          <w:sz w:val="18"/>
          <w:szCs w:val="18"/>
          <w:color w:val="auto"/>
        </w:rPr>
        <w:t>” “</w:t>
      </w:r>
      <w:r>
        <w:rPr>
          <w:rFonts w:ascii="Arial" w:cs="Arial" w:eastAsia="Arial" w:hAnsi="Arial"/>
          <w:sz w:val="18"/>
          <w:szCs w:val="18"/>
          <w:i w:val="1"/>
          <w:iCs w:val="1"/>
          <w:color w:val="auto"/>
        </w:rPr>
        <w:t>Certain Relationships and Related Persons Transactions”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“Executive Compensation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registering the issuance by us of up to 7,869,975 shares of our Class A common stock that may be issued upon exercise of Warrants to purchase Class A common stock, including the Public Warrants and the Private Placement Warrants. We are also registering the resale by the Selling Holders or their permitted transferees of (i) up to 64,738,934 shares of Class A common stock (including 203,333 shares of Class A common stock that may be issued upon exercise of the Private Placement Warrants, 5,846,667 Founder Shares, 12,500,000 PIPE Shares, 610,000 Placement Shares and 45,578,934 Exchange Shares) and (ii) up to 203,333 Warrants.</w:t>
      </w:r>
    </w:p>
    <w:p>
      <w:pPr>
        <w:spacing w:after="0" w:line="134"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Selling Holders may offer and sell, from time to time, their respective shares of Class A common stock and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sell their securities by one or more of, or a combination of, the following methods:</w:t>
      </w:r>
    </w:p>
    <w:p>
      <w:pPr>
        <w:spacing w:after="0" w:line="103"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on the Nasdaq, in the over-the-counter market or on any other national securities exchange on which our securities are listed or traded;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underwritten transactions;</w:t>
      </w:r>
    </w:p>
    <w:p>
      <w:pPr>
        <w:spacing w:after="0" w:line="171"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the offered securities as agent but may purchase and resell a portion of the block as principal to facilitate the transaction; through purchases by a broker-dealer as principal and resale by the broker-dealer for its account pursuant to this prospectus;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 solicits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the writing of options (including put or call options), whether the options are listed on an options exchange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the distribution of the securities by any Selling Holder to its partners, members or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short sales entered into after the effective date of the registration statement of which this prospectus is a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the market” or through market makers or into an existing market for the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the Nasdaq or any other exchange or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1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Selling Holders party to Subscription Agreements or the Amended and Restated Registration Rights Agreement have agreed, and the other Selling Holders may agree, to indemnify an underwriter, broker-dealer or agent against certain liabilities related to the sale of the securities, including liabilities under the Securities Act.</w:t>
      </w:r>
    </w:p>
    <w:p>
      <w:pPr>
        <w:spacing w:after="0" w:line="130"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of our stockholders have entered into lock-up agreements or are otherwise subject to contractual transfer or exchange restrictions with respect to their securities. See “</w:t>
      </w:r>
      <w:r>
        <w:rPr>
          <w:rFonts w:ascii="Arial" w:cs="Arial" w:eastAsia="Arial" w:hAnsi="Arial"/>
          <w:sz w:val="18"/>
          <w:szCs w:val="18"/>
          <w:i w:val="1"/>
          <w:iCs w:val="1"/>
          <w:color w:val="auto"/>
        </w:rPr>
        <w:t>Securities Act Restrictions of Resale of Securities—Lock-up Agreements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7" w:name="page178"/>
    <w:bookmarkEnd w:id="17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following discussion is a summary of the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partnerships, passive foreign investment companies, controlled foreign corporations,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Code. No ruling from the IRS has been or will be sought regarding any matter discussed herein. No assurance can be given that the IRS would not assert, or that a court would not sustain a position contrary to any of the tax aspects set forth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summary, a “</w:t>
      </w:r>
      <w:r>
        <w:rPr>
          <w:rFonts w:ascii="Arial" w:cs="Arial" w:eastAsia="Arial" w:hAnsi="Arial"/>
          <w:sz w:val="18"/>
          <w:szCs w:val="18"/>
          <w:u w:val="single" w:color="auto"/>
          <w:color w:val="auto"/>
        </w:rPr>
        <w:t>U.S. Holder</w:t>
      </w:r>
      <w:r>
        <w:rPr>
          <w:rFonts w:ascii="Arial" w:cs="Arial" w:eastAsia="Arial" w:hAnsi="Arial"/>
          <w:sz w:val="18"/>
          <w:szCs w:val="18"/>
          <w:color w:val="auto"/>
        </w:rPr>
        <w:t>” is a beneficial holder of securities who or that, for U.S. federal income tax purposes is:</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individual who is a United States citizen or resident of the United States;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in, or organized under the law of, the United States or any state or political subdivision thereof;</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United States federal income tax purposes regardless of its source; or</w:t>
      </w:r>
    </w:p>
    <w:p>
      <w:pPr>
        <w:spacing w:after="0" w:line="171"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non-U.S. Holder</w:t>
      </w:r>
      <w:r>
        <w:rPr>
          <w:rFonts w:ascii="Arial" w:cs="Arial" w:eastAsia="Arial" w:hAnsi="Arial"/>
          <w:sz w:val="17"/>
          <w:szCs w:val="17"/>
          <w:color w:val="auto"/>
        </w:rPr>
        <w:t>” is a beneficial holder of securities who or that is neither a U.S. Holder nor a partnership for U.S. federal income tax purposes.</w:t>
      </w:r>
    </w:p>
    <w:p>
      <w:pPr>
        <w:spacing w:after="0" w:line="1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If none of the foregoing tests is satisfied, the redemption will be treated as a corporate distribution, the tax consequences of which are described under</w:t>
      </w:r>
    </w:p>
    <w:p>
      <w:pPr>
        <w:spacing w:after="0" w:line="4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Holders—Taxation of Distributions</w:t>
      </w:r>
      <w:r>
        <w:rPr>
          <w:rFonts w:ascii="Arial" w:cs="Arial" w:eastAsia="Arial" w:hAnsi="Arial"/>
          <w:sz w:val="18"/>
          <w:szCs w:val="18"/>
          <w:color w:val="auto"/>
        </w:rPr>
        <w:t>,” above. After the application of those rules, any remaining tax basis of the U.S. Holder in the redeemed Class A common stock should be added to the U.S. Holder’s adjusted tax basis in its remaining stock, or, if it has none, to the U.S. Holder’s adjusted tax basis in its Warrants or possibly in other stock constructively owned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a Warrant</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(i) the U.S. Holder’s initial investment in the Warrant and (ii)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tax consequences of a cashless exercise of a Warrant are not entirely clear under current tax law. A cashless exercise may not be subject to tax,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1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and the exercise price of such Warrants. It is unclear whether a U.S. Holder’s holding period for the Class A common stock would commence on the date of exercise of the Warrant or the day following the date of exercise of the Warrant.</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Expiration of a Warrant</w:t>
      </w:r>
    </w:p>
    <w:p>
      <w:pPr>
        <w:spacing w:after="0" w:line="17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0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 U.S. Holder should generally not recognize any gain or loss on a redemption of Warrants for Class A common stock described in this prospectus under “</w:t>
      </w:r>
      <w:r>
        <w:rPr>
          <w:rFonts w:ascii="Arial" w:cs="Arial" w:eastAsia="Arial" w:hAnsi="Arial"/>
          <w:sz w:val="17"/>
          <w:szCs w:val="17"/>
          <w:i w:val="1"/>
          <w:iCs w:val="1"/>
          <w:color w:val="auto"/>
        </w:rPr>
        <w:t>Description of Securities—Warrants—Public Warrants.</w:t>
      </w:r>
      <w:r>
        <w:rPr>
          <w:rFonts w:ascii="Arial" w:cs="Arial" w:eastAsia="Arial" w:hAnsi="Arial"/>
          <w:sz w:val="17"/>
          <w:szCs w:val="17"/>
          <w:color w:val="auto"/>
        </w:rPr>
        <w:t>” A U.S. Holder’s aggregate tax basis in the shares of Class A common stock received in the redemption should equal such holder’s aggregate tax basis in the Warrants redeemed, and such holder’s holding period for the shares of Class A common stock received in redemption of the Warrants should include the holding period for the surrendered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9" w:name="page180"/>
    <w:bookmarkEnd w:id="17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Constructive Distributions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8"/>
          <w:szCs w:val="18"/>
          <w:i w:val="1"/>
          <w:iCs w:val="1"/>
          <w:color w:val="auto"/>
        </w:rPr>
        <w:t>Description of Securities—Warrants—Public</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 An adjustment which has the effect of preventing dilution is generally not a taxable event. Nevertheless, a U.S. Holder of Warrants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under that section in the same manner as if such U.S. Holder received a cash distribution from us equal to the fair market value of such increased interest.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(typically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Arial" w:cs="Arial" w:eastAsia="Arial" w:hAnsi="Arial"/>
          <w:sz w:val="17"/>
          <w:szCs w:val="17"/>
          <w:i w:val="1"/>
          <w:iCs w:val="1"/>
          <w:color w:val="auto"/>
        </w:rPr>
        <w:t>Non-U.S.</w:t>
      </w:r>
      <w:r>
        <w:rPr>
          <w:rFonts w:ascii="Arial" w:cs="Arial" w:eastAsia="Arial" w:hAnsi="Arial"/>
          <w:sz w:val="17"/>
          <w:szCs w:val="17"/>
          <w:color w:val="auto"/>
        </w:rPr>
        <w:t xml:space="preserve"> </w:t>
      </w:r>
      <w:r>
        <w:rPr>
          <w:rFonts w:ascii="Arial" w:cs="Arial" w:eastAsia="Arial" w:hAnsi="Arial"/>
          <w:sz w:val="17"/>
          <w:szCs w:val="17"/>
          <w:i w:val="1"/>
          <w:iCs w:val="1"/>
          <w:color w:val="auto"/>
        </w:rPr>
        <w:t>Holders—Gain on Sale, Taxable Exchange or Other Taxable Disposition of Class A Common Stock and Warrants</w:t>
      </w:r>
      <w:r>
        <w:rPr>
          <w:rFonts w:ascii="Arial" w:cs="Arial" w:eastAsia="Arial" w:hAnsi="Arial"/>
          <w:sz w:val="17"/>
          <w:szCs w:val="17"/>
          <w:color w:val="auto"/>
        </w:rPr>
        <w:t>” below. In addition, if we determine that</w:t>
      </w:r>
      <w:r>
        <w:rPr>
          <w:rFonts w:ascii="Arial" w:cs="Arial" w:eastAsia="Arial" w:hAnsi="Arial"/>
          <w:sz w:val="17"/>
          <w:szCs w:val="17"/>
          <w:i w:val="1"/>
          <w:iCs w:val="1"/>
          <w:color w:val="auto"/>
        </w:rPr>
        <w:t xml:space="preserve"> </w:t>
      </w:r>
      <w:r>
        <w:rPr>
          <w:rFonts w:ascii="Arial" w:cs="Arial" w:eastAsia="Arial" w:hAnsi="Arial"/>
          <w:sz w:val="17"/>
          <w:szCs w:val="17"/>
          <w:color w:val="auto"/>
        </w:rPr>
        <w:t>we are classified as a “United States real property holding corporation” (see “</w:t>
      </w:r>
      <w:r>
        <w:rPr>
          <w:rFonts w:ascii="Arial" w:cs="Arial" w:eastAsia="Arial" w:hAnsi="Arial"/>
          <w:sz w:val="17"/>
          <w:szCs w:val="17"/>
          <w:i w:val="1"/>
          <w:iCs w:val="1"/>
          <w:color w:val="auto"/>
        </w:rPr>
        <w:t>Non-U.S. Holders—Gain on Sale, Taxable Exchange or Other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 of Class A Common Stock and Warrants</w:t>
      </w:r>
      <w:r>
        <w:rPr>
          <w:rFonts w:ascii="Arial" w:cs="Arial" w:eastAsia="Arial" w:hAnsi="Arial"/>
          <w:sz w:val="17"/>
          <w:szCs w:val="17"/>
          <w:color w:val="auto"/>
        </w:rPr>
        <w:t>” below), we will withhold 15% of any distribution that exceeds our current and accumulated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profits.</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a Warrant</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w:t>
      </w:r>
      <w:r>
        <w:rPr>
          <w:rFonts w:ascii="Arial" w:cs="Arial" w:eastAsia="Arial" w:hAnsi="Arial"/>
          <w:sz w:val="18"/>
          <w:szCs w:val="18"/>
          <w:i w:val="1"/>
          <w:iCs w:val="1"/>
          <w:color w:val="auto"/>
        </w:rPr>
        <w:t>U.S. Holders—Exercise of a Warrant</w:t>
      </w:r>
      <w:r>
        <w:rPr>
          <w:rFonts w:ascii="Arial" w:cs="Arial" w:eastAsia="Arial" w:hAnsi="Arial"/>
          <w:sz w:val="18"/>
          <w:szCs w:val="18"/>
          <w:color w:val="auto"/>
        </w:rPr>
        <w:t>” above, although to the extent a cashless exercise results in a taxable exchange, the tax consequences to the non-U.S. Holder would be the same as those described below in “</w:t>
      </w:r>
      <w:r>
        <w:rPr>
          <w:rFonts w:ascii="Arial" w:cs="Arial" w:eastAsia="Arial" w:hAnsi="Arial"/>
          <w:sz w:val="18"/>
          <w:szCs w:val="18"/>
          <w:i w:val="1"/>
          <w:iCs w:val="1"/>
          <w:color w:val="auto"/>
        </w:rPr>
        <w:t>Non-U.S. Holders—Gain on</w:t>
      </w:r>
      <w:r>
        <w:rPr>
          <w:rFonts w:ascii="Arial" w:cs="Arial" w:eastAsia="Arial" w:hAnsi="Arial"/>
          <w:sz w:val="18"/>
          <w:szCs w:val="18"/>
          <w:color w:val="auto"/>
        </w:rPr>
        <w:t xml:space="preserve"> </w:t>
      </w:r>
      <w:r>
        <w:rPr>
          <w:rFonts w:ascii="Arial" w:cs="Arial" w:eastAsia="Arial" w:hAnsi="Arial"/>
          <w:sz w:val="18"/>
          <w:szCs w:val="18"/>
          <w:i w:val="1"/>
          <w:iCs w:val="1"/>
          <w:color w:val="auto"/>
        </w:rPr>
        <w:t>Sale, Exchange or Other Taxable Disposition of Class A Common Stock and Warrants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Warrants for Class A Common Stock</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non-U.S. Holder should generally not recognize any gain or loss on the redemption of Warrants for shares of our Class A common stock described in this prospectus under “</w:t>
      </w:r>
      <w:r>
        <w:rPr>
          <w:rFonts w:ascii="Arial" w:cs="Arial" w:eastAsia="Arial" w:hAnsi="Arial"/>
          <w:sz w:val="18"/>
          <w:szCs w:val="18"/>
          <w:i w:val="1"/>
          <w:iCs w:val="1"/>
          <w:color w:val="auto"/>
        </w:rPr>
        <w:t>Description of Securities—Warrants—Public Stockholders’ Warrants</w:t>
      </w:r>
      <w:r>
        <w:rPr>
          <w:rFonts w:ascii="Arial" w:cs="Arial" w:eastAsia="Arial" w:hAnsi="Arial"/>
          <w:sz w:val="18"/>
          <w:szCs w:val="18"/>
          <w:color w:val="auto"/>
        </w:rPr>
        <w:t>.” Accordingly, a non-U.S. Holder should not recognize any gain. Such holder’s aggregate tax basis in the shares of Class A common stock received in the redemption should equal their aggregate tax basis in the Warrants redeemed, and such holder’s holding period for the shares of Class A common stock received in redemption of the Warrants should include the holding period for the surrendered Warrants.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Class A Common Stock and Warrants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gain recognized on a sale, taxable exchange or other taxable disposition of our Class A common stock or an expiration or redemption of our Warrants unless:</w:t>
      </w:r>
    </w:p>
    <w:p>
      <w:pPr>
        <w:spacing w:after="0" w:line="116" w:lineRule="exact"/>
        <w:rPr>
          <w:sz w:val="20"/>
          <w:szCs w:val="20"/>
          <w:color w:val="auto"/>
        </w:rPr>
      </w:pPr>
    </w:p>
    <w:p>
      <w:pPr>
        <w:ind w:left="660" w:right="80" w:hanging="328"/>
        <w:spacing w:after="0" w:line="308" w:lineRule="auto"/>
        <w:tabs>
          <w:tab w:leader="none" w:pos="6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92"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16" w:lineRule="exact"/>
        <w:rPr>
          <w:rFonts w:ascii="Arial" w:cs="Arial" w:eastAsia="Arial" w:hAnsi="Arial"/>
          <w:sz w:val="18"/>
          <w:szCs w:val="18"/>
          <w:color w:val="auto"/>
        </w:rPr>
      </w:pPr>
    </w:p>
    <w:p>
      <w:pPr>
        <w:ind w:left="660" w:right="20" w:hanging="328"/>
        <w:spacing w:after="0" w:line="273" w:lineRule="auto"/>
        <w:tabs>
          <w:tab w:leader="none" w:pos="6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Gain described in the first bullet point above will be subject to tax at the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the third bullet point above applies to a non-U.S. Holder, gain recognized by such holder on the sale, exchange or other disposition of our Class A common stock or Warrants will be subject to tax at the generally applicable U.S. federal income tax rates. In addition, a buyer of our Class A common stock or Warrants from such holder may be required to withhold U.S. income tax at a rate of 15% of the amount realized upon such disposition. We will be treated as a United States real property holding corporation if 50% or more of our assets throughout a prescribed testing period consist of interests in real property located within the United States, excluding, for this purpose, interests in real property solely in a capacity as a creditor. It is not currently anticipated that we will be treated as a United States real property holding corporation. However there can be no assurance in this regard. Non-U.S. Holders are urged to consult their tax advisors regarding the application of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Constructive Distributions</w:t>
      </w:r>
    </w:p>
    <w:p>
      <w:pPr>
        <w:spacing w:after="0" w:line="17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6"/>
          <w:szCs w:val="16"/>
          <w:i w:val="1"/>
          <w:iCs w:val="1"/>
          <w:color w:val="auto"/>
        </w:rPr>
        <w:t>Description of Securities—Warrants—Public</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An adjustment which has the effect of preventing dilution is generally not a taxable event. Nevertheless, a non-U.S. Holder of Warrants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Class A Common Stock</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characterization for U.S. federal income tax purposes of the redemption of a non-U.S. Holder’s Class A common stock will generally correspond to the U.S. federal income tax characterization of such a redemption of a U.S. Holder’s Class A common stock, as described under “</w:t>
      </w:r>
      <w:r>
        <w:rPr>
          <w:rFonts w:ascii="Arial" w:cs="Arial" w:eastAsia="Arial" w:hAnsi="Arial"/>
          <w:sz w:val="18"/>
          <w:szCs w:val="18"/>
          <w:i w:val="1"/>
          <w:iCs w:val="1"/>
          <w:color w:val="auto"/>
        </w:rPr>
        <w:t>U.S. Holders—Redemption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Class A Common Stock</w:t>
      </w:r>
      <w:r>
        <w:rPr>
          <w:rFonts w:ascii="Arial" w:cs="Arial" w:eastAsia="Arial" w:hAnsi="Arial"/>
          <w:sz w:val="18"/>
          <w:szCs w:val="18"/>
          <w:color w:val="auto"/>
        </w:rPr>
        <w:t>” above, and the consequences of the redemption to the non-U.S. Holder will be as described above under “</w:t>
      </w:r>
      <w:r>
        <w:rPr>
          <w:rFonts w:ascii="Arial" w:cs="Arial" w:eastAsia="Arial" w:hAnsi="Arial"/>
          <w:sz w:val="18"/>
          <w:szCs w:val="18"/>
          <w:i w:val="1"/>
          <w:iCs w:val="1"/>
          <w:color w:val="auto"/>
        </w:rPr>
        <w:t>Non-U.S. Holders— Taxation of Distributions</w:t>
      </w:r>
      <w:r>
        <w:rPr>
          <w:rFonts w:ascii="Arial" w:cs="Arial" w:eastAsia="Arial" w:hAnsi="Arial"/>
          <w:sz w:val="18"/>
          <w:szCs w:val="18"/>
          <w:color w:val="auto"/>
        </w:rPr>
        <w:t>” and “</w:t>
      </w:r>
      <w:r>
        <w:rPr>
          <w:rFonts w:ascii="Arial" w:cs="Arial" w:eastAsia="Arial" w:hAnsi="Arial"/>
          <w:sz w:val="18"/>
          <w:szCs w:val="18"/>
          <w:i w:val="1"/>
          <w:iCs w:val="1"/>
          <w:color w:val="auto"/>
        </w:rPr>
        <w:t>Non-U.S. Holders—Gain on Sale, Exchange or Other Taxable Disposition of Class A Common Stock and Warrants</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Foreign Account Tax Compliance Act,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our Class A common stock is held will affect the determination of whether such withholding is required. Similarly, dividends in respect of shares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Non-U.S. investors are encouraged to consult their tax advisors regarding the possible implications of the legislation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Skadden, Arps, Slate, Meagher &amp; Flom LLP, New York, New York will pass upon the validity of the Class A common stock and Warrants covered by this prospectus. Any underwriters or agents will be advised about other issues relating to the offering by counsel to be named in the applicable prospectus supplement.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consolidated financial statements of Perella Weinberg Partners as of December 31, 2021 and 2020, and for each of the three years in the period ended December 31, 2021,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The information found on, or that can be accessed from or that is hyperlinked to, our website is not part of this prospectus. You may inspect a copy of the registration statement through the SEC’s website,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0" w:type="dxa"/>
            <w:vAlign w:val="bottom"/>
            <w:gridSpan w:val="7"/>
          </w:tcPr>
          <w:p>
            <w:pPr>
              <w:ind w:left="40"/>
              <w:spacing w:after="0"/>
              <w:rPr>
                <w:sz w:val="20"/>
                <w:szCs w:val="20"/>
                <w:color w:val="auto"/>
              </w:rPr>
            </w:pPr>
            <w:r>
              <w:rPr>
                <w:rFonts w:ascii="Arial" w:cs="Arial" w:eastAsia="Arial" w:hAnsi="Arial"/>
                <w:sz w:val="18"/>
                <w:szCs w:val="18"/>
                <w:b w:val="1"/>
                <w:bCs w:val="1"/>
                <w:color w:val="auto"/>
              </w:rPr>
              <w:t>INDEX TO CONSOLIDATED FINANCIAL INFORMATION</w:t>
            </w:r>
          </w:p>
        </w:tc>
        <w:tc>
          <w:tcPr>
            <w:tcW w:w="240" w:type="dxa"/>
            <w:vAlign w:val="bottom"/>
          </w:tcPr>
          <w:p>
            <w:pPr>
              <w:spacing w:after="0"/>
              <w:rPr>
                <w:sz w:val="20"/>
                <w:szCs w:val="20"/>
                <w:color w:val="auto"/>
              </w:rPr>
            </w:pPr>
          </w:p>
        </w:tc>
      </w:tr>
      <w:tr>
        <w:trPr>
          <w:trHeight w:val="418"/>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Statements of Perella Weinberg Partners and subsidiaries</w:t>
            </w:r>
          </w:p>
        </w:tc>
        <w:tc>
          <w:tcPr>
            <w:tcW w:w="240" w:type="dxa"/>
            <w:vAlign w:val="bottom"/>
          </w:tcPr>
          <w:p>
            <w:pPr>
              <w:spacing w:after="0"/>
              <w:rPr>
                <w:sz w:val="24"/>
                <w:szCs w:val="24"/>
                <w:color w:val="auto"/>
              </w:rPr>
            </w:pPr>
          </w:p>
        </w:tc>
      </w:tr>
      <w:tr>
        <w:trPr>
          <w:trHeight w:val="392"/>
        </w:trPr>
        <w:tc>
          <w:tcPr>
            <w:tcW w:w="10960" w:type="dxa"/>
            <w:vAlign w:val="bottom"/>
            <w:gridSpan w:val="9"/>
          </w:tcPr>
          <w:p>
            <w:pPr>
              <w:spacing w:after="0"/>
              <w:rPr>
                <w:sz w:val="20"/>
                <w:szCs w:val="20"/>
                <w:color w:val="auto"/>
              </w:rPr>
            </w:pPr>
            <w:r>
              <w:rPr>
                <w:rFonts w:ascii="Arial" w:cs="Arial" w:eastAsia="Arial" w:hAnsi="Arial"/>
                <w:sz w:val="18"/>
                <w:szCs w:val="18"/>
                <w:color w:val="auto"/>
              </w:rPr>
              <w:t>Audited Consolidated Financial Statements</w:t>
            </w:r>
          </w:p>
        </w:tc>
        <w:tc>
          <w:tcPr>
            <w:tcW w:w="240" w:type="dxa"/>
            <w:vAlign w:val="bottom"/>
          </w:tcPr>
          <w:p>
            <w:pPr>
              <w:spacing w:after="0"/>
              <w:rPr>
                <w:sz w:val="24"/>
                <w:szCs w:val="24"/>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0960" w:type="dxa"/>
            <w:vAlign w:val="bottom"/>
            <w:gridSpan w:val="9"/>
          </w:tcPr>
          <w:p>
            <w:pPr>
              <w:spacing w:after="0"/>
              <w:rPr>
                <w:rFonts w:ascii="Arial" w:cs="Arial" w:eastAsia="Arial" w:hAnsi="Arial"/>
                <w:sz w:val="18"/>
                <w:szCs w:val="18"/>
                <w:color w:val="0000FF"/>
              </w:rPr>
            </w:pPr>
            <w:hyperlink w:anchor="page184">
              <w:r>
                <w:rPr>
                  <w:rFonts w:ascii="Arial" w:cs="Arial" w:eastAsia="Arial" w:hAnsi="Arial"/>
                  <w:sz w:val="18"/>
                  <w:szCs w:val="18"/>
                  <w:color w:val="0000FF"/>
                </w:rPr>
                <w:t>Report of Independent Registered Public Accounting Firm</w:t>
              </w:r>
            </w:hyperlink>
          </w:p>
        </w:tc>
        <w:tc>
          <w:tcPr>
            <w:tcW w:w="240" w:type="dxa"/>
            <w:vAlign w:val="bottom"/>
          </w:tcPr>
          <w:p>
            <w:pPr>
              <w:spacing w:after="0"/>
              <w:rPr>
                <w:rFonts w:ascii="Arial" w:cs="Arial" w:eastAsia="Arial" w:hAnsi="Arial"/>
                <w:sz w:val="18"/>
                <w:szCs w:val="18"/>
                <w:color w:val="0000FF"/>
                <w:w w:val="81"/>
              </w:rPr>
            </w:pPr>
            <w:hyperlink w:anchor="page184">
              <w:r>
                <w:rPr>
                  <w:rFonts w:ascii="Arial" w:cs="Arial" w:eastAsia="Arial" w:hAnsi="Arial"/>
                  <w:sz w:val="18"/>
                  <w:szCs w:val="18"/>
                  <w:color w:val="0000FF"/>
                  <w:w w:val="81"/>
                </w:rPr>
                <w:t>F-2</w:t>
              </w:r>
            </w:hyperlink>
          </w:p>
        </w:tc>
      </w:tr>
      <w:tr>
        <w:trPr>
          <w:trHeight w:val="20"/>
        </w:trPr>
        <w:tc>
          <w:tcPr>
            <w:tcW w:w="3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10960" w:type="dxa"/>
            <w:vAlign w:val="bottom"/>
            <w:gridSpan w:val="9"/>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Consolidated Statements of Financial Condition as of December 31, 2021 and 2020</w:t>
              </w:r>
            </w:hyperlink>
          </w:p>
        </w:tc>
        <w:tc>
          <w:tcPr>
            <w:tcW w:w="240" w:type="dxa"/>
            <w:vAlign w:val="bottom"/>
          </w:tcPr>
          <w:p>
            <w:pPr>
              <w:spacing w:after="0"/>
              <w:rPr>
                <w:rFonts w:ascii="Arial" w:cs="Arial" w:eastAsia="Arial" w:hAnsi="Arial"/>
                <w:sz w:val="18"/>
                <w:szCs w:val="18"/>
                <w:color w:val="0000FF"/>
                <w:w w:val="81"/>
              </w:rPr>
            </w:pPr>
            <w:hyperlink w:anchor="page186">
              <w:r>
                <w:rPr>
                  <w:rFonts w:ascii="Arial" w:cs="Arial" w:eastAsia="Arial" w:hAnsi="Arial"/>
                  <w:sz w:val="18"/>
                  <w:szCs w:val="18"/>
                  <w:color w:val="0000FF"/>
                  <w:w w:val="81"/>
                </w:rPr>
                <w:t>F-3</w:t>
              </w:r>
            </w:hyperlink>
          </w:p>
        </w:tc>
      </w:tr>
      <w:tr>
        <w:trPr>
          <w:trHeight w:val="20"/>
        </w:trPr>
        <w:tc>
          <w:tcPr>
            <w:tcW w:w="3160" w:type="dxa"/>
            <w:vAlign w:val="bottom"/>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10960" w:type="dxa"/>
            <w:vAlign w:val="bottom"/>
            <w:gridSpan w:val="9"/>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Consolidated Statements of Operations for the Years Ended December 31, 2021, 2020 and 2019</w:t>
              </w:r>
            </w:hyperlink>
          </w:p>
        </w:tc>
        <w:tc>
          <w:tcPr>
            <w:tcW w:w="240" w:type="dxa"/>
            <w:vAlign w:val="bottom"/>
          </w:tcPr>
          <w:p>
            <w:pPr>
              <w:spacing w:after="0"/>
              <w:rPr>
                <w:rFonts w:ascii="Arial" w:cs="Arial" w:eastAsia="Arial" w:hAnsi="Arial"/>
                <w:sz w:val="18"/>
                <w:szCs w:val="18"/>
                <w:color w:val="0000FF"/>
                <w:w w:val="81"/>
              </w:rPr>
            </w:pPr>
            <w:hyperlink w:anchor="page186">
              <w:r>
                <w:rPr>
                  <w:rFonts w:ascii="Arial" w:cs="Arial" w:eastAsia="Arial" w:hAnsi="Arial"/>
                  <w:sz w:val="18"/>
                  <w:szCs w:val="18"/>
                  <w:color w:val="0000FF"/>
                  <w:w w:val="81"/>
                </w:rPr>
                <w:t>F-4</w:t>
              </w:r>
            </w:hyperlink>
          </w:p>
        </w:tc>
      </w:tr>
      <w:tr>
        <w:trPr>
          <w:trHeight w:val="20"/>
        </w:trPr>
        <w:tc>
          <w:tcPr>
            <w:tcW w:w="3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83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187">
              <w:r>
                <w:rPr>
                  <w:rFonts w:ascii="Arial" w:cs="Arial" w:eastAsia="Arial" w:hAnsi="Arial"/>
                  <w:sz w:val="18"/>
                  <w:szCs w:val="18"/>
                  <w:color w:val="0000FF"/>
                  <w:w w:val="89"/>
                </w:rPr>
                <w:t>Consolidated Statements of Comprehensive Income (Loss) for the Years Ended December 31, 2021, 2020 and 2019</w:t>
              </w:r>
            </w:hyperlink>
          </w:p>
        </w:tc>
        <w:tc>
          <w:tcPr>
            <w:tcW w:w="2620" w:type="dxa"/>
            <w:vAlign w:val="bottom"/>
          </w:tcPr>
          <w:p>
            <w:pPr>
              <w:spacing w:after="0"/>
              <w:rPr>
                <w:sz w:val="18"/>
                <w:szCs w:val="18"/>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87">
              <w:r>
                <w:rPr>
                  <w:rFonts w:ascii="Arial" w:cs="Arial" w:eastAsia="Arial" w:hAnsi="Arial"/>
                  <w:sz w:val="18"/>
                  <w:szCs w:val="18"/>
                  <w:color w:val="0000FF"/>
                  <w:w w:val="81"/>
                </w:rPr>
                <w:t>F-5</w:t>
              </w:r>
            </w:hyperlink>
          </w:p>
        </w:tc>
      </w:tr>
      <w:tr>
        <w:trPr>
          <w:trHeight w:val="209"/>
        </w:trPr>
        <w:tc>
          <w:tcPr>
            <w:tcW w:w="750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188">
              <w:r>
                <w:rPr>
                  <w:rFonts w:ascii="Arial" w:cs="Arial" w:eastAsia="Arial" w:hAnsi="Arial"/>
                  <w:sz w:val="18"/>
                  <w:szCs w:val="18"/>
                  <w:color w:val="0000FF"/>
                  <w:w w:val="89"/>
                </w:rPr>
                <w:t>Consolidated Statements of Changes in Equity for the Years Ended December 31, 2021, 2020, and 2019</w:t>
              </w:r>
            </w:hyperlink>
          </w:p>
        </w:tc>
        <w:tc>
          <w:tcPr>
            <w:tcW w:w="3460" w:type="dxa"/>
            <w:vAlign w:val="bottom"/>
            <w:gridSpan w:val="2"/>
          </w:tcPr>
          <w:p>
            <w:pPr>
              <w:spacing w:after="0"/>
              <w:rPr>
                <w:sz w:val="18"/>
                <w:szCs w:val="18"/>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88">
              <w:r>
                <w:rPr>
                  <w:rFonts w:ascii="Arial" w:cs="Arial" w:eastAsia="Arial" w:hAnsi="Arial"/>
                  <w:sz w:val="18"/>
                  <w:szCs w:val="18"/>
                  <w:color w:val="0000FF"/>
                  <w:w w:val="81"/>
                </w:rPr>
                <w:t>F-6</w:t>
              </w:r>
            </w:hyperlink>
          </w:p>
        </w:tc>
      </w:tr>
      <w:tr>
        <w:trPr>
          <w:trHeight w:val="209"/>
        </w:trPr>
        <w:tc>
          <w:tcPr>
            <w:tcW w:w="10960" w:type="dxa"/>
            <w:vAlign w:val="bottom"/>
            <w:gridSpan w:val="9"/>
          </w:tcPr>
          <w:p>
            <w:pPr>
              <w:spacing w:after="0"/>
              <w:rPr>
                <w:rFonts w:ascii="Arial" w:cs="Arial" w:eastAsia="Arial" w:hAnsi="Arial"/>
                <w:sz w:val="18"/>
                <w:szCs w:val="18"/>
                <w:color w:val="0000FF"/>
              </w:rPr>
            </w:pPr>
            <w:hyperlink w:anchor="page189">
              <w:r>
                <w:rPr>
                  <w:rFonts w:ascii="Arial" w:cs="Arial" w:eastAsia="Arial" w:hAnsi="Arial"/>
                  <w:sz w:val="18"/>
                  <w:szCs w:val="18"/>
                  <w:color w:val="0000FF"/>
                </w:rPr>
                <w:t>Consolidated Statements of Cash Flows for the Years Ended December 31, 2021, 2020, and 2019</w:t>
              </w:r>
            </w:hyperlink>
          </w:p>
        </w:tc>
        <w:tc>
          <w:tcPr>
            <w:tcW w:w="240" w:type="dxa"/>
            <w:vAlign w:val="bottom"/>
          </w:tcPr>
          <w:p>
            <w:pPr>
              <w:spacing w:after="0"/>
              <w:rPr>
                <w:rFonts w:ascii="Arial" w:cs="Arial" w:eastAsia="Arial" w:hAnsi="Arial"/>
                <w:sz w:val="18"/>
                <w:szCs w:val="18"/>
                <w:color w:val="0000FF"/>
                <w:w w:val="81"/>
              </w:rPr>
            </w:pPr>
            <w:hyperlink w:anchor="page189">
              <w:r>
                <w:rPr>
                  <w:rFonts w:ascii="Arial" w:cs="Arial" w:eastAsia="Arial" w:hAnsi="Arial"/>
                  <w:sz w:val="18"/>
                  <w:szCs w:val="18"/>
                  <w:color w:val="0000FF"/>
                  <w:w w:val="81"/>
                </w:rPr>
                <w:t>F-7</w:t>
              </w:r>
            </w:hyperlink>
          </w:p>
        </w:tc>
      </w:tr>
      <w:tr>
        <w:trPr>
          <w:trHeight w:val="210"/>
        </w:trPr>
        <w:tc>
          <w:tcPr>
            <w:tcW w:w="31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90">
              <w:r>
                <w:rPr>
                  <w:rFonts w:ascii="Arial" w:cs="Arial" w:eastAsia="Arial" w:hAnsi="Arial"/>
                  <w:sz w:val="18"/>
                  <w:szCs w:val="18"/>
                  <w:color w:val="0000FF"/>
                  <w:w w:val="89"/>
                </w:rPr>
                <w:t>Notes to Consolidated Financial Statements</w:t>
              </w:r>
            </w:hyperlink>
          </w:p>
        </w:tc>
        <w:tc>
          <w:tcPr>
            <w:tcW w:w="3840" w:type="dxa"/>
            <w:vAlign w:val="bottom"/>
            <w:tcBorders>
              <w:top w:val="single" w:sz="8" w:color="0000FF"/>
            </w:tcBorders>
            <w:gridSpan w:val="4"/>
          </w:tcPr>
          <w:p>
            <w:pPr>
              <w:spacing w:after="0"/>
              <w:rPr>
                <w:sz w:val="18"/>
                <w:szCs w:val="18"/>
                <w:color w:val="auto"/>
              </w:rPr>
            </w:pPr>
          </w:p>
        </w:tc>
        <w:tc>
          <w:tcPr>
            <w:tcW w:w="3960" w:type="dxa"/>
            <w:vAlign w:val="bottom"/>
            <w:gridSpan w:val="3"/>
          </w:tcPr>
          <w:p>
            <w:pPr>
              <w:spacing w:after="0"/>
              <w:rPr>
                <w:sz w:val="18"/>
                <w:szCs w:val="18"/>
                <w:color w:val="auto"/>
              </w:rPr>
            </w:pPr>
          </w:p>
        </w:tc>
        <w:tc>
          <w:tcPr>
            <w:tcW w:w="240" w:type="dxa"/>
            <w:vAlign w:val="bottom"/>
            <w:tcBorders>
              <w:top w:val="single" w:sz="8" w:color="0000FF"/>
              <w:bottom w:val="single" w:sz="8" w:color="0000FF"/>
            </w:tcBorders>
          </w:tcPr>
          <w:p>
            <w:pPr>
              <w:spacing w:after="0"/>
              <w:rPr>
                <w:rFonts w:ascii="Arial" w:cs="Arial" w:eastAsia="Arial" w:hAnsi="Arial"/>
                <w:sz w:val="18"/>
                <w:szCs w:val="18"/>
                <w:color w:val="0000FF"/>
                <w:w w:val="81"/>
              </w:rPr>
            </w:pPr>
            <w:hyperlink w:anchor="page190">
              <w:r>
                <w:rPr>
                  <w:rFonts w:ascii="Arial" w:cs="Arial" w:eastAsia="Arial" w:hAnsi="Arial"/>
                  <w:sz w:val="18"/>
                  <w:szCs w:val="18"/>
                  <w:color w:val="0000FF"/>
                  <w:w w:val="81"/>
                </w:rPr>
                <w:t>F-8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84" w:name="page185"/>
    <w:bookmarkEnd w:id="184"/>
    <w:p>
      <w:pPr>
        <w:spacing w:after="0" w:line="140" w:lineRule="exact"/>
        <w:rPr>
          <w:sz w:val="20"/>
          <w:szCs w:val="20"/>
          <w:color w:val="auto"/>
        </w:rPr>
      </w:pPr>
    </w:p>
    <w:p>
      <w:pPr>
        <w:ind w:right="3320" w:firstLine="3364"/>
        <w:spacing w:after="0" w:line="42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Perella Weinberg Partners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sheets of Perella Weinberg Partners (the “Company”) as of December 31, 2021 and 2020, the related consolidated statements of comprehensive income (loss), changes in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-445135</wp:posOffset>
            </wp:positionV>
            <wp:extent cx="17145" cy="85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502,773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329,063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311,500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213,524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22,246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58,229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due pursuant to tax receivable agreement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1"/>
              </w:rPr>
              <w:t>Class A common stock, par value $0.0001 per share (1,500,000,000 shares authorized, 43,649,319 issued</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and 42,649,319 outstanding at December 31, 2021)</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89"/>
              </w:rPr>
              <w:t>Class B common stock, par value $0.0001 per share (600,000,000 shares authorized, 50,154,199 issued and</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outstanding at December 31, 2021)</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158,131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 (accumulated deficit)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Treasury stock, at cost (1,000,000 shares of Class A common stock at December 31, 2021)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76,509</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Perella Weinberg Partners equity / Partners’ capital</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126,319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271,352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infrastructure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Rent and occupancy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related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General, administrative and other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688,416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(155,119)</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non-operating income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Arial" w:cs="Arial" w:eastAsia="Arial" w:hAnsi="Arial"/>
                <w:sz w:val="16"/>
                <w:szCs w:val="16"/>
                <w:b w:val="1"/>
                <w:bCs w:val="1"/>
                <w:color w:val="auto"/>
              </w:rPr>
              <w:t xml:space="preserve">Net income (loss) per share attributable to Class A common shareholders </w:t>
            </w:r>
            <w:r>
              <w:rPr>
                <w:rFonts w:ascii="Arial" w:cs="Arial" w:eastAsia="Arial" w:hAnsi="Arial"/>
                <w:sz w:val="21"/>
                <w:szCs w:val="21"/>
                <w:b w:val="1"/>
                <w:bCs w:val="1"/>
                <w:color w:val="auto"/>
                <w:vertAlign w:val="superscript"/>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rPr>
              <w:t xml:space="preserve">Weighted-average shares of Class A common stock outstanding </w:t>
            </w:r>
            <w:r>
              <w:rPr>
                <w:rFonts w:ascii="Arial" w:cs="Arial" w:eastAsia="Arial" w:hAnsi="Arial"/>
                <w:sz w:val="21"/>
                <w:szCs w:val="21"/>
                <w:b w:val="1"/>
                <w:bCs w:val="1"/>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42,595,712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92,749,911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00" w:hanging="332"/>
        <w:spacing w:after="0" w:line="248"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the year ended December 31, 2021, net income (loss) per share of Class A common stock and weighted-average shares of Class A common stock outstanding is representative of the period from June 24, 2021 through December 31, 2021, the period following the Business Combination, as defined in Note 1—Organization and Nature of Business. For more information, refer to Note 15—Net Income (Loss) Per Share Attributable to Class A Common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(163,182)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12,883</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Perella Weinberg Partners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rPr>
                <w:sz w:val="3"/>
                <w:szCs w:val="3"/>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A</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Class B</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80" w:type="dxa"/>
            <w:vAlign w:val="bottom"/>
          </w:tcPr>
          <w:p>
            <w:pPr>
              <w:spacing w:after="0"/>
              <w:rPr>
                <w:sz w:val="7"/>
                <w:szCs w:val="7"/>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B</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Partners’</w:t>
            </w:r>
          </w:p>
        </w:tc>
        <w:tc>
          <w:tcPr>
            <w:tcW w:w="6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0"/>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5"/>
              </w:rPr>
              <w:t>Treasury</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6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2"/>
              </w:rPr>
              <w:t>Common</w:t>
            </w:r>
          </w:p>
        </w:tc>
        <w:tc>
          <w:tcPr>
            <w:tcW w:w="620" w:type="dxa"/>
            <w:vAlign w:val="bottom"/>
            <w:gridSpan w:val="2"/>
            <w:vMerge w:val="continue"/>
          </w:tcPr>
          <w:p>
            <w:pPr>
              <w:spacing w:after="0"/>
              <w:rPr>
                <w:sz w:val="9"/>
                <w:szCs w:val="9"/>
                <w:color w:val="auto"/>
              </w:rPr>
            </w:pPr>
          </w:p>
        </w:tc>
        <w:tc>
          <w:tcPr>
            <w:tcW w:w="6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88"/>
              </w:rPr>
              <w:t>Common</w:t>
            </w:r>
          </w:p>
        </w:tc>
        <w:tc>
          <w:tcPr>
            <w:tcW w:w="6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6"/>
              </w:rPr>
              <w:t>Stock</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9"/>
              </w:rPr>
              <w:t>Stock</w:t>
            </w:r>
          </w:p>
        </w:tc>
        <w:tc>
          <w:tcPr>
            <w:tcW w:w="12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99,176</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(6,657)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92,519</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84"/>
              </w:rPr>
              <w:t>(164,019)</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(164,019)</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5"/>
              </w:rPr>
              <w:t>193,299</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193,299</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7"/>
              </w:rPr>
              <w:t>(38,376)</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(38,376)</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(2,355)</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(2,355)</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837</w:t>
            </w:r>
          </w:p>
        </w:tc>
        <w:tc>
          <w:tcPr>
            <w:tcW w:w="0" w:type="dxa"/>
            <w:vAlign w:val="bottom"/>
          </w:tcPr>
          <w:p>
            <w:pPr>
              <w:spacing w:after="0"/>
              <w:rPr>
                <w:sz w:val="1"/>
                <w:szCs w:val="1"/>
                <w:color w:val="auto"/>
              </w:rPr>
            </w:pPr>
          </w:p>
        </w:tc>
      </w:tr>
      <w:tr>
        <w:trPr>
          <w:trHeight w:val="36"/>
        </w:trPr>
        <w:tc>
          <w:tcPr>
            <w:tcW w:w="23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87,725</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(5,820)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81,905</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New accounting pronouncement adoption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income (loss)</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(24,342)</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(24,342)</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24,815</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24,815</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(11,989)</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(11,989)</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488</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488</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3,494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3,494</w:t>
            </w:r>
          </w:p>
        </w:tc>
        <w:tc>
          <w:tcPr>
            <w:tcW w:w="0" w:type="dxa"/>
            <w:vAlign w:val="bottom"/>
          </w:tcPr>
          <w:p>
            <w:pPr>
              <w:spacing w:after="0"/>
              <w:rPr>
                <w:sz w:val="1"/>
                <w:szCs w:val="1"/>
                <w:color w:val="auto"/>
              </w:rPr>
            </w:pPr>
          </w:p>
        </w:tc>
      </w:tr>
      <w:tr>
        <w:trPr>
          <w:trHeight w:val="147"/>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76,509</w:t>
            </w:r>
          </w:p>
        </w:tc>
        <w:tc>
          <w:tcPr>
            <w:tcW w:w="100" w:type="dxa"/>
            <w:vAlign w:val="bottom"/>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(2,326)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74,183</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w w:val="96"/>
              </w:rPr>
              <w:t>Net income (loss) prior to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59,857</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59,857</w:t>
            </w:r>
          </w:p>
        </w:tc>
        <w:tc>
          <w:tcPr>
            <w:tcW w:w="0" w:type="dxa"/>
            <w:vAlign w:val="bottom"/>
          </w:tcPr>
          <w:p>
            <w:pPr>
              <w:spacing w:after="0"/>
              <w:rPr>
                <w:sz w:val="1"/>
                <w:szCs w:val="1"/>
                <w:color w:val="auto"/>
              </w:rPr>
            </w:pPr>
          </w:p>
        </w:tc>
      </w:tr>
      <w:tr>
        <w:trPr>
          <w:trHeight w:val="152"/>
        </w:trPr>
        <w:tc>
          <w:tcPr>
            <w:tcW w:w="2340" w:type="dxa"/>
            <w:vAlign w:val="bottom"/>
          </w:tcPr>
          <w:p>
            <w:pPr>
              <w:ind w:left="60"/>
              <w:spacing w:after="0"/>
              <w:rPr>
                <w:sz w:val="20"/>
                <w:szCs w:val="20"/>
                <w:color w:val="auto"/>
              </w:rPr>
            </w:pPr>
            <w:r>
              <w:rPr>
                <w:rFonts w:ascii="Arial" w:cs="Arial" w:eastAsia="Arial" w:hAnsi="Arial"/>
                <w:sz w:val="11"/>
                <w:szCs w:val="11"/>
                <w:color w:val="auto"/>
              </w:rPr>
              <w:t>Equity-based compensation prior to Business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40" w:type="dxa"/>
            <w:vAlign w:val="bottom"/>
          </w:tcPr>
          <w:p>
            <w:pPr>
              <w:ind w:left="6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11,761</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11,761</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340" w:type="dxa"/>
            <w:vAlign w:val="bottom"/>
            <w:shd w:val="clear" w:color="auto" w:fill="CCEEFF"/>
          </w:tcPr>
          <w:p>
            <w:pPr>
              <w:ind w:left="60"/>
              <w:spacing w:after="0"/>
              <w:rPr>
                <w:sz w:val="20"/>
                <w:szCs w:val="20"/>
                <w:color w:val="auto"/>
              </w:rPr>
            </w:pPr>
            <w:r>
              <w:rPr>
                <w:rFonts w:ascii="Arial" w:cs="Arial" w:eastAsia="Arial" w:hAnsi="Arial"/>
                <w:sz w:val="11"/>
                <w:szCs w:val="11"/>
                <w:color w:val="auto"/>
                <w:w w:val="99"/>
              </w:rPr>
              <w:t>Foreign currency translation gain (loss) prior to</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Business Combination</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526</w:t>
            </w:r>
          </w:p>
        </w:tc>
        <w:tc>
          <w:tcPr>
            <w:tcW w:w="0" w:type="dxa"/>
            <w:vAlign w:val="bottom"/>
          </w:tcPr>
          <w:p>
            <w:pPr>
              <w:spacing w:after="0"/>
              <w:rPr>
                <w:sz w:val="1"/>
                <w:szCs w:val="1"/>
                <w:color w:val="auto"/>
              </w:rPr>
            </w:pPr>
          </w:p>
        </w:tc>
      </w:tr>
      <w:tr>
        <w:trPr>
          <w:trHeight w:val="152"/>
        </w:trPr>
        <w:tc>
          <w:tcPr>
            <w:tcW w:w="2340" w:type="dxa"/>
            <w:vAlign w:val="bottom"/>
          </w:tcPr>
          <w:p>
            <w:pPr>
              <w:ind w:left="60"/>
              <w:spacing w:after="0"/>
              <w:rPr>
                <w:sz w:val="20"/>
                <w:szCs w:val="20"/>
                <w:color w:val="auto"/>
              </w:rPr>
            </w:pPr>
            <w:r>
              <w:rPr>
                <w:rFonts w:ascii="Arial" w:cs="Arial" w:eastAsia="Arial" w:hAnsi="Arial"/>
                <w:sz w:val="11"/>
                <w:szCs w:val="11"/>
                <w:color w:val="auto"/>
              </w:rPr>
              <w:t>Distributions to partners prior to Business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40" w:type="dxa"/>
            <w:vAlign w:val="bottom"/>
          </w:tcPr>
          <w:p>
            <w:pPr>
              <w:ind w:left="6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7"/>
              </w:rPr>
              <w:t>(47,389)</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(47,389)</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prior to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374</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Effect of Business Combination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84"/>
              </w:rPr>
              <w:t>(101,112)</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87"/>
              </w:rPr>
              <w:t>42,956,667</w:t>
            </w:r>
          </w:p>
        </w:tc>
        <w:tc>
          <w:tcPr>
            <w:tcW w:w="8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50,154,199</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133,832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154,619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188,322</w:t>
            </w: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income (loss)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(46,413)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(55,834)</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w w:val="94"/>
              </w:rPr>
              <w:t>Equity-based awards after Business Combination</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45,594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39,678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85,272</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340" w:type="dxa"/>
            <w:vAlign w:val="bottom"/>
            <w:shd w:val="clear" w:color="auto" w:fill="CCEEFF"/>
          </w:tcPr>
          <w:p>
            <w:pPr>
              <w:ind w:left="60"/>
              <w:spacing w:after="0"/>
              <w:rPr>
                <w:sz w:val="20"/>
                <w:szCs w:val="20"/>
                <w:color w:val="auto"/>
              </w:rPr>
            </w:pPr>
            <w:r>
              <w:rPr>
                <w:rFonts w:ascii="Arial" w:cs="Arial" w:eastAsia="Arial" w:hAnsi="Arial"/>
                <w:sz w:val="11"/>
                <w:szCs w:val="11"/>
                <w:color w:val="auto"/>
              </w:rPr>
              <w:t>Distributions to partners after Business</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Combination</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(18,542)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(18,542)</w:t>
            </w:r>
          </w:p>
        </w:tc>
        <w:tc>
          <w:tcPr>
            <w:tcW w:w="0" w:type="dxa"/>
            <w:vAlign w:val="bottom"/>
          </w:tcPr>
          <w:p>
            <w:pPr>
              <w:spacing w:after="0"/>
              <w:rPr>
                <w:sz w:val="1"/>
                <w:szCs w:val="1"/>
                <w:color w:val="auto"/>
              </w:rPr>
            </w:pPr>
          </w:p>
        </w:tc>
      </w:tr>
      <w:tr>
        <w:trPr>
          <w:trHeight w:val="154"/>
        </w:trPr>
        <w:tc>
          <w:tcPr>
            <w:tcW w:w="2340" w:type="dxa"/>
            <w:vAlign w:val="bottom"/>
          </w:tcPr>
          <w:p>
            <w:pPr>
              <w:ind w:left="60"/>
              <w:spacing w:after="0"/>
              <w:rPr>
                <w:sz w:val="20"/>
                <w:szCs w:val="20"/>
                <w:color w:val="auto"/>
              </w:rPr>
            </w:pPr>
            <w:r>
              <w:rPr>
                <w:rFonts w:ascii="Arial" w:cs="Arial" w:eastAsia="Arial" w:hAnsi="Arial"/>
                <w:sz w:val="11"/>
                <w:szCs w:val="11"/>
                <w:color w:val="auto"/>
              </w:rPr>
              <w:t>Liability awards reclassification to equity</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w w:val="88"/>
              </w:rPr>
              <w:t>Issuance of Class A common stock for vested RSUs</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692,652</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340" w:type="dxa"/>
            <w:vAlign w:val="bottom"/>
          </w:tcPr>
          <w:p>
            <w:pPr>
              <w:ind w:left="60"/>
              <w:spacing w:after="0"/>
              <w:rPr>
                <w:sz w:val="20"/>
                <w:szCs w:val="20"/>
                <w:color w:val="auto"/>
              </w:rPr>
            </w:pPr>
            <w:r>
              <w:rPr>
                <w:rFonts w:ascii="Arial" w:cs="Arial" w:eastAsia="Arial" w:hAnsi="Arial"/>
                <w:sz w:val="11"/>
                <w:szCs w:val="11"/>
                <w:color w:val="auto"/>
              </w:rPr>
              <w:t>Withholding payments on vested RSUs</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(10,462)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(10,462)</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340" w:type="dxa"/>
            <w:vAlign w:val="bottom"/>
            <w:shd w:val="clear" w:color="auto" w:fill="CCEEFF"/>
          </w:tcPr>
          <w:p>
            <w:pPr>
              <w:ind w:left="60"/>
              <w:spacing w:after="0"/>
              <w:rPr>
                <w:sz w:val="20"/>
                <w:szCs w:val="20"/>
                <w:color w:val="auto"/>
              </w:rPr>
            </w:pPr>
            <w:r>
              <w:rPr>
                <w:rFonts w:ascii="Arial" w:cs="Arial" w:eastAsia="Arial" w:hAnsi="Arial"/>
                <w:sz w:val="11"/>
                <w:szCs w:val="11"/>
                <w:color w:val="auto"/>
                <w:w w:val="98"/>
              </w:rPr>
              <w:t>Dividends declared ($0.14 per share of Class A</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common stock)</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(8,654)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(8,424)</w:t>
            </w:r>
          </w:p>
        </w:tc>
        <w:tc>
          <w:tcPr>
            <w:tcW w:w="0" w:type="dxa"/>
            <w:vAlign w:val="bottom"/>
          </w:tcPr>
          <w:p>
            <w:pPr>
              <w:spacing w:after="0"/>
              <w:rPr>
                <w:sz w:val="1"/>
                <w:szCs w:val="1"/>
                <w:color w:val="auto"/>
              </w:rPr>
            </w:pPr>
          </w:p>
        </w:tc>
      </w:tr>
      <w:tr>
        <w:trPr>
          <w:trHeight w:val="152"/>
        </w:trPr>
        <w:tc>
          <w:tcPr>
            <w:tcW w:w="2340" w:type="dxa"/>
            <w:vAlign w:val="bottom"/>
          </w:tcPr>
          <w:p>
            <w:pPr>
              <w:ind w:left="60"/>
              <w:spacing w:after="0"/>
              <w:rPr>
                <w:sz w:val="20"/>
                <w:szCs w:val="20"/>
                <w:color w:val="auto"/>
              </w:rPr>
            </w:pPr>
            <w:r>
              <w:rPr>
                <w:rFonts w:ascii="Arial" w:cs="Arial" w:eastAsia="Arial" w:hAnsi="Arial"/>
                <w:sz w:val="11"/>
                <w:szCs w:val="11"/>
                <w:color w:val="auto"/>
              </w:rPr>
              <w:t>Foreign currency translation gain (loss) after</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40" w:type="dxa"/>
            <w:vAlign w:val="bottom"/>
          </w:tcPr>
          <w:p>
            <w:pPr>
              <w:ind w:left="60"/>
              <w:spacing w:after="0"/>
              <w:rPr>
                <w:sz w:val="20"/>
                <w:szCs w:val="20"/>
                <w:color w:val="auto"/>
              </w:rPr>
            </w:pPr>
            <w:r>
              <w:rPr>
                <w:rFonts w:ascii="Arial" w:cs="Arial" w:eastAsia="Arial" w:hAnsi="Arial"/>
                <w:sz w:val="11"/>
                <w:szCs w:val="11"/>
                <w:color w:val="auto"/>
              </w:rPr>
              <w:t>Business Combination</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(1,087)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(2,007)</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1,803</w:t>
            </w:r>
          </w:p>
        </w:tc>
        <w:tc>
          <w:tcPr>
            <w:tcW w:w="0" w:type="dxa"/>
            <w:vAlign w:val="bottom"/>
          </w:tcPr>
          <w:p>
            <w:pPr>
              <w:spacing w:after="0"/>
              <w:rPr>
                <w:sz w:val="1"/>
                <w:szCs w:val="1"/>
                <w:color w:val="auto"/>
              </w:rPr>
            </w:pPr>
          </w:p>
        </w:tc>
      </w:tr>
      <w:tr>
        <w:trPr>
          <w:trHeight w:val="153"/>
        </w:trPr>
        <w:tc>
          <w:tcPr>
            <w:tcW w:w="2340" w:type="dxa"/>
            <w:vAlign w:val="bottom"/>
          </w:tcPr>
          <w:p>
            <w:pPr>
              <w:ind w:left="60"/>
              <w:spacing w:after="0"/>
              <w:rPr>
                <w:sz w:val="20"/>
                <w:szCs w:val="20"/>
                <w:color w:val="auto"/>
              </w:rPr>
            </w:pPr>
            <w:r>
              <w:rPr>
                <w:rFonts w:ascii="Arial" w:cs="Arial" w:eastAsia="Arial" w:hAnsi="Arial"/>
                <w:sz w:val="11"/>
                <w:szCs w:val="11"/>
                <w:color w:val="auto"/>
              </w:rPr>
              <w:t>Treasury stock purchase</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88"/>
              </w:rPr>
              <w:t>(1,000,000)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(12,000)</w:t>
            </w: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Change in ownership interests</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(15,845)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7"/>
              </w:rPr>
              <w:t>43,649,319</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7"/>
              </w:rPr>
              <w:t>50,154,199</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8"/>
              </w:rPr>
              <w:t>(1,000,000)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158,131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(18,075)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(1,746)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145,033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271,352</w:t>
            </w:r>
          </w:p>
        </w:tc>
        <w:tc>
          <w:tcPr>
            <w:tcW w:w="0" w:type="dxa"/>
            <w:vAlign w:val="bottom"/>
          </w:tcPr>
          <w:p>
            <w:pPr>
              <w:spacing w:after="0"/>
              <w:rPr>
                <w:sz w:val="1"/>
                <w:szCs w:val="1"/>
                <w:color w:val="auto"/>
              </w:rPr>
            </w:pPr>
          </w:p>
        </w:tc>
      </w:tr>
      <w:tr>
        <w:trPr>
          <w:trHeight w:val="25"/>
        </w:trPr>
        <w:tc>
          <w:tcPr>
            <w:tcW w:w="2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80"/>
              <w:spacing w:after="0"/>
              <w:rPr>
                <w:sz w:val="20"/>
                <w:szCs w:val="20"/>
                <w:color w:val="auto"/>
              </w:rPr>
            </w:pPr>
            <w:r>
              <w:rPr>
                <w:rFonts w:ascii="Arial" w:cs="Arial" w:eastAsia="Arial" w:hAnsi="Arial"/>
                <w:sz w:val="14"/>
                <w:szCs w:val="14"/>
                <w:color w:val="auto"/>
              </w:rPr>
              <w:t>Net income (loss)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4,023</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(164,019)</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Equity-based awards vesting expense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193,299</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debt discounts and deferred financing costs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Change in fair value of warrant liabilities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Non-cash operating lease expense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14,462</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Deferred taxes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Bad debt expense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Other</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Decrease (increase) in operating assets: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Accounts receivable, net of allowance</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Due from related parties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186"/>
        </w:trPr>
        <w:tc>
          <w:tcPr>
            <w:tcW w:w="6360" w:type="dxa"/>
            <w:vAlign w:val="bottom"/>
          </w:tcPr>
          <w:p>
            <w:pPr>
              <w:ind w:left="260"/>
              <w:spacing w:after="0"/>
              <w:rPr>
                <w:sz w:val="20"/>
                <w:szCs w:val="20"/>
                <w:color w:val="auto"/>
              </w:rPr>
            </w:pPr>
            <w:r>
              <w:rPr>
                <w:rFonts w:ascii="Arial" w:cs="Arial" w:eastAsia="Arial" w:hAnsi="Arial"/>
                <w:sz w:val="14"/>
                <w:szCs w:val="14"/>
                <w:color w:val="auto"/>
              </w:rPr>
              <w:t>Prepaid expenses and other assets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(15,205)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Accrued compensation and benefits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103,851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(148,421)</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compensation programs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Accounts payable, accrued expenses and other liabilities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(5,555)</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Lease liabilities</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(15,416)</w:t>
            </w:r>
          </w:p>
        </w:tc>
        <w:tc>
          <w:tcPr>
            <w:tcW w:w="0" w:type="dxa"/>
            <w:vAlign w:val="bottom"/>
          </w:tcPr>
          <w:p>
            <w:pPr>
              <w:spacing w:after="0"/>
              <w:rPr>
                <w:sz w:val="1"/>
                <w:szCs w:val="1"/>
                <w:color w:val="auto"/>
              </w:rPr>
            </w:pPr>
          </w:p>
        </w:tc>
      </w:tr>
      <w:tr>
        <w:trPr>
          <w:trHeight w:val="186"/>
        </w:trPr>
        <w:tc>
          <w:tcPr>
            <w:tcW w:w="6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cash provided by (used in) operating activities</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234,908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85,907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(106,107)</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Distributions from company-owned life insurance policies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Purchases of fixed assets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(7,417)</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Net cash provided by (used in) investing activities</w:t>
            </w:r>
          </w:p>
        </w:tc>
        <w:tc>
          <w:tcPr>
            <w:tcW w:w="9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(5,522)</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(7,267)</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Proceeds from Business Combination, including PIPE Investment</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355,021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 of Business Combination costs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Draw down of Revolving Credit Facility</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Principal payment on Revolving Credit Facility</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Redemption of Convertible Notes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(160,930)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Redemption of partners’ interests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(104,540)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Distributions to partners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(65,931)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(38,376)</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Dividends paid</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Withholding payments for vested RSUs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(10,462)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Treasury stock purchases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Debt issuance costs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Partner Promissory Note</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Other</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186"/>
        </w:trPr>
        <w:tc>
          <w:tcPr>
            <w:tcW w:w="63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(55,021)</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(21,989)</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(30,213)</w:t>
            </w:r>
          </w:p>
        </w:tc>
        <w:tc>
          <w:tcPr>
            <w:tcW w:w="0" w:type="dxa"/>
            <w:vAlign w:val="bottom"/>
          </w:tcPr>
          <w:p>
            <w:pPr>
              <w:spacing w:after="0"/>
              <w:rPr>
                <w:sz w:val="1"/>
                <w:szCs w:val="1"/>
                <w:color w:val="auto"/>
              </w:rPr>
            </w:pPr>
          </w:p>
        </w:tc>
      </w:tr>
      <w:tr>
        <w:trPr>
          <w:trHeight w:val="17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8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(141,949)</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330,908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266,582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408,531</w:t>
            </w:r>
          </w:p>
        </w:tc>
        <w:tc>
          <w:tcPr>
            <w:tcW w:w="0" w:type="dxa"/>
            <w:vAlign w:val="bottom"/>
          </w:tcPr>
          <w:p>
            <w:pPr>
              <w:spacing w:after="0"/>
              <w:rPr>
                <w:sz w:val="1"/>
                <w:szCs w:val="1"/>
                <w:color w:val="auto"/>
              </w:rPr>
            </w:pPr>
          </w:p>
        </w:tc>
      </w:tr>
      <w:tr>
        <w:trPr>
          <w:trHeight w:val="21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504,775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330,908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266,582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non-cash investing activity</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36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Liability awards reclassification to equity</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Dividends declared and unpaid</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2,664</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liabilities arising from obtaining right-of-use lease assets</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4,111</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Net assets of deconsolidated affiliate</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394</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12,547</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2,242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interest</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5,515</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0" w:name="page191"/>
    <w:bookmarkEnd w:id="190"/>
    <w:p>
      <w:pPr>
        <w:jc w:val="center"/>
        <w:ind w:right="-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Nature of Business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a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3—Business Combination for additional discussion related to the transaction.</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17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(the “TPH Business Combination”). Prior to February 28, 2019, PWP OpCo owned and operated two distinct businesses: investment banking advisory (“Advisory business”) and asset management (“Asset Management business”).</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consolidated financial statements included in this Annual Report on Form 10-K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the Separation in February 2019, assets and liabilities held by PWP Group were for both the Advisory and Asset Management businesses. Based on an evaluation of the guidance under SAB Topic 5.z.7, Accounting for the spin-off of a subsidiary,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the year ended December 31, 2019.</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Consolidated Statements of Comprehensive Income (Loss) reflect the Advisory 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17—Related Party Transactions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Estimates and the assumptions underlying these estimates are reviewed periodically, and the effects of revisions are reflected in the period in which they are determined to be necessary.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measurement of amount due pursuant to the tax receivable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measurement and timing of revenue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left="100" w:right="320"/>
        <w:spacing w:after="0" w:line="263"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December 31, 2021 and 2020 the Company had no cash equivalents. The Company maintains cash with banks and brokerage firms, which from time to time may exceed federally insured limits.</w:t>
      </w:r>
    </w:p>
    <w:p>
      <w:pPr>
        <w:spacing w:after="0" w:line="130" w:lineRule="exact"/>
        <w:rPr>
          <w:sz w:val="20"/>
          <w:szCs w:val="20"/>
          <w:color w:val="auto"/>
        </w:rPr>
      </w:pPr>
    </w:p>
    <w:p>
      <w:pPr>
        <w:ind w:left="100" w:right="20"/>
        <w:spacing w:after="0" w:line="308" w:lineRule="auto"/>
        <w:rPr>
          <w:sz w:val="20"/>
          <w:szCs w:val="20"/>
          <w:color w:val="auto"/>
        </w:rPr>
      </w:pPr>
      <w:r>
        <w:rPr>
          <w:rFonts w:ascii="Arial" w:cs="Arial" w:eastAsia="Arial" w:hAnsi="Arial"/>
          <w:sz w:val="17"/>
          <w:szCs w:val="17"/>
          <w:color w:val="auto"/>
        </w:rPr>
        <w:t>Restricted cash represents cash that is not readily available for general purpose cash needs. As of December 31, 2021 and 2020, the Company had restricted cash of $2.0 million and $1.8 million, respectively, maintained as collateral for letters of credit related to certain office leases.</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reconciliation of the Company’s cash, cash equivalents and restricted cash as of December 31, 2021 and 2020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502,773</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329,063</w:t>
            </w:r>
          </w:p>
        </w:tc>
      </w:tr>
      <w:tr>
        <w:trPr>
          <w:trHeight w:val="229"/>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equivalents</w:t>
            </w: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21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504,775</w:t>
            </w:r>
          </w:p>
        </w:tc>
        <w:tc>
          <w:tcPr>
            <w:tcW w:w="5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330,908</w:t>
            </w: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left="100" w:right="80"/>
        <w:spacing w:after="0" w:line="25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2021 and 2020, $2.5 million and $5.1 million of accrued revenue, respectively, was included in Accounts receivable, net of allowance for credit losses on the Consolidated Statements of Financial Condition. These amounts represent amounts due from clients and recognized as revenue in accordance with the Company’s revenue recognition policies but unbilled at the end of the period.</w:t>
      </w:r>
    </w:p>
    <w:p>
      <w:pPr>
        <w:spacing w:after="0" w:line="134" w:lineRule="exact"/>
        <w:rPr>
          <w:sz w:val="20"/>
          <w:szCs w:val="20"/>
          <w:color w:val="auto"/>
        </w:rPr>
      </w:pPr>
    </w:p>
    <w:p>
      <w:pPr>
        <w:ind w:left="100"/>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December 31, 2021, certain accounts receivable in the aggregate amount of $13.6 million, were individually greater than 10% of the Company’s gross accounts receivable and were concentrated with two clients. Of that amount, $6.7 million was subsequently received after year end. As of December 31, 2020, no accounts receivable were individually greater than 10% of the Company’s total gross accounts receivable.</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left="100" w:right="180"/>
        <w:spacing w:after="0" w:line="286" w:lineRule="auto"/>
        <w:rPr>
          <w:sz w:val="20"/>
          <w:szCs w:val="20"/>
          <w:color w:val="auto"/>
        </w:rPr>
      </w:pPr>
      <w:r>
        <w:rPr>
          <w:rFonts w:ascii="Arial" w:cs="Arial" w:eastAsia="Arial" w:hAnsi="Arial"/>
          <w:sz w:val="17"/>
          <w:szCs w:val="17"/>
          <w:color w:val="auto"/>
        </w:rPr>
        <w:t xml:space="preserve">On January 1, 2020, the Company adopted Accounting Standards Update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(“ASU 2016-13”) </w:t>
      </w:r>
      <w:r>
        <w:rPr>
          <w:rFonts w:ascii="Arial" w:cs="Arial" w:eastAsia="Arial" w:hAnsi="Arial"/>
          <w:sz w:val="17"/>
          <w:szCs w:val="17"/>
          <w:color w:val="auto"/>
        </w:rPr>
        <w:t>under the modified retrospective approach. This new standard replaces the incurred loss impairment methodology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with the current expected credit loss (“CECL”) model which requires an estimate of future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173355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Consolidated Statements of Operations. After concluding that a reserved accounts receivable is no longer collectible, the Company reduces both the gross receivable and the allowance for credit losses.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2021 and December 31, 2020, the net assets of PWP OpCo were $268.5 million and $74.2 million, respectively. As of December 31, 2021 and December 31, 2020, the Company did not consolidate any VIEs other than PWP OpCo that were deemed material to the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Consolidated Statements of Financial Condition. The Company reflects its share of income and losses of the investee in Other income (expense) on the Consolidated Statements of Operations using the most recently available earnings data for the reporting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carrying values of the Company’s financial instruments approximate their fair value as of December 31, 2021 and 2020 due to their short-term nature or the bearing of market interest rates. Refer to Note 16—Fair Value Measurements and Investments for discussion on the fair value of the Company’s assets and liabilities that qualify as financial instruments under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Generally, the majority of Prepaid expenses and other assets consists of prepaid expenses. Prepaid expenses relate to various services, including subscriptions, software licenses and insurance, which are amortized over the life, related service period or policy.</w:t>
      </w:r>
    </w:p>
    <w:p>
      <w:pPr>
        <w:spacing w:after="0" w:line="92"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When applicable, deferred offering costs are also presented within Prepaid expenses and other assets. As of December 31, 2020, cumulative offering costs of $9.1 million were deferred in relation to the Business Combination and were netted against proceeds of the Business Combination on the Closing Date. Prior to the Business Combination, the Company had deferred $14.8 million of costs associated with its pursuit of a traditional initial public offering, but upon termination of this process in May 2020, expensed this amount to Professional fees on the Consolidated Statements of Operations.</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2021, Prepaid expenses and other assets included deferred offering costs of $0.9 million related to a primary offering of shares of its Class A common stock. Refer to Note 20—Subsequent Events for additional information regarding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evaluated the public and private warrants under ASC Topic 815, Derivatives and Hedging (“ASC 815”), and concluded that they do not meet the criteria to be classified as equity in the Consolidated Statements of Financial Condition. Since the public and private warrants meet the definition of a derivative under ASC 815, the Company recorded these warrants as liabilities at fair value upon the closing of the Business Combination in accordance with ASC 820, Fair Value Measurement, with subsequent changes in their respective fair values recorded in Change in fair value of warrant liabilities on the Consolidated Statements of Operations and on the Consolidated Statements of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connection with the Business Combination as described in Note 3—Business Combination, PWP entered into a tax receivable agreement with PWP OpCo, Professional Partners and ILPs under which PWP agreed to payment of 85% of the amount of savings, if any, that PWP realizes in U.S. federal, state, local and foreign income taxes as a result of (i) the Business Combination and related transactions, (ii) exchanges of interests in PWP OpCo for cash or stock of the Company and certain other transactions and (iii) payments made under the tax receivable agreement. Management’s best estimate of the amounts expected to be owed in connection with the tax receivable agreement at each reporting date are reported within the Amount due pursuant to tax receivable agreement on the Consolidated Statements of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33" w:lineRule="exact"/>
        <w:rPr>
          <w:sz w:val="20"/>
          <w:szCs w:val="20"/>
          <w:color w:val="auto"/>
        </w:rPr>
      </w:pPr>
    </w:p>
    <w:p>
      <w:pPr>
        <w:ind w:right="420"/>
        <w:spacing w:after="0" w:line="287"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w:t>
      </w:r>
    </w:p>
    <w:p>
      <w:pPr>
        <w:spacing w:after="0" w:line="2" w:lineRule="exact"/>
        <w:rPr>
          <w:sz w:val="20"/>
          <w:szCs w:val="20"/>
          <w:color w:val="auto"/>
        </w:rPr>
      </w:pPr>
    </w:p>
    <w:p>
      <w:pPr>
        <w:ind w:firstLine="8"/>
        <w:spacing w:after="0" w:line="255" w:lineRule="auto"/>
        <w:tabs>
          <w:tab w:leader="none" w:pos="2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14—Other Compensation and Benefits for further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5—Leases for further information regarding leases that fall under ASC Topic 842, Leases (“ASC 842”).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Operations.</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Taxes are accounted for using the asset and liability method of accounting pursuant to ASC Topic 740, Income Taxes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and Issuance Costs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normal course of business, the Company may enter into transactions not denominated in U.S. dollars. Foreign exchange gains and losses arising from such transactions are included in Other income (expense) in the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Equity.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4—Revenue and Receivables from Contracts with Customers for further information on contracts within the scope of ASU 2014-09.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typically earns interest on cash at banks, which is recorded on an accrual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Compensation and benefits expense consists of salaries, bonuses (discretionary awards and guaranteed amounts), severance, deferred compensation, as well as payroll and related taxes and benefits for the Company’s employees. In all instances, compensation expense is accrued over the requisite service period. Refer to Note 14—Other Compensation and Benefits for further information.</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is included in Equity-based compensation on the Consolidated Statements of Operations and equity-based compensation expense for non-employees is included in Professional fees on the Consolidated Statements of Operations. Refer to Note 13—Equity-Based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consolidated financial statements. Non-controlling interests are presented as a separate component of equity on the Consolidated Statements of Financial Condition. Net income (loss) includes the net income (loss) attributable to the holders of the non-controlling interests on the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 Equity-Based Compensation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Comprehensive income (loss) consists of Net income (loss) and Other comprehensive income (loss). The Company’s Other comprehensive income (loss) is comprised of foreign currency cumulative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—Effective January 1, 2019, the Company adopted the new lease accounting standard, ASU 2016-02, Leases (“ASU 2016-02”)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lessees to recognize on its Balance Sheet (Statement of Financial Condition), assets and liabilities for all leases, other than the leases that meet the definition of short-term leases, at the option of the lessee.</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or Consolidated Statements of Cash Flows, but had the following impact on the Consolidated Statements of Financial Condition: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Adoption</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w w:val="95"/>
              </w:rPr>
              <w:t>December 31, 2018</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January 1, 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lease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78,394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28,227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Note 5—Leases for additional information regarding the Company’s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jc w:val="center"/>
        <w:ind w:right="-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—In June 2016, the FASB issued ASU 2016-13. ASU 2016-13 provides amendments to ASC Topic 326,</w:t>
      </w:r>
      <w:r>
        <w:rPr>
          <w:rFonts w:ascii="Arial" w:cs="Arial" w:eastAsia="Arial" w:hAnsi="Arial"/>
          <w:sz w:val="17"/>
          <w:szCs w:val="17"/>
          <w:i w:val="1"/>
          <w:iCs w:val="1"/>
          <w:color w:val="auto"/>
        </w:rPr>
        <w:t xml:space="preserve"> Financial Instruments – Credit Losses</w:t>
      </w:r>
      <w:r>
        <w:rPr>
          <w:rFonts w:ascii="Arial" w:cs="Arial" w:eastAsia="Arial" w:hAnsi="Arial"/>
          <w:sz w:val="17"/>
          <w:szCs w:val="17"/>
          <w:color w:val="auto"/>
        </w:rPr>
        <w:t>, which amend the guidance on the impairment of financial instruments and adds an impairment model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 (CECL) model) that is based on expected losses rather than incurred losses. Entities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 changes to U.S. GAAP that are not yet effective are expected to have a material effect on the Company’s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 December 29, 2020, by and among the Company (previously FTIV), the Sponsor,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171" w:lineRule="exact"/>
        <w:rPr>
          <w:sz w:val="20"/>
          <w:szCs w:val="20"/>
          <w:color w:val="auto"/>
        </w:rPr>
      </w:pPr>
    </w:p>
    <w:p>
      <w:pPr>
        <w:jc w:val="both"/>
        <w:ind w:left="660" w:right="420" w:hanging="328"/>
        <w:spacing w:after="0" w:line="286"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11" w:lineRule="exact"/>
        <w:rPr>
          <w:rFonts w:ascii="Arial" w:cs="Arial" w:eastAsia="Arial" w:hAnsi="Arial"/>
          <w:sz w:val="17"/>
          <w:szCs w:val="17"/>
          <w:color w:val="auto"/>
        </w:rPr>
      </w:pPr>
    </w:p>
    <w:p>
      <w:pPr>
        <w:ind w:left="660" w:right="140" w:hanging="328"/>
        <w:spacing w:after="0" w:line="259"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29"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71"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w:t>
      </w:r>
    </w:p>
    <w:p>
      <w:pPr>
        <w:spacing w:after="0" w:line="69"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the Closing Date, the Company recorded $22.2 million in public warrant liabilities and $0.7 million in private warrant liabilities, which represented their fair value on such date. See Note 12—Warrants for further information. In conjunction with the Business Combination, the Company incurred approximately $2.9 million in transaction expenses, which were recorded in Professional fees on the Consolidated Statements of Operations, as well as $27.6 million of offering costs which were offset against the proceeds of the Business Combination.</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 the time of the Closing, there were 42,956,667 shares of Class A common stock and 50,154,199 shares of Class B common stock outstanding. The number of shares of Class B common stock outstanding corresponds to the number of PWP OpCo Units attributable to Professional Partners and the ILPs. Such PWP OpCo Units are exchangeable into shares of PWP’s Class A common stock on a one-for-one basis and represent the non-controlling ownership interests in the Company. Class B-1 and B-2 common stock have de minimis economic rights. See Note 11—Stockholders' Equity for additional information.</w:t>
      </w:r>
    </w:p>
    <w:p>
      <w:pPr>
        <w:spacing w:after="0" w:line="13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 xml:space="preserve">Concurrent with the Closing, the Company entered into certain other related agreements which are discussed further in </w:t>
      </w:r>
      <w:r>
        <w:rPr>
          <w:rFonts w:ascii="Arial" w:cs="Arial" w:eastAsia="Arial" w:hAnsi="Arial"/>
          <w:sz w:val="18"/>
          <w:szCs w:val="18"/>
          <w:b w:val="1"/>
          <w:bCs w:val="1"/>
          <w:color w:val="auto"/>
        </w:rPr>
        <w:t>Note 11—Stockholders' Equity</w:t>
      </w:r>
      <w:r>
        <w:rPr>
          <w:rFonts w:ascii="Arial" w:cs="Arial" w:eastAsia="Arial" w:hAnsi="Arial"/>
          <w:sz w:val="18"/>
          <w:szCs w:val="18"/>
          <w:color w:val="auto"/>
        </w:rPr>
        <w:t xml:space="preserve"> and Note 17—Related Party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 and Receivables from Contracts with Customers</w:t>
      </w:r>
    </w:p>
    <w:p>
      <w:pPr>
        <w:spacing w:after="0" w:line="17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503,052</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533,297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Consolidated Statements of Operations. Reimbursable expenses billed to clients was $5.0 million, $6.5 million, and $6.7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3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two ways—either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1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Such amounts are adjusted to reflect actual expenses in the period in which the Company receives the final settlement, typically within 90 days following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17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of December 31, 2021, the aggregate amount of the transaction price allocated to performance obligations yet to be satisfied is $6.4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years ended December 31, 2021, 2020, and 2019, the Company recognized revenue of $313.2 million, $177.4 million, and $217.9 million, respectively, related to performance obligations that were satisfied or partially satisfied in prior periods, mainly due to constraints on variable consideration in prior periods being resolved for transaction-related advisory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December 31, 2021 and 2020, the Company recorded $7.8 million and $10.6 million, respectively, for these contract liabilities which are presented as Deferred revenue on the Consolidated Statements of Financial Condition. For the years ended December 31, 2021, 2020, and 2019, $10.6 million, $1.7 million and $1.6 million, respectively, of the respective beginning deferred revenue balance was recognized as revenue and was primarily related to the Company’s transaction-related advisory services performance obligations that are recognized over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activity for the years ended December 31, 2021, 2020, and 2019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Beginning Balance</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Write-offs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320" w:hanging="332"/>
        <w:spacing w:after="0" w:line="358" w:lineRule="auto"/>
        <w:tabs>
          <w:tab w:leader="none" w:pos="332" w:val="left"/>
        </w:tabs>
        <w:numPr>
          <w:ilvl w:val="0"/>
          <w:numId w:val="92"/>
        </w:numPr>
        <w:rPr>
          <w:rFonts w:ascii="Arial" w:cs="Arial" w:eastAsia="Arial" w:hAnsi="Arial"/>
          <w:sz w:val="13"/>
          <w:szCs w:val="13"/>
          <w:color w:val="auto"/>
        </w:rPr>
      </w:pPr>
      <w:r>
        <w:rPr>
          <w:rFonts w:ascii="Arial" w:cs="Arial" w:eastAsia="Arial" w:hAnsi="Arial"/>
          <w:sz w:val="13"/>
          <w:szCs w:val="13"/>
          <w:color w:val="auto"/>
        </w:rPr>
        <w:t>Beginning balance for the year ended December 31, 2020 includes the cumulative adjustment of approximately $0.2 million which reflects the increase in the Company’s allowance for credit losses upon adoption of ASU 2016-13 and the CECL model on January 1, 2020. See Note 2—Summary of Significant Accounting Policies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5—Leases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 of ASC 842).</w:t>
      </w:r>
    </w:p>
    <w:p>
      <w:pPr>
        <w:spacing w:after="0" w:line="1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Consolidated Statements of Financial Condition.</w:t>
      </w:r>
    </w:p>
    <w:p>
      <w:pPr>
        <w:spacing w:after="0" w:line="11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conjunction with the Separation, the Company entered into sublease agreements for a portion of its Houston and New York office space with PWP Capital Holdings LP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During the year ended December 31, 2021, the Houston sublease was terminated, and the New York sublease was modified to extend the term and reduce the subleased space. See additional information regarding these subleases in Note 17—Related Party Transactions.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New Leases and Lease Modifications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an increase of $12.9 million and a corresponding increase to the right-of-use asset as well as a $0.1 million gain, which was recognized as Other income (expense) on the Consolidated Statements of Operations.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85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3.26 years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 years</w:t>
            </w:r>
          </w:p>
        </w:tc>
        <w:tc>
          <w:tcPr>
            <w:tcW w:w="0" w:type="dxa"/>
            <w:vAlign w:val="bottom"/>
          </w:tcPr>
          <w:p>
            <w:pPr>
              <w:spacing w:after="0"/>
              <w:rPr>
                <w:sz w:val="1"/>
                <w:szCs w:val="1"/>
                <w:color w:val="auto"/>
              </w:rPr>
            </w:pPr>
          </w:p>
        </w:tc>
      </w:tr>
      <w:tr>
        <w:trPr>
          <w:trHeight w:val="466"/>
        </w:trPr>
        <w:tc>
          <w:tcPr>
            <w:tcW w:w="6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 - operating leases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lease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20,765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21,689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19,858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21,532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458"/>
        </w:trPr>
        <w:tc>
          <w:tcPr>
            <w:tcW w:w="8280" w:type="dxa"/>
            <w:vAlign w:val="bottom"/>
            <w:gridSpan w:val="6"/>
          </w:tcPr>
          <w:p>
            <w:pPr>
              <w:spacing w:after="0"/>
              <w:rPr>
                <w:sz w:val="20"/>
                <w:szCs w:val="20"/>
                <w:color w:val="auto"/>
              </w:rPr>
            </w:pPr>
            <w:r>
              <w:rPr>
                <w:rFonts w:ascii="Arial" w:cs="Arial" w:eastAsia="Arial" w:hAnsi="Arial"/>
                <w:sz w:val="18"/>
                <w:szCs w:val="18"/>
                <w:color w:val="auto"/>
                <w:w w:val="91"/>
              </w:rPr>
              <w:t>As of December 31, 2021, the maturities of undiscounted operating lease liabilities of the Company are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16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Operating Leases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0"/>
              </w:rPr>
              <w:t>Sublease Income</w:t>
            </w:r>
          </w:p>
        </w:tc>
        <w:tc>
          <w:tcPr>
            <w:tcW w:w="220" w:type="dxa"/>
            <w:vAlign w:val="bottom"/>
          </w:tcPr>
          <w:p>
            <w:pPr>
              <w:spacing w:after="0"/>
              <w:rPr>
                <w:sz w:val="24"/>
                <w:szCs w:val="24"/>
                <w:color w:val="auto"/>
              </w:rPr>
            </w:pPr>
          </w:p>
        </w:tc>
        <w:tc>
          <w:tcPr>
            <w:tcW w:w="1340" w:type="dxa"/>
            <w:vAlign w:val="bottom"/>
          </w:tcPr>
          <w:p>
            <w:pPr>
              <w:jc w:val="right"/>
              <w:ind w:right="273"/>
              <w:spacing w:after="0"/>
              <w:rPr>
                <w:sz w:val="20"/>
                <w:szCs w:val="20"/>
                <w:color w:val="auto"/>
              </w:rPr>
            </w:pPr>
            <w:r>
              <w:rPr>
                <w:rFonts w:ascii="Arial" w:cs="Arial" w:eastAsia="Arial" w:hAnsi="Arial"/>
                <w:sz w:val="14"/>
                <w:szCs w:val="14"/>
                <w:b w:val="1"/>
                <w:bCs w:val="1"/>
                <w:color w:val="auto"/>
              </w:rPr>
              <w:t>Net Payments</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(1,602)</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Intangible assets related to the TPH Business Combination were recognized at their estimated fair values, which was based on certain projected future revenues and involved the use of significant judgment. Below is the detail of the intangible assets: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intangible assets are amortized over an average useful life of 10 years. For each of the years ended December 31, 2021, 2020, and 2019, intangible amortization expense was $6.6 million, which is included in Depreciation and amortization in the Consolidated Statements of Operations. Amortization of intangible assets held at December 31, 2021 is expected to be $6.6 million for each of the years ending December 31, 2022, 2023, 2024, and 2025, and $6.0 million for the year ending December 31, 2026. These intangible assets will be fully amortized by November 30, 2026.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7—Regulatory Requirements</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 SEC regulated subsidiaries hold funds or securities for, or owe money or securities to, clients or carry accounts of or for clients, and as such are all exempt from the SEC Customer Protection Rule (Rule 15c3-3). As of December 31, 2021 and 2020, all regulated subsidiaries were in excess of their applicable capital requirements.</w:t>
      </w:r>
    </w:p>
    <w:p>
      <w:pPr>
        <w:spacing w:after="0" w:line="1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a portion of the capital of each subsidiary of the Company is restricted and may be unavailable to pay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8—Fixed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December 31, 2021 and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assets,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Depreciation expense related to fixed assets was $6.7 million, $7.3 million, and $7.8 million for the years ended December 31, 2021, 2020, and 2019, respectively. Amortization expense related to software development costs was $1.2 million, $1.7 million, and $1.5 million for the years ended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2021, the Company disposed of certain obsolete assets, substantially all of which were fully depreciated.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(loss) before income taxes is associated with activities in domestic and international jurisdictions,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2"/>
              </w:rPr>
              <w:t>(33,803)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(176,157)</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22,694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87"/>
              </w:rPr>
              <w:t>12,914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2"/>
              </w:rPr>
              <w:t>(20,889)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Company’s operations are generally comprised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These taxes have been reflected in the Company’s consolidated financial statements and allocated between the Company and the non-controlling interest holders. In addition, the Company is subject to U.S. corporate federal, state and local income tax on its allocable share of results of operations from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tax (provision) / benefit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Federal income tax</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(6,500)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income tax</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income tax benefit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State and local income tax</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income tax</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48"/>
        </w:trPr>
        <w:tc>
          <w:tcPr>
            <w:tcW w:w="6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(Provision)/benefit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effective tax rate is dependent on many factors, including the amount of income subject to tax. Consequently, the effective tax rate can vary from period to period. The Company’s overall effective tax rate in each of the periods described below varies from the U.S. federal statutory rate primarily because (i) the Company was not subject to U.S. federal corporate income taxes prior to the Business Combination, (ii) a portion of compensation expense is non-deductible, both prior to the Business Combination and for the subsequent period, (iii) the Company has recorded unrecognized tax benefits related to a potential double inclusion of income on its foreign tax returns and (iv) a portion of the Company’s income is allocated to non-controlling interests held in PWP OpCo in which the majority of any tax liability on such income is borne by the holders of such non-controlling interests and reported outside of the consolidated financial statements.</w:t>
      </w:r>
    </w:p>
    <w:p>
      <w:pPr>
        <w:spacing w:after="0" w:line="14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Business Combination resulted in a $16.1 million increase to the Company’s deferred tax asset primarily related to a step-up in the tax basis of certain assets that will be recovered as those assets are amortized. In connection with the step-up in tax basis generated on the day of the Business Combination, the Company recorded a payable of $14.1 million pursuant to the terms of the tax receivable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U.S. federal statutory tax rate to the effective income tax rate:</w:t>
      </w:r>
    </w:p>
    <w:p>
      <w:pPr>
        <w:spacing w:after="0" w:line="203"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24"/>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income tax expense at the federal statutory rate</w:t>
            </w:r>
          </w:p>
        </w:tc>
        <w:tc>
          <w:tcPr>
            <w:tcW w:w="10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Partnership (income) loss not subject to U.S. corporate income taxes</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(21.4 %)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(21.0 %)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income taxes, net of federal benefit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15.7 %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26.7 %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82.5 %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(16.5 %)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1"/>
        </w:trPr>
        <w:tc>
          <w:tcPr>
            <w:tcW w:w="5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Deferred income taxes reflect the net effect of temporary differences between the tax basis of an asset or liability and its reported amount in the Company’s Consolidated Statements of Financial Condition. These temporary differences result in taxable or deductible amounts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components of deferred tax assets and liabilities included on the Company’s Consolidated Statements of Financial Condition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Step-up in tax basis in PWP OpCo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16,090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Deferred tax assets before valuation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2,278</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31,793</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Operating 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020" w:type="dxa"/>
            <w:vAlign w:val="bottom"/>
          </w:tcPr>
          <w:p>
            <w:pPr>
              <w:ind w:left="560"/>
              <w:spacing w:after="0"/>
              <w:rPr>
                <w:sz w:val="20"/>
                <w:szCs w:val="20"/>
                <w:color w:val="auto"/>
              </w:rPr>
            </w:pPr>
            <w:r>
              <w:rPr>
                <w:rFonts w:ascii="Arial" w:cs="Arial" w:eastAsia="Arial" w:hAnsi="Arial"/>
                <w:sz w:val="18"/>
                <w:szCs w:val="18"/>
                <w:color w:val="auto"/>
              </w:rPr>
              <w:t>Deferred tax asset,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realization of deferred tax assets arising from timing differences and net operating losses requires taxable income in future years in order to deduct the reversing timing differences and absorb the net operating losses. The Company evaluates the realizability of deferred tax assets on a jurisdictional basis at each reporting date. Accounting for income taxes guidance requires that a valuation allowance be established when it is more likely than not that all or a portion of the deferred tax assets will not be realized. No deferred tax asset has been recorded for the excess of tax basis related to the outside partnership basis of its investment in PWP OpCo for the amount of the deferred tax asset that is not expected to reverse. The Company believes it is more-likely-than-not that the remaining net deferred tax asset recorded as of December 31, 2021 will be recovered in the future based on all available positive and negative evidence.</w:t>
      </w:r>
    </w:p>
    <w:p>
      <w:pPr>
        <w:spacing w:after="0" w:line="141" w:lineRule="exact"/>
        <w:rPr>
          <w:sz w:val="20"/>
          <w:szCs w:val="20"/>
          <w:color w:val="auto"/>
        </w:rPr>
      </w:pPr>
    </w:p>
    <w:p>
      <w:pPr>
        <w:jc w:val="both"/>
        <w:ind w:right="240"/>
        <w:spacing w:after="0" w:line="293" w:lineRule="auto"/>
        <w:rPr>
          <w:sz w:val="20"/>
          <w:szCs w:val="20"/>
          <w:color w:val="auto"/>
        </w:rPr>
      </w:pPr>
      <w:r>
        <w:rPr>
          <w:rFonts w:ascii="Arial" w:cs="Arial" w:eastAsia="Arial" w:hAnsi="Arial"/>
          <w:sz w:val="16"/>
          <w:szCs w:val="16"/>
          <w:color w:val="auto"/>
        </w:rPr>
        <w:t>As of December 31, 2020, as it relates to the deferred tax asset for the Company’s Canadian subsidiary, Tudor, Pickering, Holt &amp; Co. Securities Canada, ULC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of $1.0 million. During the year ended December 31, 2021, the Company reevaluated the historical evidence and projections of future income in the jurisdiction in which it operates and determined that the realization of the deferred tax assets is probable. As such, the valuation allowance was reversed and there was no valuation allowance related to the deferred tax asset of TPH Canada as of December 31, 2021.</w:t>
      </w:r>
    </w:p>
    <w:p>
      <w:pPr>
        <w:spacing w:after="0" w:line="1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does not have excess basis in its foreign investments and has therefore not provided a deferred tax liability with respect to an outside basis difference in its investment in foreign subsidiaries.</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subject to taxation in the United States and various state, local and foreign jurisdictions. As of December 31, 2021, the Company is not generally subject to examination by the tax authorities for years before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changes in tax positions for the years ended December 31, 2021, 2020, and 2019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unrecognized tax benefit</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Ending unrecognized tax benefit</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classifies interest relating to tax matters and tax penalties as components of income tax expense in its Consolidated Statements of Operations. As of December 31, 2021, there were $6.1 million of unrecognized tax benefits that, if recognized, would affect the effective tax rate. For the years ended December 31, 2021, 2020, and 2019, no interest or penalties were accrued with respect to unrecognized tax positions.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debt as of 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04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facilities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Unamortized debt discount and issuance costs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32"/>
        <w:spacing w:after="0" w:line="255"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of December 31, 2021, the Company included unamortized debt issuance costs within Prepaid expenses and other assets on the Consolidated Statements of Financial Position since there were no outstanding borrowings under the Revolving Credit Facility, as defined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revolving credit facility (the “Revolving Credit Facility”) with Cadence Bank, N.A. (“Cadence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to the Business Combination</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November 11, 2020, the Revolving Credit Facility was amended to extend the maturity date from December 31, 2021 to April 1, 2022. On December 28, 2020, the agreement was further amended to expressly permit the transactions contemplated by the proposed Business Combination.</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years ended December 31, 2020 and 2019, the Company made principal payments on the Revolving Credit Facility of $32.0 million and $10.0 million, respectively, as well as drawdowns of $22.0 million and $20.0 million, respectively.</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period prior to the Business Combination, the Revolving Credit Facility bore interest at a rate per annum equal to either the variable Eurodollar Rate (or London Interbank Offered Rate, LIBOR) or a variable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(defined as the higher of the (i) Federal Funds Rate plus ½ of 1.0%; (ii) Cadence Bank prime rate; or (iii) Eurodollar Rate plus 1.0%) plus a rate which varies by the Company’s leverage ratio, as noted in the table below.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Eurodollar Rate</w:t>
            </w: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Impact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w:t>
      </w:r>
    </w:p>
    <w:p>
      <w:pPr>
        <w:spacing w:after="0" w:line="4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$27.7 million of principal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Interest rate, Effective Interest Rate and Interest Expense</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weighted average interest rate for the Revolving Credit Facility was 2.62% for the period from January 1, 2021 through June 24, 2021 (the Closing Date) and 3.02%, and 4.95% for the years ended December 31, 2020 and 2019, respectively.</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Debt Issuance Cost</w:t>
      </w:r>
      <w:r>
        <w:rPr>
          <w:rFonts w:ascii="Arial" w:cs="Arial" w:eastAsia="Arial" w:hAnsi="Arial"/>
          <w:sz w:val="17"/>
          <w:szCs w:val="17"/>
          <w:color w:val="auto"/>
        </w:rPr>
        <w:t>—Prior to the Business Combination, the Company incurred $1.8 million in issuance costs related to the Credit Agreement, which were</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to Interest expense using the effective interest method over the life of the Revolving Credit Facility. The effective interest rate of the Revolving Credit Facility taking into account these issuance costs was 3.73% for the period from January 1, 2021 through June 24, 2021 and 3.93% and 6.48% for the years ended December 31, 2020 and 2019, respectively. The amendment that occurred with the Business Combination was accounted for as a modification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$0.7 million, $1.6 million, and $1.6 million during the years ended December 31, 2021, 2020, and 2019, respectively.</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2021, the Company had no outstanding balance related to the Revolving Credit Facility and no incremental revolving commitments were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 Outstanding Prior to the Business Combination</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issued 7.0% subordinated unsecured convertible notes with an aggregate principal amount of $150.0 million (the “Convertible Notes”) under a Note Purchase Agreement (as amended, the “NPA”) executed in conjunction with the TPH Business Combination on November 30, 2016 (the “TPH Closing Date”). The Convertible Notes were due to mature on November 30, 2026 (the “Maturity Date”), unless earlier converted or repaid pursuant to the terms. Interest payments were due quarterly; however, until the fifth anniversary of the TPH Closing Date, the Company had the ability to elect to defer its payment of interest up to eight separate times but never exercised this election.</w:t>
      </w:r>
    </w:p>
    <w:p>
      <w:pPr>
        <w:spacing w:after="0" w:line="12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Applicable only to the period after the Separation and before the Business Combination, the NPA named PWP Capital Holdings LP as a guarantor of the Convertible Notes and required that financial covenants be determined on a combined basis with the results of both the Company and PWP Capital Holdings LP for the applicable periods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3.0% commitment fee in the amount of $3.5 million. In addition to the discount and commitment fees, the Company incurred debt issuance costs of approximately $1.1 million in relation to the NPA. The debt discounts and issuance costs were amortized using the effective interest method over the term of the Convertible Notes prior to the Business Combination and redemption.</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Optional Conversion </w:t>
      </w:r>
      <w:r>
        <w:rPr>
          <w:rFonts w:ascii="Arial" w:cs="Arial" w:eastAsia="Arial" w:hAnsi="Arial"/>
          <w:sz w:val="18"/>
          <w:szCs w:val="18"/>
          <w:color w:val="auto"/>
        </w:rPr>
        <w:t>- In accordance with the NPA, each holder of Convertible Notes (each herein referred to as a “Holder”) had the right at any time on or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Maturity Date, to convert all or a portion of their portion of the Convertible Notes into the Company’s common units at the conversion rate, plus an amount in cash equal to accrued and unpaid interest. The optional conversion was evaluated and deemed to be both beneficial and significant to require separation. The estimated intrinsic value of the Beneficial Conversion Feature (“BCF”) was measured at the most favorable conversion terms and determined to be $32.7 million as of the Closing Date. The recognition of the BCF created a discount on the Convertible Notes with an offsetting increase to Partners’ capital.</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Letter Agreements </w:t>
      </w:r>
      <w:r>
        <w:rPr>
          <w:rFonts w:ascii="Arial" w:cs="Arial" w:eastAsia="Arial" w:hAnsi="Arial"/>
          <w:sz w:val="16"/>
          <w:szCs w:val="16"/>
          <w:color w:val="auto"/>
        </w:rPr>
        <w:t>- In December 2020, the Company entered into letter agreements (the “2020 Letter Agreements”) with all Holders, which amended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restated any existing letter agreements, pursuant to which all of the Holders (the “Redeeming Holders”) agreed to collectively tender for redemption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 million aggregate principal amount of their Convertible Notes (such Convertible Notes, the “Redeemed Notes”) for cash. Pursuant to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Letter Agreements, the Redeeming Holders agreed not to convert their Convertible Notes in connection with the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Impact and Redemption</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$28.5 million of unamortized debt discount and issuance costs. Each Redeeming Holder was entitled to receive a “top-up” payment if the redemption price was exceeded by the five-day volume weighted average price at which the Company’s Class A common stock traded on the 30th calendar day following the Business Combination plus the aggregate amount of accrued and unpaid interest on such Redeemed Notes. No additional “top-up” payment was required to the Redeeming Holders.</w:t>
      </w:r>
    </w:p>
    <w:p>
      <w:pPr>
        <w:spacing w:after="0" w:line="1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Prior to the Business Combination and redemption, certain of the Redeeming Holders were partners. Refer to Note 17—Related Party Transactions for further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Interest Rate and Interest Expense</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and 11.95%, and 11.95% for the years ended December 31, 2020, and 2019, respectively. The aggregate interest expense related to the Convertible Notes was $6.9 million, $14.1 million, and $13.8 million during the years ended December 31, 2021, 2020, and 2019,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Subsequent to the Business Combination as described in Note 3—Business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(iv)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Shares of Class A common stock and Class B common stock are not subject to any conversion right and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the Class A common stock and Class B common stock do not have preemptive or subscription rights. Additionally, the Company has 7,869,975 warrants outstanding as of December 31, 2021. See Note 12—Warrants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3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August 3, 2021, the Company’s Board of Directors declared a cash dividend of $0.07 per outstanding share of Class A common stock that was paid on September 21, 2021 to each of the holders of Class A common stock of record as of the close of business on September 3, 2021. On November 3, 2021, the Company’s Board of Directors declared a cash dividend of $0.07 per outstanding share of Class A common stock that was paid on December 17, 2021 to each of the holders of Class A common stock of record as of the close of business on December 3, 2021. Holders of Class B common stock also received dividends equal to the amount of dividends made on 0.001 shares of Class A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as of December 31, 2021, which represent a 54.01% non-controlling ownership interest in PWP OpCo. These PWP OpCo Units are exchangeable into PWP Class A common stock on a one-for-one basis. Class B-1 and Class B-2 common stock have de minimis economic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connection with the Closing, the Company entered into a registration rights agreement among the Sponsor, Professional Partners, the ILPs and other parties thereto from time to time pursuant to which the Company was required to file with the SEC a registration statement pursuant to Rule 415 under the Securities Act of 1933, as amended (the “Securities Act”) registering the resale of certain shares of its Class A common stock and certain of its other equity securities, which was filed by the Company with the SEC on July 15, 2021. The Company bears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Concurrent with the Business Combination Agreement, FTIV, PWP OpCo and certain other parties entered into the Surrender Agreement with the Sponsor, which was amended on May 4, 2021, under which the Founder Shares owned by the Sponsor as of the Closing and certain shares of Class A common stock purchased by the Sponsor as part of private placement units in connection with FTIV’s initial public offering were subject to transfer restrictions for six months following the Closing of the Business Combination, or until December 24, 2021, and certain of the Founder Shares owned by the Sponsor as of the closing continue to be subject to transfer restrictions that lapse in tranches based on share price targets or the 10 year anniversary of the Closing,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Consolidated Statements of Financial Condition as of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of Directors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for so long as the 10% Condition is met, the Board of Directors may not approve, absent the prior consent of Professional Partners, a number of ordinary course operating activities in respect of the Company, PWP OpCo and PWP OpCo’s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Each public warrant entitles the registered holder to purchase one share of Class A common stock at an exercise price of $11.50 per share, subject to adjustment, and became exercisable on September 29, 2021, the one-year anniversary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3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2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December 31, 2021, the Company had 7,666,642 public warrants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private warrants are identical to the public warrants, except that the private warrants and the Class A common stock issuable upon the exercise of the private warrants were subject to certain restrictions on transfer, assignment or sale until July 24, 2021, 30 days after the completion of the Business Combination. Additionally,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December 31, 2021, the Company had 203,333 private warrants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Consolidated Statements of Operations. See Note 16—Fair Value Measurements and Investments for descriptions of the valuation methodology and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September 29, 2021, all of the public and private warrants became exercisable. As of December 31, 2021, none of the warrants were exercised.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maximum aggregate number of shares of Class A common stock reserved for issuance under the PWP Incentive Plan for general purposes (the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the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of which (i) up to 7,000,000 shares are reserved for Transaction Pool RSUs (defined below) and (ii) 3,200,000 shares are reserved for Transaction Pool PSUs (defined below). The Company intends to use newly issued shares of PWP Class A common stock to satisfy vested awards under the PWP Incentive Plan, with the exception of vested awards for certain employees in France which will be issued out of the Company’s treasury shares. Certain employees in France and Canada receive dividend equivalents in the form of additional awards that have the same vesting terms as the original underlying awards. These additional dividend equivalent awards are granted from the General Share Reserve.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December 31, 2021, 3,574,786 total shares remained reserved and available for future issuance under the PWP Incentive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the third quarter of 2021, in connection with the Business Combination, the Company granted awards in the form of (i) restricted stock units out of the Transaction Pool Share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that vest upon the achievement of both service and market conditions (“Management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Transaction Pool PSUs </w:t>
      </w:r>
      <w:r>
        <w:rPr>
          <w:rFonts w:ascii="Arial" w:cs="Arial" w:eastAsia="Arial" w:hAnsi="Arial"/>
          <w:sz w:val="18"/>
          <w:szCs w:val="18"/>
          <w:color w:val="auto"/>
        </w:rPr>
        <w:t>— The service condition requirement with respect to the Transaction Pool PSUs is generally satisfied over three to five years, with</w:t>
      </w:r>
      <w:r>
        <w:rPr>
          <w:rFonts w:ascii="Arial" w:cs="Arial" w:eastAsia="Arial" w:hAnsi="Arial"/>
          <w:sz w:val="18"/>
          <w:szCs w:val="18"/>
          <w:i w:val="1"/>
          <w:iCs w:val="1"/>
          <w:color w:val="auto"/>
        </w:rPr>
        <w:t xml:space="preserve"> </w:t>
      </w:r>
      <w:r>
        <w:rPr>
          <w:rFonts w:ascii="Arial" w:cs="Arial" w:eastAsia="Arial" w:hAnsi="Arial"/>
          <w:sz w:val="18"/>
          <w:szCs w:val="18"/>
          <w:color w:val="auto"/>
        </w:rPr>
        <w:t>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December 31, 2021, the $12 and $13.50 market condition requirements were satisfied.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PSUs for the year ended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3,208,126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3,208,126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PSUs that were granted from the General Share Reserve.</w:t>
      </w:r>
    </w:p>
    <w:p>
      <w:pPr>
        <w:spacing w:after="0" w:line="15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grant date fair value of the Transaction Pool PSUs granted during the year ended December 31, 2021 was $40.9 million. As of December 31, 2021, total unrecognized compensation expense related to unvested Transaction Pool PSUs was $37.2 million, which is expected to be recognized over a weighted average period of 3.67 years.</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estimated the fair value of the Transaction Pool PSUs on the grant date using a Monte-Carlo simulation valuation model with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20" w:type="dxa"/>
            <w:vAlign w:val="bottom"/>
            <w:tcBorders>
              <w:bottom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Assumptions</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32.90 %</w:t>
            </w:r>
          </w:p>
        </w:tc>
      </w:tr>
    </w:tbl>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Transaction Pool RSUs </w:t>
      </w:r>
      <w:r>
        <w:rPr>
          <w:rFonts w:ascii="Arial" w:cs="Arial" w:eastAsia="Arial" w:hAnsi="Arial"/>
          <w:sz w:val="18"/>
          <w:szCs w:val="18"/>
          <w:color w:val="auto"/>
        </w:rPr>
        <w:t>— The Transaction Pool RSUs generally vest in equal annual installments over the requisite service period of three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the Transaction Pool RSUs granted during the year ended December 31, 2021 was $97.7 million, which was based on the PWP stock price on the date of grant. As of December 31, 2021, total unrecognized compensation expense related to unvested Transaction Pool RSUs was $60.0 million, which is expected to be recognized over a weighted average period of 2.44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Transaction Pool RSUs for the year ended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6,990,474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5,450,604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RSUs that were granted from the General Share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employee offer letter awards, that were previously accounted for as liability awards due to a cash settlement option, have been settled using Transaction Pool RSUs. This settlement was treated as a modification of the award, and as such, the liability balance of $3.9 million as of the Transaction Pool RSU grant date was reclassified from Accounts payable, accrued expenses and other liabilities to Additional paid-in capital on the Consolidated Statement of Financial Condition as of December 31, 2021.</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Management PSUs </w:t>
      </w:r>
      <w:r>
        <w:rPr>
          <w:rFonts w:ascii="Arial" w:cs="Arial" w:eastAsia="Arial" w:hAnsi="Arial"/>
          <w:sz w:val="17"/>
          <w:szCs w:val="17"/>
          <w:color w:val="auto"/>
        </w:rPr>
        <w:t>— The service condition requirement with respect to the Management PSUs is generally satisfied in two equal installments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subject to linear interpolation between the applicable price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Management PSUs for the year ended December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Management PSUs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9,500,000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780"/>
        <w:spacing w:after="0" w:line="263" w:lineRule="auto"/>
        <w:rPr>
          <w:sz w:val="20"/>
          <w:szCs w:val="20"/>
          <w:color w:val="auto"/>
        </w:rPr>
      </w:pPr>
      <w:r>
        <w:rPr>
          <w:rFonts w:ascii="Arial" w:cs="Arial" w:eastAsia="Arial" w:hAnsi="Arial"/>
          <w:sz w:val="18"/>
          <w:szCs w:val="18"/>
          <w:color w:val="auto"/>
        </w:rPr>
        <w:t>The weighted average grant date fair value of the Management PSUs granted during the year ended December 31, 2021 was $84.2 million. As of December 31, 2021, total unrecognized compensation expense related to unvested Management PSUs was $76.6 million, which is expected to be recognized over a weighted average period of 3.69 years.</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estimated the fair value of the Management PSUs on the grant date using a Monte-Carlo simulation valuation model with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20" w:type="dxa"/>
            <w:vAlign w:val="bottom"/>
            <w:tcBorders>
              <w:bottom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Assumptions</w:t>
            </w:r>
          </w:p>
        </w:tc>
      </w:tr>
      <w:tr>
        <w:trPr>
          <w:trHeight w:val="22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Awards</w:t>
      </w:r>
    </w:p>
    <w:p>
      <w:pPr>
        <w:spacing w:after="0" w:line="23"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General RSUs vest over the requisite service period, which is generally one to five years. The grant date fair value of the General RSUs granted during the year ended December 31, 2021 was $12.5 million, which was based on the PWP stock price on the date of grant. As of December 31, 2021, total unrecognized compensation expense related to unvested General RSUs was $10.2 million which is expected to be recognized over a weighted average period of 2.60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unvested General RSUs for the year ended December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General RSUs</w:t>
            </w:r>
          </w:p>
        </w:tc>
        <w:tc>
          <w:tcPr>
            <w:tcW w:w="10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906,836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and Dividend Equivalent Rights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Partner Awards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more fully described below, prior to the Business Combination, Professional Partners granted certain equity-based awards to partners providing services to PWP OpCo (the “Legacy Awards”). 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Topic 718, Compensation—Stock Compensation,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Consolidated Statements of Operations and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12"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2021, there was $270.2 million of unrecognized compensation expense related to unvested Professional Partners Awards, which is expected to be recognized over a weighted-average period of 4.37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Legacy Awards Prior to Business Combination</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Concurrent with the TPH Business Combination, an initial tranche of Legacy Awards was granted to certain partners supporting the Company’s operations. The initial tranche of the Legacy Awards generally vested over a three-year service period beginning on the grant date. Subsequent to the initial tranche, Legacy Awards were granted to partners on a periodic basis in accordance with the LPA and generally vested over four years. Prior to the Business Combination, in the event one of these partners was terminated or left at will before meeting their service requirement, all or a portion of their equity was forfeited and allocated to the other partners in accordance with the LPA. Professional Partners had a right but not an obligation to repurchase the awards upon certain termination events.</w:t>
      </w:r>
    </w:p>
    <w:p>
      <w:pPr>
        <w:spacing w:after="0" w:line="14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years ended December 31, 2018 and 2017, Professional Partners granted Legacy Awards in the amount of $4.6 million and $37.6 million, respectively, which vested over a four year service period beginning on the grant date.</w:t>
      </w:r>
    </w:p>
    <w:p>
      <w:pPr>
        <w:spacing w:after="0" w:line="11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measurement of the grant-date fair value required Professional Partners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ranges of the significant assumptions used to develop the grant date fair value of these equity-based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6"/>
              </w:rPr>
              <w:t>Range for the Year Ended December 31,</w:t>
            </w:r>
          </w:p>
        </w:tc>
        <w:tc>
          <w:tcPr>
            <w:tcW w:w="1420" w:type="dxa"/>
            <w:vAlign w:val="bottom"/>
            <w:tcBorders>
              <w:bottom w:val="single" w:sz="8" w:color="auto"/>
            </w:tcBorders>
          </w:tcPr>
          <w:p>
            <w:pPr>
              <w:spacing w:after="0"/>
              <w:rPr>
                <w:sz w:val="16"/>
                <w:szCs w:val="16"/>
                <w:color w:val="auto"/>
              </w:rPr>
            </w:pPr>
          </w:p>
        </w:tc>
      </w:tr>
      <w:tr>
        <w:trPr>
          <w:trHeight w:val="188"/>
        </w:trPr>
        <w:tc>
          <w:tcPr>
            <w:tcW w:w="2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Valuation methodology</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Significant assumptions</w:t>
            </w:r>
          </w:p>
        </w:tc>
        <w:tc>
          <w:tcPr>
            <w:tcW w:w="2740" w:type="dxa"/>
            <w:vAlign w:val="bottom"/>
            <w:gridSpan w:val="2"/>
          </w:tcPr>
          <w:p>
            <w:pPr>
              <w:jc w:val="right"/>
              <w:ind w:right="11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740" w:type="dxa"/>
            <w:vAlign w:val="bottom"/>
            <w:gridSpan w:val="2"/>
          </w:tcPr>
          <w:p>
            <w:pPr>
              <w:jc w:val="right"/>
              <w:ind w:right="1130"/>
              <w:spacing w:after="0"/>
              <w:rPr>
                <w:sz w:val="20"/>
                <w:szCs w:val="20"/>
                <w:color w:val="auto"/>
              </w:rPr>
            </w:pPr>
            <w:r>
              <w:rPr>
                <w:rFonts w:ascii="Arial" w:cs="Arial" w:eastAsia="Arial" w:hAnsi="Arial"/>
                <w:sz w:val="14"/>
                <w:szCs w:val="14"/>
                <w:b w:val="1"/>
                <w:bCs w:val="1"/>
                <w:color w:val="auto"/>
              </w:rPr>
              <w:t>2017</w:t>
            </w:r>
          </w:p>
        </w:tc>
      </w:tr>
      <w:tr>
        <w:trPr>
          <w:trHeight w:val="224"/>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Income approach</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5"/>
              <w:spacing w:after="0"/>
              <w:rPr>
                <w:sz w:val="20"/>
                <w:szCs w:val="20"/>
                <w:color w:val="auto"/>
              </w:rPr>
            </w:pPr>
            <w:r>
              <w:rPr>
                <w:rFonts w:ascii="Arial" w:cs="Arial" w:eastAsia="Arial" w:hAnsi="Arial"/>
                <w:sz w:val="18"/>
                <w:szCs w:val="18"/>
                <w:color w:val="auto"/>
              </w:rPr>
              <w:t>9.90% - 10.80%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9.80% - 11.10%</w:t>
            </w:r>
          </w:p>
        </w:tc>
      </w:tr>
      <w:tr>
        <w:trPr>
          <w:trHeight w:val="229"/>
        </w:trPr>
        <w:tc>
          <w:tcPr>
            <w:tcW w:w="2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Market approach</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Income multiples</w:t>
            </w:r>
          </w:p>
        </w:tc>
        <w:tc>
          <w:tcPr>
            <w:tcW w:w="1320" w:type="dxa"/>
            <w:vAlign w:val="bottom"/>
          </w:tcPr>
          <w:p>
            <w:pPr>
              <w:jc w:val="right"/>
              <w:spacing w:after="0"/>
              <w:rPr>
                <w:sz w:val="20"/>
                <w:szCs w:val="20"/>
                <w:color w:val="auto"/>
              </w:rPr>
            </w:pPr>
            <w:r>
              <w:rPr>
                <w:rFonts w:ascii="Arial" w:cs="Arial" w:eastAsia="Arial" w:hAnsi="Arial"/>
                <w:sz w:val="18"/>
                <w:szCs w:val="18"/>
                <w:color w:val="auto"/>
              </w:rPr>
              <w:t>12.00</w:t>
            </w:r>
          </w:p>
        </w:tc>
        <w:tc>
          <w:tcPr>
            <w:tcW w:w="1420" w:type="dxa"/>
            <w:vAlign w:val="bottom"/>
          </w:tcPr>
          <w:p>
            <w:pPr>
              <w:ind w:left="20"/>
              <w:spacing w:after="0"/>
              <w:rPr>
                <w:sz w:val="20"/>
                <w:szCs w:val="20"/>
                <w:color w:val="auto"/>
              </w:rPr>
            </w:pPr>
            <w:r>
              <w:rPr>
                <w:rFonts w:ascii="Arial" w:cs="Arial" w:eastAsia="Arial" w:hAnsi="Arial"/>
                <w:sz w:val="18"/>
                <w:szCs w:val="18"/>
                <w:color w:val="auto"/>
              </w:rPr>
              <w:t>- 20.00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ind w:left="20"/>
              <w:spacing w:after="0"/>
              <w:rPr>
                <w:sz w:val="20"/>
                <w:szCs w:val="20"/>
                <w:color w:val="auto"/>
              </w:rPr>
            </w:pPr>
            <w:r>
              <w:rPr>
                <w:rFonts w:ascii="Arial" w:cs="Arial" w:eastAsia="Arial" w:hAnsi="Arial"/>
                <w:sz w:val="18"/>
                <w:szCs w:val="18"/>
                <w:color w:val="auto"/>
              </w:rPr>
              <w:t>- 14.00</w:t>
            </w: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Revenue multiples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- 4.25</w:t>
            </w:r>
          </w:p>
        </w:tc>
      </w:tr>
      <w:tr>
        <w:trPr>
          <w:trHeight w:val="230"/>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Growth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1, 2018, the Company modified certain of its existing Legacy Awards, and as a result of the modification, the Company was required to recognize incremental equity-based compensation expense of $74.6 million, which was subject to a graded vesting schedule over a five year service period beginning on October 1, 2018. In connection with the October 1, 2018 modification, the Company utilized a Monte Carlo simulation, in addition to the market and income approaches, to estimate the fair value of the modification. The following table presents the ranges of the significant assumptions used to develop the fair value estimate of this modification: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methodology</w:t>
            </w:r>
          </w:p>
        </w:tc>
        <w:tc>
          <w:tcPr>
            <w:tcW w:w="3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Significant assumptions</w:t>
            </w:r>
          </w:p>
        </w:tc>
        <w:tc>
          <w:tcPr>
            <w:tcW w:w="3700" w:type="dxa"/>
            <w:vAlign w:val="bottom"/>
            <w:gridSpan w:val="2"/>
          </w:tcPr>
          <w:p>
            <w:pPr>
              <w:ind w:left="1040"/>
              <w:spacing w:after="0"/>
              <w:rPr>
                <w:sz w:val="20"/>
                <w:szCs w:val="20"/>
                <w:color w:val="auto"/>
              </w:rPr>
            </w:pPr>
            <w:r>
              <w:rPr>
                <w:rFonts w:ascii="Arial" w:cs="Arial" w:eastAsia="Arial" w:hAnsi="Arial"/>
                <w:sz w:val="14"/>
                <w:szCs w:val="14"/>
                <w:b w:val="1"/>
                <w:bCs w:val="1"/>
                <w:color w:val="auto"/>
              </w:rPr>
              <w:t>Range for October 1, 2018</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Monte Carlo simulation</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Risk-free interest rate</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Expected volatility</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89"/>
              </w:rPr>
              <w:t>Expected term of the awards granted during the</w:t>
            </w:r>
          </w:p>
        </w:tc>
        <w:tc>
          <w:tcPr>
            <w:tcW w:w="18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center"/>
              <w:ind w:right="17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period (years)</w:t>
            </w:r>
          </w:p>
        </w:tc>
        <w:tc>
          <w:tcPr>
            <w:tcW w:w="1800" w:type="dxa"/>
            <w:vAlign w:val="bottom"/>
            <w:shd w:val="clear" w:color="auto" w:fill="CCEEFF"/>
          </w:tcPr>
          <w:p>
            <w:pPr>
              <w:spacing w:after="0"/>
              <w:rPr>
                <w:sz w:val="11"/>
                <w:szCs w:val="11"/>
                <w:color w:val="auto"/>
              </w:rPr>
            </w:pPr>
          </w:p>
        </w:tc>
        <w:tc>
          <w:tcPr>
            <w:tcW w:w="1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780" w:type="dxa"/>
            <w:vAlign w:val="bottom"/>
            <w:gridSpan w:val="2"/>
            <w:vMerge w:val="continue"/>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Income approach</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9.90% - 10.80%</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Income multiples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- 20.00</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Revenue multiples</w:t>
            </w:r>
          </w:p>
        </w:tc>
        <w:tc>
          <w:tcPr>
            <w:tcW w:w="1800" w:type="dxa"/>
            <w:vAlign w:val="bottom"/>
          </w:tcPr>
          <w:p>
            <w:pPr>
              <w:jc w:val="right"/>
              <w:spacing w:after="0"/>
              <w:rPr>
                <w:sz w:val="20"/>
                <w:szCs w:val="20"/>
                <w:color w:val="auto"/>
              </w:rPr>
            </w:pPr>
            <w:r>
              <w:rPr>
                <w:rFonts w:ascii="Arial" w:cs="Arial" w:eastAsia="Arial" w:hAnsi="Arial"/>
                <w:sz w:val="18"/>
                <w:szCs w:val="18"/>
                <w:color w:val="auto"/>
              </w:rPr>
              <w:t>2.25</w:t>
            </w:r>
          </w:p>
        </w:tc>
        <w:tc>
          <w:tcPr>
            <w:tcW w:w="1900" w:type="dxa"/>
            <w:vAlign w:val="bottom"/>
          </w:tcPr>
          <w:p>
            <w:pPr>
              <w:ind w:left="20"/>
              <w:spacing w:after="0"/>
              <w:rPr>
                <w:sz w:val="20"/>
                <w:szCs w:val="20"/>
                <w:color w:val="auto"/>
              </w:rPr>
            </w:pPr>
            <w:r>
              <w:rPr>
                <w:rFonts w:ascii="Arial" w:cs="Arial" w:eastAsia="Arial" w:hAnsi="Arial"/>
                <w:sz w:val="18"/>
                <w:szCs w:val="18"/>
                <w:color w:val="auto"/>
              </w:rPr>
              <w:t>- 4.00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Growth rate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risk-free interest rate selected was based on a five-year U.S. Treasury rate, which matched the expected term of the award. The stock price volatility selected was based upon an average of historical volatilities of comparable publicly traded companies in industries similar to the Professional Partners, as the Professional Partners did not have a basis for actual stock price volatility. Additionally, it was assumed that no dividends would be paid over the vesting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2019, Professional Partners granted Legacy Awards with a grant date fair value of $14.7 million. The fair value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awards was estimated using the income approach and assumed a range of discount rates between 3.6% and 12.1%.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Professional Partners granted Legacy Awards with a grant date fair value of $6.4 million. The fair value of these awards was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income approach and assumed a range of discount rates between 3.8% and 11.2%. During the year ended December 31, 2021,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 granted Legacy Awards with a grant date fair value of $9.3 million, which was estimated using the income approach and assume a range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discount rates between 2.0% and 9.8%. Under the income approach, fair value is determined by converting future projected cash flows to a single present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amount (discounted) using current expectations about those future cash flows.</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year ended December 31, 2020, the Company modified certain Legacy Awards that were granted in 2016 by extending the vesting period and changing certain vesting provisions regarding termination, resignation or death/disability. The awards were considered probable of vesting both prior to and post modification and therefore the modification was considered a Type 1 modification. The award value at the time of modification was determined to be less than the original grant date fair value and as a result no additional compensation expense was recognized due to the modification. Additionally, the Company elected to continue to recognize Equity-based compensation expense over the original vesting period.</w:t>
      </w:r>
    </w:p>
    <w:p>
      <w:pPr>
        <w:spacing w:after="0" w:line="12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Legacy Awards were cancelled in connection with the Business Combination, but the Company will continue to amortize the unrecognized cost associated with the Legacy Awards over the original vesting schedule. As of December 31, 2021, there was $22.9 million of unrecognized compensation cost associated with the Legacy Awards that is expected to be recognized over a weighted-average period of 1.74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Consolidated Statements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Professional fees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Professional fees</w:t>
            </w: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44,891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Legacy Awards </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193,299</w:t>
            </w:r>
          </w:p>
        </w:tc>
      </w:tr>
      <w:tr>
        <w:trPr>
          <w:trHeight w:val="230"/>
        </w:trPr>
        <w:tc>
          <w:tcPr>
            <w:tcW w:w="63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Professional Partners Awards </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32,334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Equity-based compensation</w:t>
            </w: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96,330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193,299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360" w:type="dxa"/>
            <w:vAlign w:val="bottom"/>
          </w:tcPr>
          <w:p>
            <w:pPr>
              <w:spacing w:after="0"/>
              <w:rPr>
                <w:sz w:val="20"/>
                <w:szCs w:val="20"/>
                <w:color w:val="auto"/>
              </w:rPr>
            </w:pPr>
            <w:r>
              <w:rPr>
                <w:rFonts w:ascii="Arial" w:cs="Arial" w:eastAsia="Arial" w:hAnsi="Arial"/>
                <w:sz w:val="14"/>
                <w:szCs w:val="14"/>
                <w:color w:val="auto"/>
              </w:rPr>
              <w:t>_________________</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ind w:left="340" w:right="540" w:hanging="332"/>
        <w:spacing w:after="0" w:line="255" w:lineRule="auto"/>
        <w:tabs>
          <w:tab w:leader="none" w:pos="3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14—Other Compensation and Benefits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Consolidated Statements of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2019, the Company granted deferred compensation to certain U.S. partners. These awards total approximately</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 ended December 31, 2019, the Company entered into deferred profit sharing arrangements with certain UK partners in the amount of $3.4 million. The deferred amounts will be paid to these UK partners on various dates, commencing on December 31, 2020 through April 15, 2023. No deferred compensation awards were granted during the years ended December 31, 2021 and 2020.</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Deferred compensation liabilities will be paid at various intervals through 2023 and are presented within Deferred compensation programs on the Consolidated Statements of Financial Condition. During the year ended December 31, 2019, $0.9 million of deferred compensation awards were forfeited. There were no forfeitures during the years ended December 31, 2021 and 2020. Compensation expenses related to these deferred compensation plans was $1.1 million, $5.8 million and $5.5 million for the years ended December 31, 2021, 2020, and 2019, respectively, and are presented within Compensation and benefits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years ended December 31, 2021, 2020 and 2019, expenses related to the Company’s employee benefit plans were $5.0 million, $4.5 million, and $4.4 million, respectively, and are included in Compensation and benefits in the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The total termination cost was approximately $6.0 million which was included in Compensation and benefits in the Consolidated Statements of Operations for the year ended December 31, 2020. These termination costs were fully recognized once the service requirement of the affected employees was complete. The termination costs were substantially paid by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15—Net Income (Loss) Per Share Attributable to Class A Common Shareholders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analyzed the calculation of net income (loss) per share for periods prior to the Business Combination on June 24, 2021 and determined that 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year ended December 31, 2021, as presented on the Consolidated Statements of Operations, represent only the period after the Business Combination to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For the period from June 24,</w:t>
            </w:r>
          </w:p>
        </w:tc>
      </w:tr>
      <w:tr>
        <w:trPr>
          <w:trHeight w:val="135"/>
        </w:trPr>
        <w:tc>
          <w:tcPr>
            <w:tcW w:w="9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1"/>
              </w:rPr>
              <w:t>2021 through December 31,</w:t>
            </w:r>
          </w:p>
        </w:tc>
      </w:tr>
      <w:tr>
        <w:trPr>
          <w:trHeight w:val="188"/>
        </w:trPr>
        <w:tc>
          <w:tcPr>
            <w:tcW w:w="9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(9,421)</w:t>
            </w:r>
          </w:p>
        </w:tc>
      </w:tr>
      <w:tr>
        <w:trPr>
          <w:trHeight w:val="230"/>
        </w:trPr>
        <w:tc>
          <w:tcPr>
            <w:tcW w:w="9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w:t>
            </w:r>
          </w:p>
        </w:tc>
      </w:tr>
      <w:tr>
        <w:trPr>
          <w:trHeight w:val="223"/>
        </w:trPr>
        <w:tc>
          <w:tcPr>
            <w:tcW w:w="920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(61,325)</w:t>
            </w: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7"/>
        </w:trPr>
        <w:tc>
          <w:tcPr>
            <w:tcW w:w="9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Denominator:</w:t>
            </w: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42,595,712</w:t>
            </w:r>
          </w:p>
        </w:tc>
      </w:tr>
      <w:tr>
        <w:trPr>
          <w:trHeight w:val="229"/>
        </w:trPr>
        <w:tc>
          <w:tcPr>
            <w:tcW w:w="9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number of incremental shares from assumed exchange of PWP OpCo Units</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50,154,199</w:t>
            </w:r>
          </w:p>
        </w:tc>
      </w:tr>
      <w:tr>
        <w:trPr>
          <w:trHeight w:val="223"/>
        </w:trPr>
        <w:tc>
          <w:tcPr>
            <w:tcW w:w="920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92,749,911</w:t>
            </w: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7"/>
        </w:trPr>
        <w:tc>
          <w:tcPr>
            <w:tcW w:w="9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 attributable to Class A common shareholders</w:t>
            </w: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30"/>
        </w:trPr>
        <w:tc>
          <w:tcPr>
            <w:tcW w:w="920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30"/>
        </w:trPr>
        <w:tc>
          <w:tcPr>
            <w:tcW w:w="9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bl>
    <w:p>
      <w:pPr>
        <w:spacing w:after="0" w:line="24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Basic and diluted net income (loss) per share attributable to Class B common shareholders has not been presented as these shares are entitled to an insignificant amount of economic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uses the treasury stock method to determine the potential dilutive effect of outstanding warrants and unvested RSUs and PSUs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4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For the period from June 24,</w:t>
            </w:r>
          </w:p>
        </w:tc>
      </w:tr>
      <w:tr>
        <w:trPr>
          <w:trHeight w:val="135"/>
        </w:trPr>
        <w:tc>
          <w:tcPr>
            <w:tcW w:w="92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2021 through December 31,</w:t>
            </w:r>
          </w:p>
        </w:tc>
      </w:tr>
      <w:tr>
        <w:trPr>
          <w:trHeight w:val="188"/>
        </w:trPr>
        <w:tc>
          <w:tcPr>
            <w:tcW w:w="92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1,029,210</w:t>
            </w:r>
          </w:p>
        </w:tc>
      </w:tr>
      <w:tr>
        <w:trPr>
          <w:trHeight w:val="229"/>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and PSUs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275,453</w:t>
            </w:r>
          </w:p>
        </w:tc>
      </w:tr>
      <w:tr>
        <w:trPr>
          <w:trHeight w:val="248"/>
        </w:trPr>
        <w:tc>
          <w:tcPr>
            <w:tcW w:w="9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1,304,663</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 and Investments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active markets.</w:t>
      </w:r>
    </w:p>
    <w:p>
      <w:pPr>
        <w:spacing w:after="0" w:line="116"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2020 approximated the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Warrant liabilities - Public warrants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27,063</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liabilities - Private warrants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27,805</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60"/>
        </w:trPr>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39"/>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transfers between fair value levels during each of the years ended December 31, 2021 and 2020.</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2021 and 2020, the Company held investments related to a legacy deferred compensation program and securities. These amounts are included in Prepaid expenses and other assets on the Consolidated Statements of Financial Condition.</w:t>
      </w:r>
    </w:p>
    <w:p>
      <w:pPr>
        <w:spacing w:after="0" w:line="11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cash surrender value of company-owned life insurance is included in Prepaid expenses and other assets on the Consolidated Statements of Financial Condition at the amount that could be realized under the contract as of December 31, 2021 and 2020, which approximates fair value.</w:t>
      </w:r>
    </w:p>
    <w:p>
      <w:pPr>
        <w:spacing w:after="0" w:line="9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public warrants are valued using quoted market prices on the Nasdaq Global Select Market under the ticker PWPPW and are included in Warrant liabilities on the Consolidated Statements of Financial Condition. As of December 31, 2021, the price per public warrant was $3.53.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Management determines the fair value of the private warrants using the Black-Scholes option pricing valuation model (“Valuation Model”). The private warrants are classified as Level 3 as of December 31, 2021 because of the use of significant unobservable inputs in the Valuation Model. The inputs into the Valuation Model for the private warrants, including some significant unobservable inputs,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December 31, 2021</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35.06 %</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11.50</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Asset price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12.86</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171" w:lineRule="exact"/>
        <w:rPr>
          <w:sz w:val="20"/>
          <w:szCs w:val="20"/>
          <w:color w:val="auto"/>
        </w:rPr>
      </w:pPr>
    </w:p>
    <w:p>
      <w:pPr>
        <w:ind w:left="660" w:right="42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risk-free rate of return assumption was based on the continuously compounded, term-matching, zero-coupon rate derived from a U.S. Treasury yield curve on each valuation date. An increase in the risk-free interest rate, in isolation, would result in an increase in the fair value measurement of the warrant liabilities and vice versa.</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expected volatility assumption was based on the average of the implied volatility from the Company’s publicly traded warrants and a leverage adjusted volatility of the Company’s publicly traded industry peers. An increase in the expected volatility, in isolation, would result in an increase in the fair value measurement of the warrant liabilities.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dividend yield was based on the continuously compounded quarterly dividend the Company expects to pay during the term.</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resulting valuation for the private warrants were determined to be $3.65 per unit as of December 31, 2021. The Company had 203,333 private warrants outstanding as of December 31, 2021, resulting in a fair value of $0.7 million recorded within Warrant liabilities in the Consolidated Statements of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Level 3 financial liabilities measured at fair value for the period from June 24, 2021 to December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Private Warrants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Business Combination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71"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As of December 31, 2021, the Company applies the equity method of accounting to its investment in PFAC Holdings I LLC (“PFAC Holdings”), an indirect parent of PWP Forward Acquisition Corp. I (“PFAC”), a special purpose acquisition company. As of December 31, 2021, the Company’s investment in PFAC Holdings was $1.3 million. The Company’s share of earnings of PFAC Holdings is included in the Consolidated Statements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Business / PWP Capital Holdings LP</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Prior to the Separation, PWP Holdings LP paid for shared costs including compensation for corporate support functions and 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TSA Agreemen</w:t>
      </w:r>
      <w:r>
        <w:rPr>
          <w:rFonts w:ascii="Arial" w:cs="Arial" w:eastAsia="Arial" w:hAnsi="Arial"/>
          <w:sz w:val="17"/>
          <w:szCs w:val="17"/>
          <w:color w:val="auto"/>
        </w:rPr>
        <w:t>t - In connection with the Separation, the Company entered into a transition services agreement (the “TSA”) with PWP Capital Holdings LP</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legal,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w:t>
      </w:r>
    </w:p>
    <w:p>
      <w:pPr>
        <w:spacing w:after="0" w:line="12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location to PWP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5—Leases.</w:t>
      </w:r>
    </w:p>
    <w:p>
      <w:pPr>
        <w:spacing w:after="0" w:line="10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Amounts due from PWP Capital Holdings LP are reflected as Due from related parties on the Consolidated Statements of Financial Condition.</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the components of related party income and expenses related to the TSA and sublease agreements included in the Consolidated Statements of Operations for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Related party income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TSA income - Compensation related</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income - Non-compensation related</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income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related party income</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Related party expenses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TSA compensation expense</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TSA non-compensation expense</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TSA compensation expense is included in Compensation and benefits in the Consolidated Statements of Operations.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TSA non-compensation expense is included in various financial statement line items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Business Combination, the Company entered into a tax receivable agreement with PWP OpCo, Professional Partners and ILPs under which the Company agreed to payment of 85% of the amount of savings, if any, that the Company realizes in U.S. federal, state, local and foreign income taxes as a result of (i) the Business Combination and related transactions, (ii) exchanges of interests in PWP OpCo for cash or stock of the Company and certain other transactions and (iii) payments made under the tax receivable agreement. As of December 31, 2021, the Company had an amount due of $14.1 million pursuant to the tax receivable agreement, which represents management’s best estimate of the amounts currently expected to be owed in connection with the tax receivable agreement. The Company expects to make the following payments with respect to the tax receivable agreement, which may differ significantly from actual payments made: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Estimated Payments</w:t>
            </w:r>
          </w:p>
        </w:tc>
        <w:tc>
          <w:tcPr>
            <w:tcW w:w="0" w:type="dxa"/>
            <w:vAlign w:val="bottom"/>
          </w:tcPr>
          <w:p>
            <w:pPr>
              <w:spacing w:after="0"/>
              <w:rPr>
                <w:sz w:val="1"/>
                <w:szCs w:val="1"/>
                <w:color w:val="auto"/>
              </w:rPr>
            </w:pPr>
          </w:p>
        </w:tc>
      </w:tr>
      <w:tr>
        <w:trPr>
          <w:trHeight w:val="135"/>
        </w:trPr>
        <w:tc>
          <w:tcPr>
            <w:tcW w:w="9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Ending:</w:t>
            </w:r>
          </w:p>
        </w:tc>
        <w:tc>
          <w:tcPr>
            <w:tcW w:w="100" w:type="dxa"/>
            <w:vAlign w:val="bottom"/>
          </w:tcPr>
          <w:p>
            <w:pPr>
              <w:spacing w:after="0"/>
              <w:rPr>
                <w:sz w:val="11"/>
                <w:szCs w:val="11"/>
                <w:color w:val="auto"/>
              </w:rPr>
            </w:pPr>
          </w:p>
        </w:tc>
        <w:tc>
          <w:tcPr>
            <w:tcW w:w="146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3"/>
              </w:rPr>
              <w:t>Under Tax Receivable</w:t>
            </w:r>
          </w:p>
        </w:tc>
        <w:tc>
          <w:tcPr>
            <w:tcW w:w="0" w:type="dxa"/>
            <w:vAlign w:val="bottom"/>
          </w:tcPr>
          <w:p>
            <w:pPr>
              <w:spacing w:after="0"/>
              <w:rPr>
                <w:sz w:val="1"/>
                <w:szCs w:val="1"/>
                <w:color w:val="auto"/>
              </w:rPr>
            </w:pPr>
          </w:p>
        </w:tc>
      </w:tr>
      <w:tr>
        <w:trPr>
          <w:trHeight w:val="188"/>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other affiliate. As the Partner Promissory Notes and associated interest receivable relate to equity transactions, they have been recognized as a reduction of equity on the Consolidated Statements of Financial Condition in the amounts of $6.0 million and $8.0 million as of December 31, 2021 and 2020, respectively.</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year ended December 31, 2021, $1.8 million of principal and interest was repaid to the Company from partners. 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 ended December 31, 2020.</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year ended December 31, 2019 and in connection with the Separation, certain Partner Promissory Notes in the amount of $1.6 million were transferred from the Company to PWP Capital Holdings LP.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Partner Loans and Loan Guarantees</w:t>
      </w:r>
    </w:p>
    <w:p>
      <w:pPr>
        <w:spacing w:after="0" w:line="1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November 2021, PWP OpCo agreed to provide loans to certain partners in an aggregate amount of approximately $3.3 million. These loans are recognized in Due from related parties on the Consolidated Statements of Financial Condition.</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unconditionally guaranteed certain of its partners’ loans with First Republic Bank. Refer to Note 18—Commitments and Contingencies for additional information on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center"/>
        <w:ind w:right="-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amounts of $8.7 million related to the Convertible Notes were held by partners prior to redemption upon closing of the 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10—Debt for additional information on the Convertible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executive of the Company was an independent director on the board of Cadence Bank, the holder of the Revolving Credit Facility, until May of 2019 at which time he retired from that position. Refer to Note 10—Debt for additional information on the Revolving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year ended December 31, 2021. In addition, the Company receives a fee of $10,000 per month for certain administrative services provided to PFAC.</w:t>
      </w:r>
    </w:p>
    <w:p>
      <w:pPr>
        <w:spacing w:after="0" w:line="13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During the year ended December 31, 2021, the Company earned $3.1 million in advisory fees from entities controlled by a member of the Board of Directors, which are included in Revenues on the Consolidated Statements of Operations. The Company may earn additional advisory fees from these related entities in future periods.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Company has unconditionally guaranteed certain of its partners’ loans with First Republic Bank (“Lender”) whereby it will pay the Lender upon the occurrence of a default event. The total guarantees related to partners was $3.3 million and $5.6 million as of December 31, 2021 and 2020, respectively. These guarantees are secured by the partners’ interests in Professional Partners. As of December 31, 2021 and 2020, no loan was in default.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December 31, 2021 and 2020,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2021 and 2020 and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years ended December 31, 2021, 2020, and 2019, the Company incurred $1.1 million, $1.4 million, and $4.0 million, respectively, in legal and professional fees, net of expected insurance reimbursement, related to this litigation. These litigation costs are included in Professional fees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entered into employment agreements whereby the Company committed to grant equity awards to such newly hired employees contingent upon certain events (including, but not limited to, the Company becoming a public company). The Company settled these commitments in the third quarter of 2021 with a grant of awards approved by the compensation committee under our PWP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19—Business Information</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34"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There was no individual client that accounted for more than 10% of aggregate revenues for the years ended December 31, 2021, 2020, and 2019.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659,947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387,038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446,320</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86,977</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801,662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533,297</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0"/>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552,865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406,884</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r>
      <w:tr>
        <w:trPr>
          <w:trHeight w:val="20"/>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issuance date of these consolidated financial statements.</w:t>
      </w:r>
    </w:p>
    <w:p>
      <w:pPr>
        <w:spacing w:after="0" w:line="17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January 1, 2022, the total shares reserved and available for future issuance under the PWP Incentive Plan increased to 13.9 million in accordance with the terms of such plan, and on March 4, 2022, the Company granted 6,322,746 RSUs to certain employees and executive officers pursuant to such plan.</w:t>
      </w:r>
    </w:p>
    <w:p>
      <w:pPr>
        <w:spacing w:after="0" w:line="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January 21, 2022, the Company closed its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purchase from certain non-employee holders (i) outstanding PWP OpCo Units and (ii) outstanding shares of the Company’s Class B common stock. As a result of the use of proceeds, the non-controlling ownership interests in PWP OpCo decreased to 50.17%. Under the terms of the underwriting agreement, directors, officers and certain significant shareholders signed customary lockup agreements with respect to their ownership of Class A common stock.</w:t>
      </w:r>
    </w:p>
    <w:p>
      <w:pPr>
        <w:spacing w:after="0" w:line="1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February 16, 2022, the Company’s Board of Directors declared a cash dividend of $0.07 per outstanding share of Class A common stock. This dividend will be payable on March 17, 2022 to each of the holders of Class A common stock of record as of the close of business on March 3, 2022. Holders of Class B common stock will also receive dividends equal to the amount of dividends made on 0.001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jc w:val="center"/>
        <w:ind w:right="-17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February 18, 2022, the Company entered into a lease agreement related to the relocation of its U.K. office to 80 Charlotte Street, London, United Kingdom. The lease has an initial term of 12 years and is expected to commence in mid 2022.</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February 22, 2022, the Company entered into an amendment to its Los Angeles office lease whereby the Company will move to a larger space within the building. The lease is expected to commence in mid 2022 and is scheduled to expire on December 31, 2032.</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28, 2022, the Company settled an exchange of certain PWP OpCo Units and certain shares of Class B common stock for 337,048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33" w:name="page234"/>
    <w:bookmarkEnd w:id="2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1014730</wp:posOffset>
            </wp:positionV>
            <wp:extent cx="1714500" cy="6515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Perella Weinberg Partners</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64,738,934 Shares of Class A Common Stock</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203,333 Warrants to Purchase Class A Common Stock</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34" w:name="page235"/>
    <w:bookmarkEnd w:id="234"/>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by us in connection with the sale and distribution of the securities being registered hereby.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4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107,675.90**</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40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fees and expenses</w:t>
            </w:r>
          </w:p>
        </w:tc>
        <w:tc>
          <w:tcPr>
            <w:tcW w:w="4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Registrar and transfer agent fees</w:t>
            </w:r>
          </w:p>
        </w:tc>
        <w:tc>
          <w:tcPr>
            <w:tcW w:w="40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4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40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40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Total</w:t>
            </w:r>
          </w:p>
        </w:tc>
        <w:tc>
          <w:tcPr>
            <w:tcW w:w="4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tcPr>
          <w:p>
            <w:pPr>
              <w:spacing w:after="0"/>
              <w:rPr>
                <w:sz w:val="20"/>
                <w:szCs w:val="20"/>
                <w:color w:val="auto"/>
              </w:rPr>
            </w:pPr>
            <w:r>
              <w:rPr>
                <w:rFonts w:ascii="Arial" w:cs="Arial" w:eastAsia="Arial" w:hAnsi="Arial"/>
                <w:sz w:val="14"/>
                <w:szCs w:val="14"/>
                <w:color w:val="auto"/>
              </w:rPr>
              <w:t>__________________</w:t>
            </w:r>
          </w:p>
        </w:tc>
        <w:tc>
          <w:tcPr>
            <w:tcW w:w="40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74"/>
        </w:trPr>
        <w:tc>
          <w:tcPr>
            <w:tcW w:w="5900" w:type="dxa"/>
            <w:vAlign w:val="bottom"/>
          </w:tcPr>
          <w:p>
            <w:pPr>
              <w:spacing w:after="0"/>
              <w:rPr>
                <w:sz w:val="20"/>
                <w:szCs w:val="20"/>
                <w:color w:val="auto"/>
              </w:rPr>
            </w:pPr>
            <w:r>
              <w:rPr>
                <w:rFonts w:ascii="Arial" w:cs="Arial" w:eastAsia="Arial" w:hAnsi="Arial"/>
                <w:sz w:val="14"/>
                <w:szCs w:val="14"/>
                <w:color w:val="auto"/>
              </w:rPr>
              <w:t>*    Estimates not presently known.</w:t>
            </w:r>
          </w:p>
        </w:tc>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ind w:left="340" w:hanging="332"/>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SEC registration fees were paid at the time of the original filing of the Registration Statement on July 15, 2021.</w:t>
      </w:r>
    </w:p>
    <w:p>
      <w:pPr>
        <w:spacing w:after="0" w:line="15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will bear all costs, expenses and fees in connection with the registration of the securities, including with regard to compliance with state securities or “blue sky” laws. The Selling Holders, however, will bear all underwriting commissions and discounts, if any, attributable to their sale of the securities. All amounts are estimates except the SEC registration fee.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Certificate of Incorporation provides that our officers and directors are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spacing w:after="0" w:line="13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a form of which is incorporated by reference in this registration statement.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2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Since January 1, 2019, the Registrant has granted or issued the following securities of the Registrant which were not registered under the Securities Act.</w:t>
      </w:r>
    </w:p>
    <w:p>
      <w:pPr>
        <w:spacing w:after="0" w:line="194" w:lineRule="exact"/>
        <w:rPr>
          <w:sz w:val="20"/>
          <w:szCs w:val="20"/>
          <w:color w:val="auto"/>
        </w:rPr>
      </w:pPr>
    </w:p>
    <w:p>
      <w:pPr>
        <w:ind w:left="660" w:right="2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 September 29, 2020, we issued 610,000 placement units to Sponsor at a price of $10.00 per unit and an aggregate purchase price of $6,100,000 concurrently with the closing of our IPO.</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 June 24, 2021, concurrently with the Business Combination, we issued 12,500,000 PIPE Shares to the PIPE Investors at a price of $10.00 per share for an aggregate purchase price of $125,000,000 pursuant to the Subscription Agreements.</w:t>
      </w:r>
    </w:p>
    <w:p>
      <w:pPr>
        <w:spacing w:after="0" w:line="116" w:lineRule="exact"/>
        <w:rPr>
          <w:rFonts w:ascii="Arial" w:cs="Arial" w:eastAsia="Arial" w:hAnsi="Arial"/>
          <w:sz w:val="18"/>
          <w:szCs w:val="18"/>
          <w:color w:val="auto"/>
        </w:rPr>
      </w:pPr>
    </w:p>
    <w:p>
      <w:pPr>
        <w:ind w:left="660" w:right="440" w:hanging="328"/>
        <w:spacing w:after="0" w:line="301" w:lineRule="auto"/>
        <w:tabs>
          <w:tab w:leader="none" w:pos="65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June 24, 2021, in connection with the Closing of the Business Combination, we issued 48,470,675 shares of Class B-1 common stock (of which 45,608,840 shares of Class B-1 common stock remained outstanding after giving effect to redemptions of certain legacy partners of Professional Partners and ILPs) and 12,589,325 shares of Class B-2 common stock (of which 4,545,359 shares of Class B-2 common stock remained outstanding after giving effect to redemptions of certain legacy partners of Professional Partners and ILPs).</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sales of the above securities were exempt from the registration requirements of the Securities Act in reliance on the exemptions afforded by Section 4(a)(2) of the Securities Act. Other than the IPO, no sales involved underwriters, underwriting discounts or commissions or public offerings of securities of the Registrant.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ind w:left="5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0" w:type="dxa"/>
            <w:vAlign w:val="bottom"/>
            <w:gridSpan w:val="18"/>
            <w:vMerge w:val="restart"/>
          </w:tcPr>
          <w:p>
            <w:pPr>
              <w:ind w:left="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8"/>
        </w:trPr>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560" w:type="dxa"/>
            <w:vAlign w:val="bottom"/>
            <w:tcBorders>
              <w:top w:val="single" w:sz="8" w:color="auto"/>
            </w:tcBorders>
            <w:gridSpan w:val="24"/>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90"/>
        </w:trPr>
        <w:tc>
          <w:tcPr>
            <w:tcW w:w="1560" w:type="dxa"/>
            <w:vAlign w:val="bottom"/>
          </w:tcPr>
          <w:p>
            <w:pPr>
              <w:ind w:left="20"/>
              <w:spacing w:after="0" w:line="190"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60" w:type="dxa"/>
            <w:vAlign w:val="bottom"/>
            <w:gridSpan w:val="24"/>
          </w:tcPr>
          <w:p>
            <w:pPr>
              <w:spacing w:after="0" w:line="190" w:lineRule="exact"/>
              <w:rPr>
                <w:rFonts w:ascii="Arial" w:cs="Arial" w:eastAsia="Arial" w:hAnsi="Arial"/>
                <w:sz w:val="18"/>
                <w:szCs w:val="18"/>
                <w:color w:val="0000FF"/>
                <w:w w:val="92"/>
              </w:rPr>
            </w:pPr>
            <w:hyperlink r:id="rId380">
              <w:r>
                <w:rPr>
                  <w:rFonts w:ascii="Arial" w:cs="Arial" w:eastAsia="Arial" w:hAnsi="Arial"/>
                  <w:sz w:val="18"/>
                  <w:szCs w:val="18"/>
                  <w:color w:val="0000FF"/>
                  <w:w w:val="92"/>
                </w:rPr>
                <w:t>Business Combination Agreement, dated as of December 29, 2020, by and among FinTech Acquisition Corp. IV, FinTech Investor</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380">
              <w:r>
                <w:rPr>
                  <w:rFonts w:ascii="Arial" w:cs="Arial" w:eastAsia="Arial" w:hAnsi="Arial"/>
                  <w:sz w:val="18"/>
                  <w:szCs w:val="18"/>
                  <w:color w:val="0000FF"/>
                  <w:w w:val="91"/>
                </w:rPr>
                <w:t>Holdings IV, LLC, FinTech Masala Advisors, LLC, PWP Holdings LP, PWP GP LLC, PWP Professional Partners LP and Perella</w:t>
              </w:r>
            </w:hyperlink>
          </w:p>
        </w:tc>
        <w:tc>
          <w:tcPr>
            <w:tcW w:w="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24"/>
          </w:tcPr>
          <w:p>
            <w:pPr>
              <w:spacing w:after="0" w:line="156" w:lineRule="exact"/>
              <w:rPr>
                <w:rFonts w:ascii="Arial" w:cs="Arial" w:eastAsia="Arial" w:hAnsi="Arial"/>
                <w:sz w:val="18"/>
                <w:szCs w:val="18"/>
                <w:color w:val="0000FF"/>
                <w:w w:val="92"/>
              </w:rPr>
            </w:pPr>
            <w:hyperlink r:id="rId380">
              <w:r>
                <w:rPr>
                  <w:rFonts w:ascii="Arial" w:cs="Arial" w:eastAsia="Arial" w:hAnsi="Arial"/>
                  <w:sz w:val="18"/>
                  <w:szCs w:val="18"/>
                  <w:color w:val="0000FF"/>
                  <w:w w:val="92"/>
                </w:rPr>
                <w:t>Weinberg Partners LLC (incorporated by reference to Exhibit 2.1 to FinTech Acquisition Corp. IV’s Current Report on Form 8-K/A,</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380">
              <w:r>
                <w:rPr>
                  <w:rFonts w:ascii="Arial" w:cs="Arial" w:eastAsia="Arial" w:hAnsi="Arial"/>
                  <w:sz w:val="18"/>
                  <w:szCs w:val="18"/>
                  <w:color w:val="0000FF"/>
                  <w:w w:val="90"/>
                </w:rPr>
                <w:t>filed with the SEC on December 31, 2020).</w:t>
              </w:r>
            </w:hyperlink>
          </w:p>
        </w:tc>
        <w:tc>
          <w:tcPr>
            <w:tcW w:w="64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24"/>
          </w:tcPr>
          <w:p>
            <w:pPr>
              <w:spacing w:after="0"/>
              <w:rPr>
                <w:rFonts w:ascii="Arial" w:cs="Arial" w:eastAsia="Arial" w:hAnsi="Arial"/>
                <w:sz w:val="18"/>
                <w:szCs w:val="18"/>
                <w:color w:val="0000FF"/>
                <w:w w:val="91"/>
              </w:rPr>
            </w:pPr>
            <w:hyperlink r:id="rId381">
              <w:r>
                <w:rPr>
                  <w:rFonts w:ascii="Arial" w:cs="Arial" w:eastAsia="Arial" w:hAnsi="Arial"/>
                  <w:sz w:val="18"/>
                  <w:szCs w:val="18"/>
                  <w:color w:val="0000FF"/>
                  <w:w w:val="91"/>
                </w:rPr>
                <w:t>Restated Certificate of Incorporation of Perella Weinberg Partners (incorporated by reference to Exhibit 3.1 to Amendment No. 1 to</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81">
              <w:r>
                <w:rPr>
                  <w:rFonts w:ascii="Arial" w:cs="Arial" w:eastAsia="Arial" w:hAnsi="Arial"/>
                  <w:sz w:val="18"/>
                  <w:szCs w:val="18"/>
                  <w:color w:val="0000FF"/>
                </w:rPr>
                <w:t>the Company’s Registration Statement on Form S-1 (File No. 333-261785), filed with the SEC on January 13, 2022).</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24"/>
          </w:tcPr>
          <w:p>
            <w:pPr>
              <w:spacing w:after="0"/>
              <w:rPr>
                <w:rFonts w:ascii="Arial" w:cs="Arial" w:eastAsia="Arial" w:hAnsi="Arial"/>
                <w:sz w:val="18"/>
                <w:szCs w:val="18"/>
                <w:color w:val="0000FF"/>
                <w:w w:val="93"/>
              </w:rPr>
            </w:pPr>
            <w:hyperlink r:id="rId382">
              <w:r>
                <w:rPr>
                  <w:rFonts w:ascii="Arial" w:cs="Arial" w:eastAsia="Arial" w:hAnsi="Arial"/>
                  <w:sz w:val="18"/>
                  <w:szCs w:val="18"/>
                  <w:color w:val="0000FF"/>
                  <w:w w:val="93"/>
                </w:rPr>
                <w:t>Amended and Restated Bylaws of Perella Weinberg Partners (incorporated by reference to Exhibit 3.2 to the Company’s Current</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382">
              <w:r>
                <w:rPr>
                  <w:rFonts w:ascii="Arial" w:cs="Arial" w:eastAsia="Arial" w:hAnsi="Arial"/>
                  <w:sz w:val="18"/>
                  <w:szCs w:val="18"/>
                  <w:color w:val="0000FF"/>
                  <w:w w:val="91"/>
                </w:rPr>
                <w:t>Report on Form 8-K, filed with the SEC on June 30, 2021).</w:t>
              </w:r>
            </w:hyperlink>
          </w:p>
        </w:tc>
        <w:tc>
          <w:tcPr>
            <w:tcW w:w="49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24"/>
          </w:tcPr>
          <w:p>
            <w:pPr>
              <w:spacing w:after="0"/>
              <w:rPr>
                <w:rFonts w:ascii="Arial" w:cs="Arial" w:eastAsia="Arial" w:hAnsi="Arial"/>
                <w:sz w:val="18"/>
                <w:szCs w:val="18"/>
                <w:color w:val="0000FF"/>
                <w:w w:val="92"/>
              </w:rPr>
            </w:pPr>
            <w:hyperlink r:id="rId383">
              <w:r>
                <w:rPr>
                  <w:rFonts w:ascii="Arial" w:cs="Arial" w:eastAsia="Arial" w:hAnsi="Arial"/>
                  <w:sz w:val="18"/>
                  <w:szCs w:val="18"/>
                  <w:color w:val="0000FF"/>
                  <w:w w:val="92"/>
                </w:rPr>
                <w:t>Specimen Class A Common Stock Certificate (incorporated by reference to Exhibit 4.1 to the Company’s Current Report on Form</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383">
              <w:r>
                <w:rPr>
                  <w:rFonts w:ascii="Arial" w:cs="Arial" w:eastAsia="Arial" w:hAnsi="Arial"/>
                  <w:sz w:val="18"/>
                  <w:szCs w:val="18"/>
                  <w:color w:val="0000FF"/>
                  <w:w w:val="91"/>
                </w:rPr>
                <w:t>8-K, filed with the SEC on June 30, 2021).</w:t>
              </w:r>
            </w:hyperlink>
          </w:p>
        </w:tc>
        <w:tc>
          <w:tcPr>
            <w:tcW w:w="63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80" w:type="dxa"/>
            <w:vAlign w:val="bottom"/>
            <w:tcBorders>
              <w:bottom w:val="single" w:sz="8" w:color="0000FF"/>
            </w:tcBorders>
            <w:gridSpan w:val="14"/>
          </w:tcPr>
          <w:p>
            <w:pPr>
              <w:spacing w:after="0"/>
              <w:rPr>
                <w:rFonts w:ascii="Arial" w:cs="Arial" w:eastAsia="Arial" w:hAnsi="Arial"/>
                <w:sz w:val="18"/>
                <w:szCs w:val="18"/>
                <w:color w:val="0000FF"/>
                <w:w w:val="90"/>
              </w:rPr>
            </w:pPr>
            <w:hyperlink r:id="rId384">
              <w:r>
                <w:rPr>
                  <w:rFonts w:ascii="Arial" w:cs="Arial" w:eastAsia="Arial" w:hAnsi="Arial"/>
                  <w:sz w:val="18"/>
                  <w:szCs w:val="18"/>
                  <w:color w:val="0000FF"/>
                  <w:w w:val="90"/>
                </w:rPr>
                <w:t>Warrant Agreement, dated September 24, 2020, by and between FinTech Acquisition Corp. IV and Continental Stock Transfer &amp;</w:t>
              </w:r>
            </w:hyperlink>
          </w:p>
        </w:tc>
        <w:tc>
          <w:tcPr>
            <w:tcW w:w="2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gridSpan w:val="24"/>
          </w:tcPr>
          <w:p>
            <w:pPr>
              <w:spacing w:after="0" w:line="156" w:lineRule="exact"/>
              <w:rPr>
                <w:rFonts w:ascii="Arial" w:cs="Arial" w:eastAsia="Arial" w:hAnsi="Arial"/>
                <w:sz w:val="18"/>
                <w:szCs w:val="18"/>
                <w:color w:val="0000FF"/>
                <w:w w:val="93"/>
              </w:rPr>
            </w:pPr>
            <w:hyperlink r:id="rId384">
              <w:r>
                <w:rPr>
                  <w:rFonts w:ascii="Arial" w:cs="Arial" w:eastAsia="Arial" w:hAnsi="Arial"/>
                  <w:sz w:val="18"/>
                  <w:szCs w:val="18"/>
                  <w:color w:val="0000FF"/>
                  <w:w w:val="93"/>
                </w:rPr>
                <w:t>Trust Company (incorporated by reference to Exhibit 4.1 to FinTech Acquisition Corp. IV’s Current Report on Form 8-K, filed with</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84">
              <w:r>
                <w:rPr>
                  <w:rFonts w:ascii="Arial" w:cs="Arial" w:eastAsia="Arial" w:hAnsi="Arial"/>
                  <w:sz w:val="18"/>
                  <w:szCs w:val="18"/>
                  <w:color w:val="0000FF"/>
                </w:rPr>
                <w:t>the SEC on September 30, 2020).</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24"/>
          </w:tcPr>
          <w:p>
            <w:pPr>
              <w:spacing w:after="0"/>
              <w:rPr>
                <w:rFonts w:ascii="Arial" w:cs="Arial" w:eastAsia="Arial" w:hAnsi="Arial"/>
                <w:sz w:val="18"/>
                <w:szCs w:val="18"/>
                <w:color w:val="0000FF"/>
                <w:w w:val="96"/>
              </w:rPr>
            </w:pPr>
            <w:hyperlink r:id="rId385">
              <w:r>
                <w:rPr>
                  <w:rFonts w:ascii="Arial" w:cs="Arial" w:eastAsia="Arial" w:hAnsi="Arial"/>
                  <w:sz w:val="18"/>
                  <w:szCs w:val="18"/>
                  <w:color w:val="0000FF"/>
                  <w:w w:val="96"/>
                </w:rPr>
                <w:t>Amendment to Warrant Agreement, dated November 10, 2021, by and among Perella Weinberg Partners, Continental Stock</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385">
              <w:r>
                <w:rPr>
                  <w:rFonts w:ascii="Arial" w:cs="Arial" w:eastAsia="Arial" w:hAnsi="Arial"/>
                  <w:sz w:val="18"/>
                  <w:szCs w:val="18"/>
                  <w:color w:val="0000FF"/>
                  <w:w w:val="92"/>
                </w:rPr>
                <w:t>Transfer &amp; Trust Company and American Stock Transfer &amp; Trust Company, LLC (incorporated by reference to Exhibit 4.3</w:t>
              </w:r>
            </w:hyperlink>
          </w:p>
        </w:tc>
        <w:tc>
          <w:tcPr>
            <w:tcW w:w="660" w:type="dxa"/>
            <w:vAlign w:val="bottom"/>
            <w:gridSpan w:val="14"/>
          </w:tcPr>
          <w:p>
            <w:pPr>
              <w:spacing w:after="0" w:line="156" w:lineRule="exact"/>
              <w:rPr>
                <w:rFonts w:ascii="Arial" w:cs="Arial" w:eastAsia="Arial" w:hAnsi="Arial"/>
                <w:sz w:val="18"/>
                <w:szCs w:val="18"/>
                <w:color w:val="0000FF"/>
              </w:rPr>
            </w:pPr>
            <w:hyperlink r:id="rId385">
              <w:r>
                <w:rPr>
                  <w:rFonts w:ascii="Arial" w:cs="Arial" w:eastAsia="Arial" w:hAnsi="Arial"/>
                  <w:sz w:val="18"/>
                  <w:szCs w:val="18"/>
                  <w:color w:val="0000FF"/>
                </w:rPr>
                <w:t>to the</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385">
              <w:r>
                <w:rPr>
                  <w:rFonts w:ascii="Arial" w:cs="Arial" w:eastAsia="Arial" w:hAnsi="Arial"/>
                  <w:sz w:val="18"/>
                  <w:szCs w:val="18"/>
                  <w:color w:val="0000FF"/>
                  <w:w w:val="90"/>
                </w:rPr>
                <w:t>Company's Registration Statement on Form S-1 (File No. 333-261785) filed with the SEC on December 21, 2021.</w:t>
              </w:r>
            </w:hyperlink>
          </w:p>
        </w:tc>
        <w:tc>
          <w:tcPr>
            <w:tcW w:w="1080" w:type="dxa"/>
            <w:vAlign w:val="bottom"/>
            <w:tcBorders>
              <w:top w:val="single" w:sz="8" w:color="0000FF"/>
            </w:tcBorders>
            <w:gridSpan w:val="8"/>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24"/>
          </w:tcPr>
          <w:p>
            <w:pPr>
              <w:spacing w:after="0"/>
              <w:rPr>
                <w:rFonts w:ascii="Arial" w:cs="Arial" w:eastAsia="Arial" w:hAnsi="Arial"/>
                <w:sz w:val="18"/>
                <w:szCs w:val="18"/>
                <w:color w:val="0000FF"/>
                <w:w w:val="94"/>
              </w:rPr>
            </w:pPr>
            <w:hyperlink r:id="rId386">
              <w:r>
                <w:rPr>
                  <w:rFonts w:ascii="Arial" w:cs="Arial" w:eastAsia="Arial" w:hAnsi="Arial"/>
                  <w:sz w:val="18"/>
                  <w:szCs w:val="18"/>
                  <w:color w:val="0000FF"/>
                  <w:w w:val="94"/>
                </w:rPr>
                <w:t>Opinion of Skadden, Arps, Slate, Meagher &amp; Flom LLP (incorporated by reference to Exhibit 5.1 of the Company's Registration</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386">
              <w:r>
                <w:rPr>
                  <w:rFonts w:ascii="Arial" w:cs="Arial" w:eastAsia="Arial" w:hAnsi="Arial"/>
                  <w:sz w:val="18"/>
                  <w:szCs w:val="18"/>
                  <w:color w:val="0000FF"/>
                </w:rPr>
                <w:t>Statement on Form S-1 filed with the SEC on July 15, 2021)</w:t>
              </w:r>
              <w:r>
                <w:rPr>
                  <w:rFonts w:ascii="Arial" w:cs="Arial" w:eastAsia="Arial" w:hAnsi="Arial"/>
                  <w:sz w:val="18"/>
                  <w:szCs w:val="18"/>
                  <w:u w:val="single" w:color="auto"/>
                  <w:color w:val="0000FF"/>
                </w:rPr>
                <w:t>.</w:t>
              </w:r>
            </w:hyperlink>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9560" w:type="dxa"/>
            <w:vAlign w:val="bottom"/>
            <w:gridSpan w:val="24"/>
          </w:tcPr>
          <w:p>
            <w:pPr>
              <w:spacing w:after="0"/>
              <w:rPr>
                <w:rFonts w:ascii="Arial" w:cs="Arial" w:eastAsia="Arial" w:hAnsi="Arial"/>
                <w:sz w:val="18"/>
                <w:szCs w:val="18"/>
                <w:color w:val="0000FF"/>
                <w:w w:val="91"/>
              </w:rPr>
            </w:pPr>
            <w:hyperlink r:id="rId387">
              <w:r>
                <w:rPr>
                  <w:rFonts w:ascii="Arial" w:cs="Arial" w:eastAsia="Arial" w:hAnsi="Arial"/>
                  <w:sz w:val="18"/>
                  <w:szCs w:val="18"/>
                  <w:color w:val="0000FF"/>
                  <w:w w:val="91"/>
                </w:rPr>
                <w:t>Employment Agreement, dated as of August 11, 2021, by and between Perella Weinberg Partners, PWP Employer LP and Peter A.</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387">
              <w:r>
                <w:rPr>
                  <w:rFonts w:ascii="Arial" w:cs="Arial" w:eastAsia="Arial" w:hAnsi="Arial"/>
                  <w:sz w:val="18"/>
                  <w:szCs w:val="18"/>
                  <w:color w:val="0000FF"/>
                  <w:w w:val="95"/>
                </w:rPr>
                <w:t>Weinberg (incorporated by reference to Exhibit 10.1 of the Company's Quarterly Report on Form 10-Q filed with the SEC on</w:t>
              </w:r>
            </w:hyperlink>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387">
              <w:r>
                <w:rPr>
                  <w:rFonts w:ascii="Arial" w:cs="Arial" w:eastAsia="Arial" w:hAnsi="Arial"/>
                  <w:sz w:val="18"/>
                  <w:szCs w:val="18"/>
                  <w:color w:val="0000FF"/>
                </w:rPr>
                <w:t>November 5, 2021).</w:t>
              </w:r>
            </w:hyperlink>
          </w:p>
        </w:tc>
        <w:tc>
          <w:tcPr>
            <w:tcW w:w="400" w:type="dxa"/>
            <w:vAlign w:val="bottom"/>
            <w:gridSpan w:val="8"/>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9560" w:type="dxa"/>
            <w:vAlign w:val="bottom"/>
            <w:gridSpan w:val="24"/>
          </w:tcPr>
          <w:p>
            <w:pPr>
              <w:spacing w:after="0"/>
              <w:rPr>
                <w:rFonts w:ascii="Arial" w:cs="Arial" w:eastAsia="Arial" w:hAnsi="Arial"/>
                <w:sz w:val="18"/>
                <w:szCs w:val="18"/>
                <w:color w:val="0000FF"/>
                <w:w w:val="91"/>
              </w:rPr>
            </w:pPr>
            <w:hyperlink r:id="rId388">
              <w:r>
                <w:rPr>
                  <w:rFonts w:ascii="Arial" w:cs="Arial" w:eastAsia="Arial" w:hAnsi="Arial"/>
                  <w:sz w:val="18"/>
                  <w:szCs w:val="18"/>
                  <w:color w:val="0000FF"/>
                  <w:w w:val="91"/>
                </w:rPr>
                <w:t>Employment Agreement, dated as of August 11, 2021, by and between Perella Weinberg Partners, PWP Employer LP and Andrew</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9"/>
          </w:tcPr>
          <w:p>
            <w:pPr>
              <w:spacing w:after="0" w:line="156" w:lineRule="exact"/>
              <w:rPr>
                <w:rFonts w:ascii="Arial" w:cs="Arial" w:eastAsia="Arial" w:hAnsi="Arial"/>
                <w:sz w:val="18"/>
                <w:szCs w:val="18"/>
                <w:color w:val="0000FF"/>
                <w:w w:val="97"/>
              </w:rPr>
            </w:pPr>
            <w:hyperlink r:id="rId388">
              <w:r>
                <w:rPr>
                  <w:rFonts w:ascii="Arial" w:cs="Arial" w:eastAsia="Arial" w:hAnsi="Arial"/>
                  <w:sz w:val="18"/>
                  <w:szCs w:val="18"/>
                  <w:color w:val="0000FF"/>
                  <w:w w:val="97"/>
                </w:rPr>
                <w:t>Bednar (incorporated by reference to Exhibit 10.2 of the Company's Quarterly Report on Form 10-Q filed with the SEC on</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388">
              <w:r>
                <w:rPr>
                  <w:rFonts w:ascii="Arial" w:cs="Arial" w:eastAsia="Arial" w:hAnsi="Arial"/>
                  <w:sz w:val="18"/>
                  <w:szCs w:val="18"/>
                  <w:color w:val="0000FF"/>
                </w:rPr>
                <w:t>November 5, 2021).</w:t>
              </w:r>
            </w:hyperlink>
          </w:p>
        </w:tc>
        <w:tc>
          <w:tcPr>
            <w:tcW w:w="7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ind w:left="5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340" w:type="dxa"/>
            <w:vAlign w:val="bottom"/>
            <w:gridSpan w:val="33"/>
            <w:vMerge w:val="restart"/>
          </w:tcPr>
          <w:p>
            <w:pPr>
              <w:ind w:left="10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8"/>
        </w:trPr>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340" w:type="dxa"/>
            <w:vAlign w:val="bottom"/>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6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20" w:type="dxa"/>
            <w:vAlign w:val="bottom"/>
            <w:tcBorders>
              <w:top w:val="single" w:sz="8" w:color="auto"/>
            </w:tcBorders>
            <w:gridSpan w:val="40"/>
          </w:tcPr>
          <w:p>
            <w:pPr>
              <w:spacing w:after="0" w:line="184" w:lineRule="exact"/>
              <w:rPr>
                <w:rFonts w:ascii="Arial" w:cs="Arial" w:eastAsia="Arial" w:hAnsi="Arial"/>
                <w:sz w:val="18"/>
                <w:szCs w:val="18"/>
                <w:color w:val="0000FF"/>
                <w:w w:val="92"/>
              </w:rPr>
            </w:pPr>
            <w:hyperlink r:id="rId390">
              <w:r>
                <w:rPr>
                  <w:rFonts w:ascii="Arial" w:cs="Arial" w:eastAsia="Arial" w:hAnsi="Arial"/>
                  <w:sz w:val="18"/>
                  <w:szCs w:val="18"/>
                  <w:color w:val="0000FF"/>
                  <w:w w:val="92"/>
                </w:rPr>
                <w:t>Employment Agreement, dated as of August 11, 2021, by and between Perella Weinberg Partners, PWP Employer LP and Dietrich</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0"/>
          </w:tcPr>
          <w:p>
            <w:pPr>
              <w:spacing w:after="0" w:line="156" w:lineRule="exact"/>
              <w:rPr>
                <w:rFonts w:ascii="Arial" w:cs="Arial" w:eastAsia="Arial" w:hAnsi="Arial"/>
                <w:sz w:val="18"/>
                <w:szCs w:val="18"/>
                <w:color w:val="0000FF"/>
                <w:w w:val="97"/>
              </w:rPr>
            </w:pPr>
            <w:hyperlink r:id="rId390">
              <w:r>
                <w:rPr>
                  <w:rFonts w:ascii="Arial" w:cs="Arial" w:eastAsia="Arial" w:hAnsi="Arial"/>
                  <w:sz w:val="18"/>
                  <w:szCs w:val="18"/>
                  <w:color w:val="0000FF"/>
                  <w:w w:val="97"/>
                </w:rPr>
                <w:t>Becker (incorporated by reference to Exhibit 10.3 of the Company's Quarterly Report on Form 10-Q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390">
              <w:r>
                <w:rPr>
                  <w:rFonts w:ascii="Arial" w:cs="Arial" w:eastAsia="Arial" w:hAnsi="Arial"/>
                  <w:sz w:val="18"/>
                  <w:szCs w:val="18"/>
                  <w:color w:val="0000FF"/>
                </w:rPr>
                <w:t>November 5, 2021).</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6"/>
              </w:rPr>
            </w:pPr>
            <w:hyperlink r:id="rId391">
              <w:r>
                <w:rPr>
                  <w:rFonts w:ascii="Arial" w:cs="Arial" w:eastAsia="Arial" w:hAnsi="Arial"/>
                  <w:sz w:val="18"/>
                  <w:szCs w:val="18"/>
                  <w:color w:val="0000FF"/>
                  <w:w w:val="96"/>
                </w:rPr>
                <w:t>Form of Director Restricted Stock Unit Award Agreement (One-Time Award) (incorporated by reference to Exhibit 10.4 of the</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391">
              <w:r>
                <w:rPr>
                  <w:rFonts w:ascii="Arial" w:cs="Arial" w:eastAsia="Arial" w:hAnsi="Arial"/>
                  <w:sz w:val="18"/>
                  <w:szCs w:val="18"/>
                  <w:color w:val="0000FF"/>
                  <w:w w:val="91"/>
                </w:rPr>
                <w:t>Company's Quarterly Report on Form 10-Q filed with the SEC on November 5, 2021).</w:t>
              </w:r>
            </w:hyperlink>
          </w:p>
        </w:tc>
        <w:tc>
          <w:tcPr>
            <w:tcW w:w="28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2"/>
              </w:rPr>
            </w:pPr>
            <w:hyperlink r:id="rId392">
              <w:r>
                <w:rPr>
                  <w:rFonts w:ascii="Arial" w:cs="Arial" w:eastAsia="Arial" w:hAnsi="Arial"/>
                  <w:sz w:val="18"/>
                  <w:szCs w:val="18"/>
                  <w:color w:val="0000FF"/>
                  <w:w w:val="92"/>
                </w:rPr>
                <w:t>Form of Director Restricted Stock Unit Award Agreement (Annual Base Retainer Award) (incorporated by reference to Exhibit 10.5</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392">
              <w:r>
                <w:rPr>
                  <w:rFonts w:ascii="Arial" w:cs="Arial" w:eastAsia="Arial" w:hAnsi="Arial"/>
                  <w:sz w:val="18"/>
                  <w:szCs w:val="18"/>
                  <w:color w:val="0000FF"/>
                  <w:w w:val="91"/>
                </w:rPr>
                <w:t>of the Company's Quarterly Report on Form 10-Q filed with the SEC on November 5, 2021).</w:t>
              </w:r>
            </w:hyperlink>
          </w:p>
        </w:tc>
        <w:tc>
          <w:tcPr>
            <w:tcW w:w="28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5"/>
              </w:rPr>
            </w:pPr>
            <w:hyperlink r:id="rId393">
              <w:r>
                <w:rPr>
                  <w:rFonts w:ascii="Arial" w:cs="Arial" w:eastAsia="Arial" w:hAnsi="Arial"/>
                  <w:sz w:val="18"/>
                  <w:szCs w:val="18"/>
                  <w:color w:val="0000FF"/>
                  <w:w w:val="95"/>
                </w:rPr>
                <w:t>Form of Subscription Agreement (incorporated by reference to Exhibit 10.1 to FinTech Acquisition Corp. IV’s Current Report on</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93">
              <w:r>
                <w:rPr>
                  <w:rFonts w:ascii="Arial" w:cs="Arial" w:eastAsia="Arial" w:hAnsi="Arial"/>
                  <w:sz w:val="18"/>
                  <w:szCs w:val="18"/>
                  <w:color w:val="0000FF"/>
                </w:rPr>
                <w:t>Form 8-K/A, filed with the SEC on December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6"/>
              </w:rPr>
            </w:pPr>
            <w:hyperlink r:id="rId394">
              <w:r>
                <w:rPr>
                  <w:rFonts w:ascii="Arial" w:cs="Arial" w:eastAsia="Arial" w:hAnsi="Arial"/>
                  <w:sz w:val="18"/>
                  <w:szCs w:val="18"/>
                  <w:color w:val="0000FF"/>
                  <w:w w:val="96"/>
                </w:rPr>
                <w:t>Amended and Restated Registration Rights Agreement, dated June 24, 2021, by and among the Company, FinTech Investor</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394">
              <w:r>
                <w:rPr>
                  <w:rFonts w:ascii="Arial" w:cs="Arial" w:eastAsia="Arial" w:hAnsi="Arial"/>
                  <w:sz w:val="18"/>
                  <w:szCs w:val="18"/>
                  <w:color w:val="0000FF"/>
                  <w:w w:val="91"/>
                </w:rPr>
                <w:t>Holdings IV, LLC, FinTech Masala Advisors, LLC and the other Holders party thereto (incorporated by reference to Exhibit</w:t>
              </w:r>
            </w:hyperlink>
          </w:p>
        </w:tc>
        <w:tc>
          <w:tcPr>
            <w:tcW w:w="720" w:type="dxa"/>
            <w:vAlign w:val="bottom"/>
            <w:gridSpan w:val="25"/>
          </w:tcPr>
          <w:p>
            <w:pPr>
              <w:jc w:val="right"/>
              <w:ind w:right="140"/>
              <w:spacing w:after="0" w:line="156" w:lineRule="exact"/>
              <w:rPr>
                <w:rFonts w:ascii="Arial" w:cs="Arial" w:eastAsia="Arial" w:hAnsi="Arial"/>
                <w:sz w:val="18"/>
                <w:szCs w:val="18"/>
                <w:color w:val="0000FF"/>
              </w:rPr>
            </w:pPr>
            <w:hyperlink r:id="rId394">
              <w:r>
                <w:rPr>
                  <w:rFonts w:ascii="Arial" w:cs="Arial" w:eastAsia="Arial" w:hAnsi="Arial"/>
                  <w:sz w:val="18"/>
                  <w:szCs w:val="18"/>
                  <w:color w:val="0000FF"/>
                </w:rPr>
                <w:t>10.1 to</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394">
              <w:r>
                <w:rPr>
                  <w:rFonts w:ascii="Arial" w:cs="Arial" w:eastAsia="Arial" w:hAnsi="Arial"/>
                  <w:sz w:val="18"/>
                  <w:szCs w:val="18"/>
                  <w:color w:val="0000FF"/>
                  <w:w w:val="91"/>
                </w:rPr>
                <w:t>the Company’s Current Report on Form 8-K, filed with the SEC on June 30, 2021).</w:t>
              </w:r>
            </w:hyperlink>
          </w:p>
        </w:tc>
        <w:tc>
          <w:tcPr>
            <w:tcW w:w="35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2"/>
              </w:rPr>
            </w:pPr>
            <w:hyperlink r:id="rId395">
              <w:r>
                <w:rPr>
                  <w:rFonts w:ascii="Arial" w:cs="Arial" w:eastAsia="Arial" w:hAnsi="Arial"/>
                  <w:sz w:val="18"/>
                  <w:szCs w:val="18"/>
                  <w:color w:val="0000FF"/>
                  <w:w w:val="92"/>
                </w:rPr>
                <w:t>Stockholders Agreement, dated June 24, 2021, by and between the Company and PWP Professional Partners LP (incorporated by</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395">
              <w:r>
                <w:rPr>
                  <w:rFonts w:ascii="Arial" w:cs="Arial" w:eastAsia="Arial" w:hAnsi="Arial"/>
                  <w:sz w:val="18"/>
                  <w:szCs w:val="18"/>
                  <w:color w:val="0000FF"/>
                  <w:w w:val="91"/>
                </w:rPr>
                <w:t>reference to Exhibit 10.3 to the Company’s Current Report on Form 8-K, filed with the SEC on June 30, 2021).</w:t>
              </w:r>
            </w:hyperlink>
          </w:p>
        </w:tc>
        <w:tc>
          <w:tcPr>
            <w:tcW w:w="13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1"/>
              </w:rPr>
            </w:pPr>
            <w:hyperlink r:id="rId396">
              <w:r>
                <w:rPr>
                  <w:rFonts w:ascii="Arial" w:cs="Arial" w:eastAsia="Arial" w:hAnsi="Arial"/>
                  <w:sz w:val="18"/>
                  <w:szCs w:val="18"/>
                  <w:color w:val="0000FF"/>
                  <w:w w:val="91"/>
                </w:rPr>
                <w:t>Tax Receivable Agreement, dated June 24, 2021, by and between the Company, PWP Holdings LP, PWP Professional Partners LP</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8"/>
          </w:tcPr>
          <w:p>
            <w:pPr>
              <w:spacing w:after="0" w:line="156" w:lineRule="exact"/>
              <w:rPr>
                <w:rFonts w:ascii="Arial" w:cs="Arial" w:eastAsia="Arial" w:hAnsi="Arial"/>
                <w:sz w:val="18"/>
                <w:szCs w:val="18"/>
                <w:color w:val="0000FF"/>
                <w:w w:val="91"/>
              </w:rPr>
            </w:pPr>
            <w:hyperlink r:id="rId396">
              <w:r>
                <w:rPr>
                  <w:rFonts w:ascii="Arial" w:cs="Arial" w:eastAsia="Arial" w:hAnsi="Arial"/>
                  <w:sz w:val="18"/>
                  <w:szCs w:val="18"/>
                  <w:color w:val="0000FF"/>
                  <w:w w:val="91"/>
                </w:rPr>
                <w:t>and certain partners party thereto (incorporated by reference to Exhibit 10.2 to the Company’s Current Report on Form 8-K,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396">
              <w:r>
                <w:rPr>
                  <w:rFonts w:ascii="Arial" w:cs="Arial" w:eastAsia="Arial" w:hAnsi="Arial"/>
                  <w:sz w:val="18"/>
                  <w:szCs w:val="18"/>
                  <w:color w:val="0000FF"/>
                  <w:w w:val="89"/>
                </w:rPr>
                <w:t>with the SEC on June 30, 2021).</w:t>
              </w:r>
            </w:hyperlink>
          </w:p>
        </w:tc>
        <w:tc>
          <w:tcPr>
            <w:tcW w:w="69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4"/>
              </w:rPr>
            </w:pPr>
            <w:hyperlink r:id="rId397">
              <w:r>
                <w:rPr>
                  <w:rFonts w:ascii="Arial" w:cs="Arial" w:eastAsia="Arial" w:hAnsi="Arial"/>
                  <w:sz w:val="18"/>
                  <w:szCs w:val="18"/>
                  <w:color w:val="0000FF"/>
                  <w:w w:val="94"/>
                </w:rPr>
                <w:t>Sponsor Share Surrender and Share Restriction Agreement, dated as of December 29, 2020, by and among PWP Holdings LP,</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40"/>
          </w:tcPr>
          <w:p>
            <w:pPr>
              <w:spacing w:after="0" w:line="156" w:lineRule="exact"/>
              <w:rPr>
                <w:rFonts w:ascii="Arial" w:cs="Arial" w:eastAsia="Arial" w:hAnsi="Arial"/>
                <w:sz w:val="18"/>
                <w:szCs w:val="18"/>
                <w:color w:val="0000FF"/>
                <w:w w:val="96"/>
              </w:rPr>
            </w:pPr>
            <w:hyperlink r:id="rId397">
              <w:r>
                <w:rPr>
                  <w:rFonts w:ascii="Arial" w:cs="Arial" w:eastAsia="Arial" w:hAnsi="Arial"/>
                  <w:sz w:val="18"/>
                  <w:szCs w:val="18"/>
                  <w:color w:val="0000FF"/>
                  <w:w w:val="96"/>
                </w:rPr>
                <w:t>FinTech Acquisition Corp. IV, FinTech Investor Holdings IV, LLC, FinTech Masala Advisors, LLC and the other parties thereto</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397">
              <w:r>
                <w:rPr>
                  <w:rFonts w:ascii="Arial" w:cs="Arial" w:eastAsia="Arial" w:hAnsi="Arial"/>
                  <w:sz w:val="18"/>
                  <w:szCs w:val="18"/>
                  <w:color w:val="0000FF"/>
                  <w:w w:val="92"/>
                </w:rPr>
                <w:t>(incorporated by reference to Exhibit 10.5 to FinTech Acquisition Corp. IV’s Current Report on Form 8-K/A, filed with the SEC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17"/>
          </w:tcPr>
          <w:p>
            <w:pPr>
              <w:jc w:val="right"/>
              <w:ind w:right="140"/>
              <w:spacing w:after="0" w:line="156" w:lineRule="exact"/>
              <w:rPr>
                <w:rFonts w:ascii="Arial" w:cs="Arial" w:eastAsia="Arial" w:hAnsi="Arial"/>
                <w:sz w:val="18"/>
                <w:szCs w:val="18"/>
                <w:color w:val="0000FF"/>
                <w:w w:val="99"/>
              </w:rPr>
            </w:pPr>
            <w:hyperlink r:id="rId397">
              <w:r>
                <w:rPr>
                  <w:rFonts w:ascii="Arial" w:cs="Arial" w:eastAsia="Arial" w:hAnsi="Arial"/>
                  <w:sz w:val="18"/>
                  <w:szCs w:val="18"/>
                  <w:color w:val="0000FF"/>
                  <w:w w:val="99"/>
                </w:rPr>
                <w:t>on</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397">
              <w:r>
                <w:rPr>
                  <w:rFonts w:ascii="Arial" w:cs="Arial" w:eastAsia="Arial" w:hAnsi="Arial"/>
                  <w:sz w:val="18"/>
                  <w:szCs w:val="18"/>
                  <w:color w:val="0000FF"/>
                  <w:w w:val="88"/>
                </w:rPr>
                <w:t>December 31, 2020).</w:t>
              </w:r>
            </w:hyperlink>
          </w:p>
        </w:tc>
        <w:tc>
          <w:tcPr>
            <w:tcW w:w="796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1"/>
              </w:rPr>
            </w:pPr>
            <w:hyperlink r:id="rId398">
              <w:r>
                <w:rPr>
                  <w:rFonts w:ascii="Arial" w:cs="Arial" w:eastAsia="Arial" w:hAnsi="Arial"/>
                  <w:sz w:val="18"/>
                  <w:szCs w:val="18"/>
                  <w:color w:val="0000FF"/>
                  <w:w w:val="91"/>
                </w:rPr>
                <w:t>Amendment to Sponsor Share Surrender and Share Restriction Agreement, dated as of May 4, 2021, by and among PWP Holdings</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1"/>
              </w:rPr>
            </w:pPr>
            <w:hyperlink r:id="rId398">
              <w:r>
                <w:rPr>
                  <w:rFonts w:ascii="Arial" w:cs="Arial" w:eastAsia="Arial" w:hAnsi="Arial"/>
                  <w:sz w:val="18"/>
                  <w:szCs w:val="18"/>
                  <w:color w:val="0000FF"/>
                  <w:w w:val="91"/>
                </w:rPr>
                <w:t>LP, FinTech Acquisition Corp. IV, FinTech Investor Holdings IV, LLC, FinTech Masala Advisors, LLC and the other parties thereto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35"/>
          </w:tcPr>
          <w:p>
            <w:pPr>
              <w:spacing w:after="0" w:line="156" w:lineRule="exact"/>
              <w:rPr>
                <w:rFonts w:ascii="Arial" w:cs="Arial" w:eastAsia="Arial" w:hAnsi="Arial"/>
                <w:sz w:val="18"/>
                <w:szCs w:val="18"/>
                <w:color w:val="0000FF"/>
                <w:w w:val="96"/>
              </w:rPr>
            </w:pPr>
            <w:hyperlink r:id="rId398">
              <w:r>
                <w:rPr>
                  <w:rFonts w:ascii="Arial" w:cs="Arial" w:eastAsia="Arial" w:hAnsi="Arial"/>
                  <w:sz w:val="18"/>
                  <w:szCs w:val="18"/>
                  <w:color w:val="0000FF"/>
                  <w:w w:val="96"/>
                </w:rPr>
                <w:t>(incorporated by reference to FinTech Acquisition Corp. IV’s definitive proxy statement, filed with the SEC on May 27,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1"/>
              </w:rPr>
            </w:pPr>
            <w:hyperlink r:id="rId399">
              <w:r>
                <w:rPr>
                  <w:rFonts w:ascii="Arial" w:cs="Arial" w:eastAsia="Arial" w:hAnsi="Arial"/>
                  <w:sz w:val="18"/>
                  <w:szCs w:val="18"/>
                  <w:color w:val="0000FF"/>
                  <w:w w:val="91"/>
                </w:rPr>
                <w:t>Amended and Restated Agreement of Limited Partnership of PWP Holdings LP, dated as of June 24, 2021, by and among PWP GP</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89"/>
              </w:rPr>
            </w:pPr>
            <w:hyperlink r:id="rId399">
              <w:r>
                <w:rPr>
                  <w:rFonts w:ascii="Arial" w:cs="Arial" w:eastAsia="Arial" w:hAnsi="Arial"/>
                  <w:sz w:val="18"/>
                  <w:szCs w:val="18"/>
                  <w:color w:val="0000FF"/>
                  <w:w w:val="89"/>
                </w:rPr>
                <w:t>LLC, the Company, PWP Professional Partners LP, and the other limited partners party thereto (incorporated by reference to Exhibit</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40" w:type="dxa"/>
            <w:vAlign w:val="bottom"/>
            <w:tcBorders>
              <w:bottom w:val="single" w:sz="8" w:color="0000FF"/>
            </w:tcBorders>
            <w:gridSpan w:val="10"/>
          </w:tcPr>
          <w:p>
            <w:pPr>
              <w:spacing w:after="0" w:line="156" w:lineRule="exact"/>
              <w:rPr>
                <w:rFonts w:ascii="Arial" w:cs="Arial" w:eastAsia="Arial" w:hAnsi="Arial"/>
                <w:sz w:val="18"/>
                <w:szCs w:val="18"/>
                <w:color w:val="0000FF"/>
                <w:w w:val="91"/>
              </w:rPr>
            </w:pPr>
            <w:hyperlink r:id="rId39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the Company’s Current Report on Form 8-K, filed with the SEC on June 30, 2021).</w:t>
              </w:r>
            </w:hyperlink>
          </w:p>
        </w:tc>
        <w:tc>
          <w:tcPr>
            <w:tcW w:w="3020" w:type="dxa"/>
            <w:vAlign w:val="bottom"/>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2"/>
              </w:rPr>
            </w:pPr>
            <w:hyperlink r:id="rId400">
              <w:r>
                <w:rPr>
                  <w:rFonts w:ascii="Arial" w:cs="Arial" w:eastAsia="Arial" w:hAnsi="Arial"/>
                  <w:sz w:val="18"/>
                  <w:szCs w:val="18"/>
                  <w:color w:val="0000FF"/>
                  <w:w w:val="92"/>
                </w:rPr>
                <w:t>Amended and Restated Limited Liability Company Agreement of PWP GP LLC, dated June 24, 2021 (incorporated by reference to</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400">
              <w:r>
                <w:rPr>
                  <w:rFonts w:ascii="Arial" w:cs="Arial" w:eastAsia="Arial" w:hAnsi="Arial"/>
                  <w:sz w:val="18"/>
                  <w:szCs w:val="18"/>
                  <w:color w:val="0000FF"/>
                  <w:w w:val="91"/>
                </w:rPr>
                <w:t>Exhibit 10.5 to the Company’s Current Report on Form 8-K, filed with the SEC on June 30, 2021).</w:t>
              </w:r>
            </w:hyperlink>
          </w:p>
        </w:tc>
        <w:tc>
          <w:tcPr>
            <w:tcW w:w="2340" w:type="dxa"/>
            <w:vAlign w:val="bottom"/>
            <w:tcBorders>
              <w:top w:val="single" w:sz="8" w:color="0000FF"/>
            </w:tcBorders>
            <w:gridSpan w:val="20"/>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6"/>
              </w:rPr>
            </w:pPr>
            <w:hyperlink r:id="rId401">
              <w:r>
                <w:rPr>
                  <w:rFonts w:ascii="Arial" w:cs="Arial" w:eastAsia="Arial" w:hAnsi="Arial"/>
                  <w:sz w:val="18"/>
                  <w:szCs w:val="18"/>
                  <w:color w:val="0000FF"/>
                  <w:w w:val="96"/>
                </w:rPr>
                <w:t>Perella Weinberg Partners 2021 Omnibus Incentive Plan (incorporated by reference to Exhibit 10.6 to the Company’s Current</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401">
              <w:r>
                <w:rPr>
                  <w:rFonts w:ascii="Arial" w:cs="Arial" w:eastAsia="Arial" w:hAnsi="Arial"/>
                  <w:sz w:val="18"/>
                  <w:szCs w:val="18"/>
                  <w:color w:val="0000FF"/>
                  <w:w w:val="91"/>
                </w:rPr>
                <w:t>Report on Form 8-K, filed with the SEC on June 30, 2021).</w:t>
              </w:r>
            </w:hyperlink>
          </w:p>
        </w:tc>
        <w:tc>
          <w:tcPr>
            <w:tcW w:w="4780" w:type="dxa"/>
            <w:vAlign w:val="bottom"/>
            <w:tcBorders>
              <w:top w:val="single" w:sz="8" w:color="0000FF"/>
            </w:tcBorders>
            <w:gridSpan w:val="10"/>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3"/>
              </w:rPr>
            </w:pPr>
            <w:hyperlink r:id="rId402">
              <w:r>
                <w:rPr>
                  <w:rFonts w:ascii="Arial" w:cs="Arial" w:eastAsia="Arial" w:hAnsi="Arial"/>
                  <w:sz w:val="18"/>
                  <w:szCs w:val="18"/>
                  <w:color w:val="0000FF"/>
                  <w:w w:val="93"/>
                </w:rPr>
                <w:t>French Sub-Plan Under the Perella Weinberg Partners 2021 Omnibus Equity Incentive Plan (incorporated by reference to Exhibit</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40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r>
                <w:rPr>
                  <w:rFonts w:ascii="Arial" w:cs="Arial" w:eastAsia="Arial" w:hAnsi="Arial"/>
                  <w:sz w:val="18"/>
                  <w:szCs w:val="18"/>
                  <w:color w:val="0000FF"/>
                  <w:w w:val="91"/>
                </w:rPr>
                <w:t xml:space="preserve"> to the Company’s Current Report on Form 8-K, filed with the SEC on June 30, 2021).</w:t>
              </w:r>
            </w:hyperlink>
          </w:p>
        </w:tc>
        <w:tc>
          <w:tcPr>
            <w:tcW w:w="2780" w:type="dxa"/>
            <w:vAlign w:val="bottom"/>
            <w:tcBorders>
              <w:top w:val="single" w:sz="8" w:color="0000FF"/>
            </w:tcBorders>
            <w:gridSpan w:val="15"/>
          </w:tcPr>
          <w:p>
            <w:pPr>
              <w:spacing w:after="0"/>
              <w:rPr>
                <w:sz w:val="13"/>
                <w:szCs w:val="13"/>
                <w:color w:val="auto"/>
              </w:rPr>
            </w:pPr>
          </w:p>
        </w:tc>
        <w:tc>
          <w:tcPr>
            <w:tcW w:w="2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2"/>
              </w:rPr>
            </w:pPr>
            <w:hyperlink r:id="rId403">
              <w:r>
                <w:rPr>
                  <w:rFonts w:ascii="Arial" w:cs="Arial" w:eastAsia="Arial" w:hAnsi="Arial"/>
                  <w:sz w:val="18"/>
                  <w:szCs w:val="18"/>
                  <w:color w:val="0000FF"/>
                  <w:w w:val="92"/>
                </w:rPr>
                <w:t>Form of Indemnification Agreement (incorporated by reference to Exhibit 10.8 to the Company’s Current Report on Form 8-K, filed</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403">
              <w:r>
                <w:rPr>
                  <w:rFonts w:ascii="Arial" w:cs="Arial" w:eastAsia="Arial" w:hAnsi="Arial"/>
                  <w:sz w:val="18"/>
                  <w:szCs w:val="18"/>
                  <w:color w:val="0000FF"/>
                  <w:w w:val="89"/>
                </w:rPr>
                <w:t>with the SEC on June 30, 2021).</w:t>
              </w:r>
            </w:hyperlink>
          </w:p>
        </w:tc>
        <w:tc>
          <w:tcPr>
            <w:tcW w:w="724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6"/>
              </w:rPr>
            </w:pPr>
            <w:hyperlink r:id="rId404">
              <w:r>
                <w:rPr>
                  <w:rFonts w:ascii="Arial" w:cs="Arial" w:eastAsia="Arial" w:hAnsi="Arial"/>
                  <w:sz w:val="18"/>
                  <w:szCs w:val="18"/>
                  <w:color w:val="0000FF"/>
                  <w:w w:val="96"/>
                </w:rPr>
                <w:t>Letter Agreement, dated September 24, 2020, by and among FinTech Acquisition Corp. IV and certain of its security holders,</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404">
              <w:r>
                <w:rPr>
                  <w:rFonts w:ascii="Arial" w:cs="Arial" w:eastAsia="Arial" w:hAnsi="Arial"/>
                  <w:sz w:val="18"/>
                  <w:szCs w:val="18"/>
                  <w:color w:val="0000FF"/>
                  <w:w w:val="91"/>
                </w:rPr>
                <w:t>officers and directors (incorporated by reference to Exhibit 10.1 to FinTech Acquisition Corp. IV’s Current Report on Form 8</w:t>
              </w:r>
            </w:hyperlink>
          </w:p>
        </w:tc>
        <w:tc>
          <w:tcPr>
            <w:tcW w:w="600" w:type="dxa"/>
            <w:vAlign w:val="bottom"/>
            <w:gridSpan w:val="24"/>
          </w:tcPr>
          <w:p>
            <w:pPr>
              <w:spacing w:after="0" w:line="156" w:lineRule="exact"/>
              <w:rPr>
                <w:rFonts w:ascii="Arial" w:cs="Arial" w:eastAsia="Arial" w:hAnsi="Arial"/>
                <w:sz w:val="18"/>
                <w:szCs w:val="18"/>
                <w:color w:val="0000FF"/>
              </w:rPr>
            </w:pPr>
            <w:hyperlink r:id="rId404">
              <w:r>
                <w:rPr>
                  <w:rFonts w:ascii="Arial" w:cs="Arial" w:eastAsia="Arial" w:hAnsi="Arial"/>
                  <w:sz w:val="18"/>
                  <w:szCs w:val="18"/>
                  <w:color w:val="0000FF"/>
                </w:rPr>
                <w:t>-K,</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04">
              <w:r>
                <w:rPr>
                  <w:rFonts w:ascii="Arial" w:cs="Arial" w:eastAsia="Arial" w:hAnsi="Arial"/>
                  <w:sz w:val="18"/>
                  <w:szCs w:val="18"/>
                  <w:color w:val="0000FF"/>
                </w:rPr>
                <w:t>filed with the SEC on September 30, 2020).</w:t>
              </w:r>
            </w:hyperlink>
          </w:p>
        </w:tc>
        <w:tc>
          <w:tcPr>
            <w:tcW w:w="34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604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tcPr>
          <w:p>
            <w:pPr>
              <w:ind w:lef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40"/>
          </w:tcPr>
          <w:p>
            <w:pPr>
              <w:spacing w:after="0"/>
              <w:rPr>
                <w:rFonts w:ascii="Arial" w:cs="Arial" w:eastAsia="Arial" w:hAnsi="Arial"/>
                <w:sz w:val="18"/>
                <w:szCs w:val="18"/>
                <w:color w:val="0000FF"/>
                <w:w w:val="90"/>
              </w:rPr>
            </w:pPr>
            <w:hyperlink r:id="rId405">
              <w:r>
                <w:rPr>
                  <w:rFonts w:ascii="Arial" w:cs="Arial" w:eastAsia="Arial" w:hAnsi="Arial"/>
                  <w:sz w:val="18"/>
                  <w:szCs w:val="18"/>
                  <w:color w:val="0000FF"/>
                  <w:w w:val="90"/>
                </w:rPr>
                <w:t>Amendment Agreement, dated as of June 15, 2021, by and among Perella Weinberg Partners Group LP, as Borrower, PWP Holdings</w:t>
              </w:r>
            </w:hyperlink>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39"/>
          </w:tcPr>
          <w:p>
            <w:pPr>
              <w:spacing w:after="0" w:line="156" w:lineRule="exact"/>
              <w:rPr>
                <w:rFonts w:ascii="Arial" w:cs="Arial" w:eastAsia="Arial" w:hAnsi="Arial"/>
                <w:sz w:val="18"/>
                <w:szCs w:val="18"/>
                <w:color w:val="0000FF"/>
                <w:w w:val="93"/>
              </w:rPr>
            </w:pPr>
            <w:hyperlink r:id="rId405">
              <w:r>
                <w:rPr>
                  <w:rFonts w:ascii="Arial" w:cs="Arial" w:eastAsia="Arial" w:hAnsi="Arial"/>
                  <w:sz w:val="18"/>
                  <w:szCs w:val="18"/>
                  <w:color w:val="0000FF"/>
                  <w:w w:val="93"/>
                </w:rPr>
                <w:t>LP, the subsidiary guarantors party thereto, each Lender under the Credit Agreement and Cadence Bank, N.A., as administrative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405">
              <w:r>
                <w:rPr>
                  <w:rFonts w:ascii="Arial" w:cs="Arial" w:eastAsia="Arial" w:hAnsi="Arial"/>
                  <w:sz w:val="18"/>
                  <w:szCs w:val="18"/>
                  <w:color w:val="0000FF"/>
                  <w:w w:val="91"/>
                </w:rPr>
                <w:t>agent (incorporated by reference to Exhibit 10.9 to the Company’s Current Report on Form 8-K, filed with the SEC on June 30,</w:t>
              </w:r>
            </w:hyperlink>
          </w:p>
        </w:tc>
        <w:tc>
          <w:tcPr>
            <w:tcW w:w="40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405">
              <w:r>
                <w:rPr>
                  <w:rFonts w:ascii="Arial" w:cs="Arial" w:eastAsia="Arial" w:hAnsi="Arial"/>
                  <w:sz w:val="18"/>
                  <w:szCs w:val="18"/>
                  <w:color w:val="0000FF"/>
                  <w:w w:val="86"/>
                </w:rPr>
                <w:t>2021).</w:t>
              </w:r>
            </w:hyperlink>
          </w:p>
        </w:tc>
        <w:tc>
          <w:tcPr>
            <w:tcW w:w="9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ind w:left="5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460" w:type="dxa"/>
            <w:vAlign w:val="bottom"/>
            <w:gridSpan w:val="5"/>
            <w:vMerge w:val="restart"/>
          </w:tcPr>
          <w:p>
            <w:pPr>
              <w:ind w:left="22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8"/>
        </w:trPr>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4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6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60" w:type="dxa"/>
            <w:vAlign w:val="bottom"/>
            <w:tcBorders>
              <w:top w:val="single" w:sz="8" w:color="auto"/>
            </w:tcBorders>
            <w:gridSpan w:val="6"/>
          </w:tcPr>
          <w:p>
            <w:pPr>
              <w:spacing w:after="0" w:line="184" w:lineRule="exact"/>
              <w:rPr>
                <w:rFonts w:ascii="Arial" w:cs="Arial" w:eastAsia="Arial" w:hAnsi="Arial"/>
                <w:sz w:val="18"/>
                <w:szCs w:val="18"/>
                <w:color w:val="0000FF"/>
                <w:w w:val="92"/>
              </w:rPr>
            </w:pPr>
            <w:hyperlink r:id="rId407">
              <w:r>
                <w:rPr>
                  <w:rFonts w:ascii="Arial" w:cs="Arial" w:eastAsia="Arial" w:hAnsi="Arial"/>
                  <w:sz w:val="18"/>
                  <w:szCs w:val="18"/>
                  <w:color w:val="0000FF"/>
                  <w:w w:val="92"/>
                </w:rPr>
                <w:t>Subsidiaries of the Registrant (incorporated by reference to Exhibit 21.1 to the Company’s Annual Report on Form 10-K, filed with</w:t>
              </w:r>
            </w:hyperlink>
          </w:p>
        </w:tc>
        <w:tc>
          <w:tcPr>
            <w:tcW w:w="0" w:type="dxa"/>
            <w:vAlign w:val="bottom"/>
          </w:tcPr>
          <w:p>
            <w:pPr>
              <w:spacing w:after="0"/>
              <w:rPr>
                <w:sz w:val="1"/>
                <w:szCs w:val="1"/>
                <w:color w:val="auto"/>
              </w:rPr>
            </w:pPr>
          </w:p>
        </w:tc>
      </w:tr>
      <w:tr>
        <w:trPr>
          <w:trHeight w:val="156"/>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407">
              <w:r>
                <w:rPr>
                  <w:rFonts w:ascii="Arial" w:cs="Arial" w:eastAsia="Arial" w:hAnsi="Arial"/>
                  <w:sz w:val="18"/>
                  <w:szCs w:val="18"/>
                  <w:color w:val="0000FF"/>
                </w:rPr>
                <w:t>the SEC on March 11, 2022).</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6"/>
          </w:tcPr>
          <w:p>
            <w:pPr>
              <w:spacing w:after="0"/>
              <w:rPr>
                <w:rFonts w:ascii="Arial" w:cs="Arial" w:eastAsia="Arial" w:hAnsi="Arial"/>
                <w:sz w:val="18"/>
                <w:szCs w:val="18"/>
                <w:color w:val="0000FF"/>
              </w:rPr>
            </w:pPr>
            <w:hyperlink w:anchor="page240">
              <w:r>
                <w:rPr>
                  <w:rFonts w:ascii="Arial" w:cs="Arial" w:eastAsia="Arial" w:hAnsi="Arial"/>
                  <w:sz w:val="18"/>
                  <w:szCs w:val="18"/>
                  <w:color w:val="0000FF"/>
                </w:rPr>
                <w:t>Consent of Ernst &amp; Young LLP, independent registered accounting firm.</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tcBorders>
              <w:bottom w:val="single" w:sz="8" w:color="0000FF"/>
            </w:tcBorders>
            <w:gridSpan w:val="3"/>
          </w:tcPr>
          <w:p>
            <w:pPr>
              <w:spacing w:after="0"/>
              <w:rPr>
                <w:rFonts w:ascii="Arial" w:cs="Arial" w:eastAsia="Arial" w:hAnsi="Arial"/>
                <w:sz w:val="18"/>
                <w:szCs w:val="18"/>
                <w:color w:val="0000FF"/>
                <w:w w:val="92"/>
              </w:rPr>
            </w:pPr>
            <w:hyperlink r:id="rId386">
              <w:r>
                <w:rPr>
                  <w:rFonts w:ascii="Arial" w:cs="Arial" w:eastAsia="Arial" w:hAnsi="Arial"/>
                  <w:sz w:val="18"/>
                  <w:szCs w:val="18"/>
                  <w:color w:val="0000FF"/>
                  <w:w w:val="92"/>
                </w:rPr>
                <w:t>Consent of Skadden, Arps, Slate, Meagher &amp; Flom LLP (included in Exhibit 5.1).</w:t>
              </w:r>
            </w:hyperlink>
          </w:p>
        </w:tc>
        <w:tc>
          <w:tcPr>
            <w:tcW w:w="36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238">
              <w:r>
                <w:rPr>
                  <w:rFonts w:ascii="Arial" w:cs="Arial" w:eastAsia="Arial" w:hAnsi="Arial"/>
                  <w:sz w:val="18"/>
                  <w:szCs w:val="18"/>
                  <w:color w:val="0000FF"/>
                  <w:w w:val="92"/>
                </w:rPr>
                <w:t>Powers of Attorney (included on signature page to initial filing of Registration Statement).</w:t>
              </w:r>
            </w:hyperlink>
          </w:p>
        </w:tc>
        <w:tc>
          <w:tcPr>
            <w:tcW w:w="3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7"/>
                <w:szCs w:val="17"/>
                <w:color w:val="auto"/>
              </w:rPr>
            </w:pPr>
          </w:p>
        </w:tc>
        <w:tc>
          <w:tcPr>
            <w:tcW w:w="9560" w:type="dxa"/>
            <w:vAlign w:val="bottom"/>
            <w:gridSpan w:val="6"/>
          </w:tcPr>
          <w:p>
            <w:pPr>
              <w:spacing w:after="0" w:line="196" w:lineRule="exact"/>
              <w:rPr>
                <w:sz w:val="20"/>
                <w:szCs w:val="20"/>
                <w:color w:val="auto"/>
              </w:rPr>
            </w:pPr>
            <w:r>
              <w:rPr>
                <w:rFonts w:ascii="Arial" w:cs="Arial" w:eastAsia="Arial" w:hAnsi="Arial"/>
                <w:sz w:val="18"/>
                <w:szCs w:val="18"/>
                <w:color w:val="auto"/>
                <w:w w:val="93"/>
              </w:rPr>
              <w:t>Inline XBRL Instance Document Herewith (the instance document does not appear in the Interactive Data File because its XBRL</w:t>
            </w: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 Herewith</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 Herewith</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Definitions Linkbase Document Herewith</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 Herewith</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in Inline XBRL, and included in Exhibit 101).</w:t>
            </w:r>
          </w:p>
        </w:tc>
        <w:tc>
          <w:tcPr>
            <w:tcW w:w="0" w:type="dxa"/>
            <w:vAlign w:val="bottom"/>
          </w:tcPr>
          <w:p>
            <w:pPr>
              <w:spacing w:after="0"/>
              <w:rPr>
                <w:sz w:val="1"/>
                <w:szCs w:val="1"/>
                <w:color w:val="auto"/>
              </w:rPr>
            </w:pPr>
          </w:p>
        </w:tc>
      </w:tr>
      <w:tr>
        <w:trPr>
          <w:trHeight w:val="250"/>
        </w:trPr>
        <w:tc>
          <w:tcPr>
            <w:tcW w:w="1560" w:type="dxa"/>
            <w:vAlign w:val="bottom"/>
          </w:tcPr>
          <w:p>
            <w:pPr>
              <w:spacing w:after="0"/>
              <w:rPr>
                <w:sz w:val="20"/>
                <w:szCs w:val="20"/>
                <w:color w:val="auto"/>
              </w:rPr>
            </w:pPr>
            <w:r>
              <w:rPr>
                <w:rFonts w:ascii="Arial" w:cs="Arial" w:eastAsia="Arial" w:hAnsi="Arial"/>
                <w:sz w:val="14"/>
                <w:szCs w:val="14"/>
                <w:color w:val="auto"/>
              </w:rPr>
              <w:t>_________________</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360" w:hanging="332"/>
        <w:spacing w:after="0" w:line="241" w:lineRule="auto"/>
        <w:tabs>
          <w:tab w:leader="none" w:pos="33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spacing w:after="0" w:line="1"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Indicates a management or compensatory plan.</w:t>
      </w:r>
    </w:p>
    <w:p>
      <w:pPr>
        <w:spacing w:after="0" w:line="1" w:lineRule="exact"/>
        <w:rPr>
          <w:sz w:val="20"/>
          <w:szCs w:val="20"/>
          <w:color w:val="auto"/>
        </w:rPr>
      </w:pPr>
    </w:p>
    <w:p>
      <w:pPr>
        <w:ind w:left="340" w:right="460" w:hanging="332"/>
        <w:spacing w:after="0" w:line="255" w:lineRule="auto"/>
        <w:tabs>
          <w:tab w:leader="none" w:pos="313"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ind w:left="660" w:right="180" w:hanging="328"/>
        <w:spacing w:after="0" w:line="342" w:lineRule="auto"/>
        <w:tabs>
          <w:tab w:leader="none" w:pos="65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69" w:lineRule="exact"/>
        <w:rPr>
          <w:rFonts w:ascii="Arial" w:cs="Arial" w:eastAsia="Arial" w:hAnsi="Arial"/>
          <w:sz w:val="16"/>
          <w:szCs w:val="16"/>
          <w:color w:val="auto"/>
        </w:rPr>
      </w:pPr>
    </w:p>
    <w:p>
      <w:pPr>
        <w:ind w:left="660" w:right="20" w:hanging="328"/>
        <w:spacing w:after="0" w:line="290" w:lineRule="auto"/>
        <w:tabs>
          <w:tab w:leader="none" w:pos="65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11" w:lineRule="exact"/>
        <w:rPr>
          <w:rFonts w:ascii="Arial" w:cs="Arial" w:eastAsia="Arial" w:hAnsi="Arial"/>
          <w:sz w:val="16"/>
          <w:szCs w:val="16"/>
          <w:color w:val="auto"/>
        </w:rPr>
      </w:pPr>
    </w:p>
    <w:p>
      <w:pPr>
        <w:ind w:left="640" w:hanging="30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rFonts w:ascii="Arial" w:cs="Arial" w:eastAsia="Arial" w:hAnsi="Arial"/>
          <w:sz w:val="18"/>
          <w:szCs w:val="18"/>
          <w:color w:val="auto"/>
        </w:rPr>
      </w:pPr>
    </w:p>
    <w:p>
      <w:pPr>
        <w:ind w:left="980" w:hanging="324"/>
        <w:spacing w:after="0" w:line="291" w:lineRule="auto"/>
        <w:tabs>
          <w:tab w:leader="none" w:pos="97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980"/>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179" w:lineRule="exact"/>
        <w:rPr>
          <w:rFonts w:ascii="Arial" w:cs="Arial" w:eastAsia="Arial" w:hAnsi="Arial"/>
          <w:sz w:val="16"/>
          <w:szCs w:val="16"/>
          <w:color w:val="auto"/>
        </w:rPr>
      </w:pPr>
    </w:p>
    <w:p>
      <w:pPr>
        <w:ind w:left="980" w:right="240" w:hanging="324"/>
        <w:spacing w:after="0" w:line="263" w:lineRule="auto"/>
        <w:tabs>
          <w:tab w:leader="none" w:pos="97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New York, New York, on March 11, 2022.</w:t>
      </w:r>
    </w:p>
    <w:p>
      <w:pPr>
        <w:spacing w:after="0" w:line="166"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PERELLA WEINBERG PARTNERS</w:t>
      </w:r>
    </w:p>
    <w:p>
      <w:pPr>
        <w:spacing w:after="0" w:line="351" w:lineRule="exact"/>
        <w:rPr>
          <w:sz w:val="20"/>
          <w:szCs w:val="20"/>
          <w:color w:val="auto"/>
        </w:rPr>
      </w:pPr>
    </w:p>
    <w:p>
      <w:pPr>
        <w:ind w:left="6380"/>
        <w:spacing w:after="0"/>
        <w:tabs>
          <w:tab w:leader="none" w:pos="6840" w:val="left"/>
        </w:tabs>
        <w:rPr>
          <w:sz w:val="20"/>
          <w:szCs w:val="20"/>
          <w:color w:val="auto"/>
        </w:rPr>
      </w:pPr>
      <w:r>
        <w:rPr>
          <w:rFonts w:ascii="Arial" w:cs="Arial" w:eastAsia="Arial" w:hAnsi="Arial"/>
          <w:sz w:val="18"/>
          <w:szCs w:val="18"/>
          <w:color w:val="auto"/>
        </w:rPr>
        <w:t>By:</w:t>
        <w:tab/>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946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Peter A. Weinberg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 indicated.</w:t>
      </w:r>
    </w:p>
    <w:p>
      <w:pPr>
        <w:sectPr>
          <w:pgSz w:w="11900" w:h="16838" w:orient="portrait"/>
          <w:cols w:equalWidth="0" w:num="1">
            <w:col w:w="11240"/>
          </w:cols>
          <w:pgMar w:left="320" w:top="1440" w:right="339" w:bottom="1440" w:gutter="0" w:footer="0" w:header="0"/>
        </w:sectPr>
      </w:pP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4"/>
                <w:szCs w:val="14"/>
                <w:b w:val="1"/>
                <w:bCs w:val="1"/>
                <w:color w:val="auto"/>
                <w:w w:val="94"/>
              </w:rPr>
              <w:t>Name</w:t>
            </w:r>
          </w:p>
        </w:tc>
        <w:tc>
          <w:tcPr>
            <w:tcW w:w="620" w:type="dxa"/>
            <w:vAlign w:val="bottom"/>
          </w:tcPr>
          <w:p>
            <w:pPr>
              <w:spacing w:after="0"/>
              <w:rPr>
                <w:sz w:val="16"/>
                <w:szCs w:val="16"/>
                <w:color w:val="auto"/>
              </w:rPr>
            </w:pPr>
          </w:p>
        </w:tc>
      </w:tr>
      <w:tr>
        <w:trPr>
          <w:trHeight w:val="297"/>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71"/>
              <w:spacing w:after="0"/>
              <w:rPr>
                <w:sz w:val="20"/>
                <w:szCs w:val="20"/>
                <w:color w:val="auto"/>
              </w:rPr>
            </w:pPr>
            <w:r>
              <w:rPr>
                <w:rFonts w:ascii="Arial" w:cs="Arial" w:eastAsia="Arial" w:hAnsi="Arial"/>
                <w:sz w:val="18"/>
                <w:szCs w:val="18"/>
                <w:color w:val="auto"/>
                <w:w w:val="89"/>
              </w:rPr>
              <w:t>/s/ Peter A. Weinberg</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51"/>
              <w:spacing w:after="0"/>
              <w:rPr>
                <w:sz w:val="20"/>
                <w:szCs w:val="20"/>
                <w:color w:val="auto"/>
              </w:rPr>
            </w:pPr>
            <w:r>
              <w:rPr>
                <w:rFonts w:ascii="Arial" w:cs="Arial" w:eastAsia="Arial" w:hAnsi="Arial"/>
                <w:sz w:val="18"/>
                <w:szCs w:val="18"/>
                <w:color w:val="auto"/>
                <w:w w:val="89"/>
              </w:rPr>
              <w:t>Peter A. Weinberg</w:t>
            </w:r>
          </w:p>
        </w:tc>
        <w:tc>
          <w:tcPr>
            <w:tcW w:w="620" w:type="dxa"/>
            <w:vAlign w:val="bottom"/>
          </w:tcPr>
          <w:p>
            <w:pPr>
              <w:spacing w:after="0"/>
              <w:rPr>
                <w:sz w:val="19"/>
                <w:szCs w:val="19"/>
                <w:color w:val="auto"/>
              </w:rPr>
            </w:pPr>
          </w:p>
        </w:tc>
      </w:tr>
      <w:tr>
        <w:trPr>
          <w:trHeight w:val="323"/>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51"/>
              <w:spacing w:after="0"/>
              <w:rPr>
                <w:sz w:val="20"/>
                <w:szCs w:val="20"/>
                <w:color w:val="auto"/>
              </w:rPr>
            </w:pPr>
            <w:r>
              <w:rPr>
                <w:rFonts w:ascii="Arial" w:cs="Arial" w:eastAsia="Arial" w:hAnsi="Arial"/>
                <w:sz w:val="18"/>
                <w:szCs w:val="18"/>
                <w:color w:val="auto"/>
                <w:w w:val="91"/>
              </w:rPr>
              <w:t>Gary S. Barancik</w:t>
            </w:r>
          </w:p>
        </w:tc>
        <w:tc>
          <w:tcPr>
            <w:tcW w:w="620" w:type="dxa"/>
            <w:vAlign w:val="bottom"/>
          </w:tcPr>
          <w:p>
            <w:pPr>
              <w:spacing w:after="0"/>
              <w:rPr>
                <w:sz w:val="19"/>
                <w:szCs w:val="19"/>
                <w:color w:val="auto"/>
              </w:rPr>
            </w:pPr>
          </w:p>
        </w:tc>
      </w:tr>
      <w:tr>
        <w:trPr>
          <w:trHeight w:val="323"/>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51"/>
              <w:spacing w:after="0"/>
              <w:rPr>
                <w:sz w:val="20"/>
                <w:szCs w:val="20"/>
                <w:color w:val="auto"/>
              </w:rPr>
            </w:pPr>
            <w:r>
              <w:rPr>
                <w:rFonts w:ascii="Arial" w:cs="Arial" w:eastAsia="Arial" w:hAnsi="Arial"/>
                <w:sz w:val="18"/>
                <w:szCs w:val="18"/>
                <w:color w:val="auto"/>
                <w:w w:val="91"/>
              </w:rPr>
              <w:t>Alexandra Gottschalk</w:t>
            </w:r>
          </w:p>
        </w:tc>
        <w:tc>
          <w:tcPr>
            <w:tcW w:w="620" w:type="dxa"/>
            <w:vAlign w:val="bottom"/>
          </w:tcPr>
          <w:p>
            <w:pPr>
              <w:spacing w:after="0"/>
              <w:rPr>
                <w:sz w:val="19"/>
                <w:szCs w:val="19"/>
                <w:color w:val="auto"/>
              </w:rPr>
            </w:pPr>
          </w:p>
        </w:tc>
      </w:tr>
      <w:tr>
        <w:trPr>
          <w:trHeight w:val="296"/>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51"/>
              <w:spacing w:after="0"/>
              <w:rPr>
                <w:sz w:val="20"/>
                <w:szCs w:val="20"/>
                <w:color w:val="auto"/>
              </w:rPr>
            </w:pPr>
            <w:r>
              <w:rPr>
                <w:rFonts w:ascii="Arial" w:cs="Arial" w:eastAsia="Arial" w:hAnsi="Arial"/>
                <w:sz w:val="18"/>
                <w:szCs w:val="18"/>
                <w:color w:val="auto"/>
                <w:w w:val="87"/>
              </w:rPr>
              <w:t>Joseph R. Perella</w:t>
            </w:r>
          </w:p>
        </w:tc>
        <w:tc>
          <w:tcPr>
            <w:tcW w:w="620" w:type="dxa"/>
            <w:vAlign w:val="bottom"/>
          </w:tcPr>
          <w:p>
            <w:pPr>
              <w:spacing w:after="0"/>
              <w:rPr>
                <w:sz w:val="19"/>
                <w:szCs w:val="19"/>
                <w:color w:val="auto"/>
              </w:rPr>
            </w:pPr>
          </w:p>
        </w:tc>
      </w:tr>
      <w:tr>
        <w:trPr>
          <w:trHeight w:val="283"/>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51"/>
              <w:spacing w:after="0"/>
              <w:rPr>
                <w:sz w:val="20"/>
                <w:szCs w:val="20"/>
                <w:color w:val="auto"/>
              </w:rPr>
            </w:pPr>
            <w:r>
              <w:rPr>
                <w:rFonts w:ascii="Arial" w:cs="Arial" w:eastAsia="Arial" w:hAnsi="Arial"/>
                <w:sz w:val="18"/>
                <w:szCs w:val="18"/>
                <w:color w:val="auto"/>
                <w:w w:val="91"/>
              </w:rPr>
              <w:t>Robert K. Steel</w:t>
            </w:r>
          </w:p>
        </w:tc>
        <w:tc>
          <w:tcPr>
            <w:tcW w:w="620" w:type="dxa"/>
            <w:vAlign w:val="bottom"/>
          </w:tcPr>
          <w:p>
            <w:pPr>
              <w:spacing w:after="0"/>
              <w:rPr>
                <w:sz w:val="19"/>
                <w:szCs w:val="19"/>
                <w:color w:val="auto"/>
              </w:rPr>
            </w:pPr>
          </w:p>
        </w:tc>
      </w:tr>
      <w:tr>
        <w:trPr>
          <w:trHeight w:val="283"/>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71"/>
              <w:spacing w:after="0"/>
              <w:rPr>
                <w:sz w:val="20"/>
                <w:szCs w:val="20"/>
                <w:color w:val="auto"/>
              </w:rPr>
            </w:pPr>
            <w:r>
              <w:rPr>
                <w:rFonts w:ascii="Arial" w:cs="Arial" w:eastAsia="Arial" w:hAnsi="Arial"/>
                <w:sz w:val="18"/>
                <w:szCs w:val="18"/>
                <w:color w:val="auto"/>
                <w:w w:val="93"/>
              </w:rPr>
              <w:t>Dietrich Becker</w:t>
            </w:r>
          </w:p>
        </w:tc>
        <w:tc>
          <w:tcPr>
            <w:tcW w:w="620" w:type="dxa"/>
            <w:vAlign w:val="bottom"/>
          </w:tcPr>
          <w:p>
            <w:pPr>
              <w:spacing w:after="0"/>
              <w:rPr>
                <w:sz w:val="19"/>
                <w:szCs w:val="19"/>
                <w:color w:val="auto"/>
              </w:rPr>
            </w:pPr>
          </w:p>
        </w:tc>
      </w:tr>
      <w:tr>
        <w:trPr>
          <w:trHeight w:val="283"/>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71"/>
              <w:spacing w:after="0"/>
              <w:rPr>
                <w:sz w:val="20"/>
                <w:szCs w:val="20"/>
                <w:color w:val="auto"/>
              </w:rPr>
            </w:pPr>
            <w:r>
              <w:rPr>
                <w:rFonts w:ascii="Arial" w:cs="Arial" w:eastAsia="Arial" w:hAnsi="Arial"/>
                <w:sz w:val="18"/>
                <w:szCs w:val="18"/>
                <w:color w:val="auto"/>
                <w:w w:val="91"/>
              </w:rPr>
              <w:t>Andrew Bednar</w:t>
            </w:r>
          </w:p>
        </w:tc>
        <w:tc>
          <w:tcPr>
            <w:tcW w:w="620" w:type="dxa"/>
            <w:vAlign w:val="bottom"/>
          </w:tcPr>
          <w:p>
            <w:pPr>
              <w:spacing w:after="0"/>
              <w:rPr>
                <w:sz w:val="19"/>
                <w:szCs w:val="19"/>
                <w:color w:val="auto"/>
              </w:rPr>
            </w:pPr>
          </w:p>
        </w:tc>
      </w:tr>
      <w:tr>
        <w:trPr>
          <w:trHeight w:val="283"/>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71"/>
              <w:spacing w:after="0"/>
              <w:rPr>
                <w:sz w:val="20"/>
                <w:szCs w:val="20"/>
                <w:color w:val="auto"/>
              </w:rPr>
            </w:pPr>
            <w:r>
              <w:rPr>
                <w:rFonts w:ascii="Arial" w:cs="Arial" w:eastAsia="Arial" w:hAnsi="Arial"/>
                <w:sz w:val="18"/>
                <w:szCs w:val="18"/>
                <w:color w:val="auto"/>
                <w:w w:val="94"/>
              </w:rPr>
              <w:t>Jorma Ollila</w:t>
            </w:r>
          </w:p>
        </w:tc>
        <w:tc>
          <w:tcPr>
            <w:tcW w:w="620" w:type="dxa"/>
            <w:vAlign w:val="bottom"/>
          </w:tcPr>
          <w:p>
            <w:pPr>
              <w:spacing w:after="0"/>
              <w:rPr>
                <w:sz w:val="19"/>
                <w:szCs w:val="19"/>
                <w:color w:val="auto"/>
              </w:rPr>
            </w:pPr>
          </w:p>
        </w:tc>
      </w:tr>
      <w:tr>
        <w:trPr>
          <w:trHeight w:val="283"/>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51"/>
              <w:spacing w:after="0"/>
              <w:rPr>
                <w:sz w:val="20"/>
                <w:szCs w:val="20"/>
                <w:color w:val="auto"/>
              </w:rPr>
            </w:pPr>
            <w:r>
              <w:rPr>
                <w:rFonts w:ascii="Arial" w:cs="Arial" w:eastAsia="Arial" w:hAnsi="Arial"/>
                <w:sz w:val="18"/>
                <w:szCs w:val="18"/>
                <w:color w:val="auto"/>
                <w:w w:val="90"/>
              </w:rPr>
              <w:t>Ivan G. Seidenberg</w:t>
            </w:r>
          </w:p>
        </w:tc>
        <w:tc>
          <w:tcPr>
            <w:tcW w:w="620" w:type="dxa"/>
            <w:vAlign w:val="bottom"/>
          </w:tcPr>
          <w:p>
            <w:pPr>
              <w:spacing w:after="0"/>
              <w:rPr>
                <w:sz w:val="19"/>
                <w:szCs w:val="19"/>
                <w:color w:val="auto"/>
              </w:rPr>
            </w:pPr>
          </w:p>
        </w:tc>
      </w:tr>
      <w:tr>
        <w:trPr>
          <w:trHeight w:val="283"/>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51"/>
              <w:spacing w:after="0"/>
              <w:rPr>
                <w:sz w:val="20"/>
                <w:szCs w:val="20"/>
                <w:color w:val="auto"/>
              </w:rPr>
            </w:pPr>
            <w:r>
              <w:rPr>
                <w:rFonts w:ascii="Arial" w:cs="Arial" w:eastAsia="Arial" w:hAnsi="Arial"/>
                <w:sz w:val="18"/>
                <w:szCs w:val="18"/>
                <w:color w:val="auto"/>
                <w:w w:val="87"/>
              </w:rPr>
              <w:t>Jane C. Sherburne</w:t>
            </w:r>
          </w:p>
        </w:tc>
        <w:tc>
          <w:tcPr>
            <w:tcW w:w="620" w:type="dxa"/>
            <w:vAlign w:val="bottom"/>
          </w:tcPr>
          <w:p>
            <w:pPr>
              <w:spacing w:after="0"/>
              <w:rPr>
                <w:sz w:val="19"/>
                <w:szCs w:val="19"/>
                <w:color w:val="auto"/>
              </w:rPr>
            </w:pPr>
          </w:p>
        </w:tc>
      </w:tr>
      <w:tr>
        <w:trPr>
          <w:trHeight w:val="323"/>
        </w:trPr>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r>
      <w:tr>
        <w:trPr>
          <w:trHeight w:val="224"/>
        </w:trPr>
        <w:tc>
          <w:tcPr>
            <w:tcW w:w="760" w:type="dxa"/>
            <w:vAlign w:val="bottom"/>
          </w:tcPr>
          <w:p>
            <w:pPr>
              <w:spacing w:after="0"/>
              <w:rPr>
                <w:sz w:val="19"/>
                <w:szCs w:val="19"/>
                <w:color w:val="auto"/>
              </w:rPr>
            </w:pPr>
          </w:p>
        </w:tc>
        <w:tc>
          <w:tcPr>
            <w:tcW w:w="2860" w:type="dxa"/>
            <w:vAlign w:val="bottom"/>
          </w:tcPr>
          <w:p>
            <w:pPr>
              <w:jc w:val="center"/>
              <w:ind w:right="651"/>
              <w:spacing w:after="0"/>
              <w:rPr>
                <w:sz w:val="20"/>
                <w:szCs w:val="20"/>
                <w:color w:val="auto"/>
              </w:rPr>
            </w:pPr>
            <w:r>
              <w:rPr>
                <w:rFonts w:ascii="Arial" w:cs="Arial" w:eastAsia="Arial" w:hAnsi="Arial"/>
                <w:sz w:val="18"/>
                <w:szCs w:val="18"/>
                <w:color w:val="auto"/>
                <w:w w:val="90"/>
              </w:rPr>
              <w:t>Daniel G. Cohen</w:t>
            </w:r>
          </w:p>
        </w:tc>
        <w:tc>
          <w:tcPr>
            <w:tcW w:w="620" w:type="dxa"/>
            <w:vAlign w:val="bottom"/>
          </w:tcPr>
          <w:p>
            <w:pPr>
              <w:spacing w:after="0"/>
              <w:rPr>
                <w:sz w:val="19"/>
                <w:szCs w:val="19"/>
                <w:color w:val="auto"/>
              </w:rPr>
            </w:pPr>
          </w:p>
        </w:tc>
      </w:tr>
      <w:tr>
        <w:trPr>
          <w:trHeight w:val="742"/>
        </w:trPr>
        <w:tc>
          <w:tcPr>
            <w:tcW w:w="760" w:type="dxa"/>
            <w:vAlign w:val="bottom"/>
          </w:tcPr>
          <w:p>
            <w:pPr>
              <w:ind w:left="20"/>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A. Weinberg</w:t>
            </w:r>
          </w:p>
        </w:tc>
        <w:tc>
          <w:tcPr>
            <w:tcW w:w="620" w:type="dxa"/>
            <w:vAlign w:val="bottom"/>
            <w:tcBorders>
              <w:bottom w:val="single" w:sz="8" w:color="auto"/>
            </w:tcBorders>
          </w:tcPr>
          <w:p>
            <w:pPr>
              <w:spacing w:after="0"/>
              <w:rPr>
                <w:sz w:val="24"/>
                <w:szCs w:val="24"/>
                <w:color w:val="auto"/>
              </w:rPr>
            </w:pPr>
          </w:p>
        </w:tc>
      </w:tr>
      <w:tr>
        <w:trPr>
          <w:trHeight w:val="222"/>
        </w:trPr>
        <w:tc>
          <w:tcPr>
            <w:tcW w:w="76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Peter A. Weinberg</w:t>
            </w:r>
          </w:p>
        </w:tc>
        <w:tc>
          <w:tcPr>
            <w:tcW w:w="620" w:type="dxa"/>
            <w:vAlign w:val="bottom"/>
          </w:tcPr>
          <w:p>
            <w:pPr>
              <w:spacing w:after="0"/>
              <w:rPr>
                <w:sz w:val="19"/>
                <w:szCs w:val="19"/>
                <w:color w:val="auto"/>
              </w:rPr>
            </w:pPr>
          </w:p>
        </w:tc>
      </w:tr>
      <w:tr>
        <w:trPr>
          <w:trHeight w:val="230"/>
        </w:trPr>
        <w:tc>
          <w:tcPr>
            <w:tcW w:w="76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Attorney-in-fact</w:t>
            </w: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jc w:val="center"/>
              <w:ind w:right="1351"/>
              <w:spacing w:after="0"/>
              <w:rPr>
                <w:sz w:val="20"/>
                <w:szCs w:val="20"/>
                <w:color w:val="auto"/>
              </w:rPr>
            </w:pPr>
            <w:r>
              <w:rPr>
                <w:rFonts w:ascii="Arial" w:cs="Arial" w:eastAsia="Arial" w:hAnsi="Arial"/>
                <w:sz w:val="14"/>
                <w:szCs w:val="14"/>
                <w:b w:val="1"/>
                <w:bCs w:val="1"/>
                <w:color w:val="auto"/>
              </w:rPr>
              <w:t>Title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70"/>
        </w:trPr>
        <w:tc>
          <w:tcPr>
            <w:tcW w:w="4220" w:type="dxa"/>
            <w:vAlign w:val="bottom"/>
          </w:tcPr>
          <w:p>
            <w:pPr>
              <w:jc w:val="center"/>
              <w:ind w:right="1351"/>
              <w:spacing w:after="0"/>
              <w:rPr>
                <w:sz w:val="20"/>
                <w:szCs w:val="20"/>
                <w:color w:val="auto"/>
              </w:rPr>
            </w:pPr>
            <w:r>
              <w:rPr>
                <w:rFonts w:ascii="Arial" w:cs="Arial" w:eastAsia="Arial" w:hAnsi="Arial"/>
                <w:sz w:val="18"/>
                <w:szCs w:val="18"/>
                <w:color w:val="auto"/>
                <w:w w:val="92"/>
              </w:rPr>
              <w:t>Chairman and Chief Executive Officer</w:t>
            </w: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135"/>
        </w:trPr>
        <w:tc>
          <w:tcPr>
            <w:tcW w:w="4220" w:type="dxa"/>
            <w:vAlign w:val="bottom"/>
            <w:vMerge w:val="restart"/>
          </w:tcPr>
          <w:p>
            <w:pPr>
              <w:jc w:val="center"/>
              <w:ind w:right="1351"/>
              <w:spacing w:after="0"/>
              <w:rPr>
                <w:sz w:val="20"/>
                <w:szCs w:val="20"/>
                <w:color w:val="auto"/>
              </w:rPr>
            </w:pPr>
            <w:r>
              <w:rPr>
                <w:rFonts w:ascii="Arial" w:cs="Arial" w:eastAsia="Arial" w:hAnsi="Arial"/>
                <w:sz w:val="18"/>
                <w:szCs w:val="18"/>
                <w:i w:val="1"/>
                <w:iCs w:val="1"/>
                <w:color w:val="auto"/>
                <w:w w:val="94"/>
              </w:rPr>
              <w:t>(Principal Executive Officer)</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22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220" w:type="dxa"/>
            <w:vAlign w:val="bottom"/>
          </w:tcPr>
          <w:p>
            <w:pPr>
              <w:jc w:val="center"/>
              <w:ind w:right="1351"/>
              <w:spacing w:after="0"/>
              <w:rPr>
                <w:sz w:val="20"/>
                <w:szCs w:val="20"/>
                <w:color w:val="auto"/>
              </w:rPr>
            </w:pPr>
            <w:r>
              <w:rPr>
                <w:rFonts w:ascii="Arial" w:cs="Arial" w:eastAsia="Arial" w:hAnsi="Arial"/>
                <w:sz w:val="18"/>
                <w:szCs w:val="18"/>
                <w:color w:val="auto"/>
                <w:w w:val="93"/>
              </w:rPr>
              <w:t>Chief Financial Officer</w:t>
            </w: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135"/>
        </w:trPr>
        <w:tc>
          <w:tcPr>
            <w:tcW w:w="4220" w:type="dxa"/>
            <w:vAlign w:val="bottom"/>
            <w:vMerge w:val="restart"/>
          </w:tcPr>
          <w:p>
            <w:pPr>
              <w:jc w:val="center"/>
              <w:ind w:right="1351"/>
              <w:spacing w:after="0"/>
              <w:rPr>
                <w:sz w:val="20"/>
                <w:szCs w:val="20"/>
                <w:color w:val="auto"/>
              </w:rPr>
            </w:pPr>
            <w:r>
              <w:rPr>
                <w:rFonts w:ascii="Arial" w:cs="Arial" w:eastAsia="Arial" w:hAnsi="Arial"/>
                <w:sz w:val="18"/>
                <w:szCs w:val="18"/>
                <w:i w:val="1"/>
                <w:iCs w:val="1"/>
                <w:color w:val="auto"/>
                <w:w w:val="97"/>
              </w:rPr>
              <w:t>(Principal Financial Officer)</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22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220" w:type="dxa"/>
            <w:vAlign w:val="bottom"/>
          </w:tcPr>
          <w:p>
            <w:pPr>
              <w:jc w:val="center"/>
              <w:ind w:right="1351"/>
              <w:spacing w:after="0"/>
              <w:rPr>
                <w:sz w:val="20"/>
                <w:szCs w:val="20"/>
                <w:color w:val="auto"/>
              </w:rPr>
            </w:pPr>
            <w:r>
              <w:rPr>
                <w:rFonts w:ascii="Arial" w:cs="Arial" w:eastAsia="Arial" w:hAnsi="Arial"/>
                <w:sz w:val="18"/>
                <w:szCs w:val="18"/>
                <w:color w:val="auto"/>
                <w:w w:val="95"/>
              </w:rPr>
              <w:t>Chief Accounting Officer</w:t>
            </w: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135"/>
        </w:trPr>
        <w:tc>
          <w:tcPr>
            <w:tcW w:w="4220" w:type="dxa"/>
            <w:vAlign w:val="bottom"/>
            <w:vMerge w:val="restart"/>
          </w:tcPr>
          <w:p>
            <w:pPr>
              <w:jc w:val="center"/>
              <w:ind w:right="1351"/>
              <w:spacing w:after="0"/>
              <w:rPr>
                <w:sz w:val="20"/>
                <w:szCs w:val="20"/>
                <w:color w:val="auto"/>
              </w:rPr>
            </w:pPr>
            <w:r>
              <w:rPr>
                <w:rFonts w:ascii="Arial" w:cs="Arial" w:eastAsia="Arial" w:hAnsi="Arial"/>
                <w:sz w:val="18"/>
                <w:szCs w:val="18"/>
                <w:i w:val="1"/>
                <w:iCs w:val="1"/>
                <w:color w:val="auto"/>
                <w:w w:val="95"/>
              </w:rPr>
              <w:t>(Principal Accounting Officer)</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22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8"/>
        </w:trPr>
        <w:tc>
          <w:tcPr>
            <w:tcW w:w="4220" w:type="dxa"/>
            <w:vAlign w:val="bottom"/>
          </w:tcPr>
          <w:p>
            <w:pPr>
              <w:jc w:val="center"/>
              <w:ind w:right="1371"/>
              <w:spacing w:after="0"/>
              <w:rPr>
                <w:sz w:val="20"/>
                <w:szCs w:val="20"/>
                <w:color w:val="auto"/>
              </w:rPr>
            </w:pPr>
            <w:r>
              <w:rPr>
                <w:rFonts w:ascii="Arial" w:cs="Arial" w:eastAsia="Arial" w:hAnsi="Arial"/>
                <w:sz w:val="18"/>
                <w:szCs w:val="18"/>
                <w:color w:val="auto"/>
                <w:w w:val="90"/>
              </w:rPr>
              <w:t>Chairman Emeritus</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527"/>
        </w:trPr>
        <w:tc>
          <w:tcPr>
            <w:tcW w:w="4220" w:type="dxa"/>
            <w:vAlign w:val="bottom"/>
          </w:tcPr>
          <w:p>
            <w:pPr>
              <w:jc w:val="center"/>
              <w:ind w:right="1371"/>
              <w:spacing w:after="0"/>
              <w:rPr>
                <w:sz w:val="20"/>
                <w:szCs w:val="20"/>
                <w:color w:val="auto"/>
              </w:rPr>
            </w:pPr>
            <w:r>
              <w:rPr>
                <w:rFonts w:ascii="Arial" w:cs="Arial" w:eastAsia="Arial" w:hAnsi="Arial"/>
                <w:sz w:val="18"/>
                <w:szCs w:val="18"/>
                <w:color w:val="auto"/>
                <w:w w:val="91"/>
              </w:rPr>
              <w:t>Vice Chairman</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526"/>
        </w:trPr>
        <w:tc>
          <w:tcPr>
            <w:tcW w:w="4220" w:type="dxa"/>
            <w:vAlign w:val="bottom"/>
          </w:tcPr>
          <w:p>
            <w:pPr>
              <w:jc w:val="center"/>
              <w:ind w:right="1371"/>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527"/>
        </w:trPr>
        <w:tc>
          <w:tcPr>
            <w:tcW w:w="4220" w:type="dxa"/>
            <w:vAlign w:val="bottom"/>
          </w:tcPr>
          <w:p>
            <w:pPr>
              <w:jc w:val="center"/>
              <w:ind w:right="1371"/>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526"/>
        </w:trPr>
        <w:tc>
          <w:tcPr>
            <w:tcW w:w="4220" w:type="dxa"/>
            <w:vAlign w:val="bottom"/>
          </w:tcPr>
          <w:p>
            <w:pPr>
              <w:jc w:val="center"/>
              <w:ind w:right="1371"/>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527"/>
        </w:trPr>
        <w:tc>
          <w:tcPr>
            <w:tcW w:w="4220" w:type="dxa"/>
            <w:vAlign w:val="bottom"/>
          </w:tcPr>
          <w:p>
            <w:pPr>
              <w:jc w:val="center"/>
              <w:ind w:right="1371"/>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526"/>
        </w:trPr>
        <w:tc>
          <w:tcPr>
            <w:tcW w:w="4220" w:type="dxa"/>
            <w:vAlign w:val="bottom"/>
          </w:tcPr>
          <w:p>
            <w:pPr>
              <w:jc w:val="center"/>
              <w:ind w:right="1371"/>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r>
        <w:trPr>
          <w:trHeight w:val="554"/>
        </w:trPr>
        <w:tc>
          <w:tcPr>
            <w:tcW w:w="4220" w:type="dxa"/>
            <w:vAlign w:val="bottom"/>
          </w:tcPr>
          <w:p>
            <w:pPr>
              <w:jc w:val="center"/>
              <w:ind w:right="1371"/>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-3694430</wp:posOffset>
            </wp:positionV>
            <wp:extent cx="34886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549" w:lineRule="exact"/>
        <w:rPr>
          <w:sz w:val="20"/>
          <w:szCs w:val="20"/>
          <w:color w:val="auto"/>
        </w:rPr>
      </w:pPr>
    </w:p>
    <w:p>
      <w:pPr>
        <w:sectPr>
          <w:pgSz w:w="11900" w:h="16838" w:orient="portrait"/>
          <w:cols w:equalWidth="0" w:num="2">
            <w:col w:w="4360" w:space="720"/>
            <w:col w:w="61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type w:val="continuous"/>
        </w:sectPr>
      </w:pPr>
    </w:p>
    <w:bookmarkStart w:id="239" w:name="page240"/>
    <w:bookmarkEnd w:id="239"/>
    <w:p>
      <w:pPr>
        <w:ind w:left="1032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We consent to the reference to our firm under the caption "Experts" and to the use of our report dated March 11, 2022, with respect to the consolidated financial statements of Perella Weinberg Partners included in </w:t>
      </w:r>
      <w:r>
        <w:rPr>
          <w:rFonts w:ascii="Arial" w:cs="Arial" w:eastAsia="Arial" w:hAnsi="Arial"/>
          <w:sz w:val="21"/>
          <w:szCs w:val="21"/>
          <w:color w:val="auto"/>
        </w:rPr>
        <w:t>the Post-Effective Amendment No. 1 to the Registration</w:t>
      </w:r>
      <w:r>
        <w:rPr>
          <w:rFonts w:ascii="Arial" w:cs="Arial" w:eastAsia="Arial" w:hAnsi="Arial"/>
          <w:sz w:val="20"/>
          <w:szCs w:val="20"/>
          <w:color w:val="auto"/>
        </w:rPr>
        <w:t xml:space="preserve"> </w:t>
      </w:r>
      <w:r>
        <w:rPr>
          <w:rFonts w:ascii="Arial" w:cs="Arial" w:eastAsia="Arial" w:hAnsi="Arial"/>
          <w:sz w:val="21"/>
          <w:szCs w:val="21"/>
          <w:color w:val="auto"/>
        </w:rPr>
        <w:t xml:space="preserve">Statement (Form S-1 No. 333-257924) </w:t>
      </w:r>
      <w:r>
        <w:rPr>
          <w:rFonts w:ascii="Arial" w:cs="Arial" w:eastAsia="Arial" w:hAnsi="Arial"/>
          <w:sz w:val="19"/>
          <w:szCs w:val="19"/>
          <w:color w:val="auto"/>
        </w:rPr>
        <w:t>and related Prospectus of Perella Weinberg Partners for the registration of 72,608,909 shares of its</w:t>
      </w:r>
      <w:r>
        <w:rPr>
          <w:rFonts w:ascii="Arial" w:cs="Arial" w:eastAsia="Arial" w:hAnsi="Arial"/>
          <w:sz w:val="21"/>
          <w:szCs w:val="21"/>
          <w:color w:val="auto"/>
        </w:rPr>
        <w:t xml:space="preserve"> </w:t>
      </w:r>
      <w:r>
        <w:rPr>
          <w:rFonts w:ascii="Arial" w:cs="Arial" w:eastAsia="Arial" w:hAnsi="Arial"/>
          <w:sz w:val="19"/>
          <w:szCs w:val="19"/>
          <w:color w:val="auto"/>
        </w:rPr>
        <w:t>Class A Common Stock and 203,333 Warrants to purchase its Class A Common Stock.</w:t>
      </w:r>
    </w:p>
    <w:p>
      <w:pPr>
        <w:jc w:val="right"/>
        <w:spacing w:after="0"/>
        <w:rPr>
          <w:sz w:val="20"/>
          <w:szCs w:val="20"/>
          <w:color w:val="auto"/>
        </w:rPr>
      </w:pPr>
      <w:r>
        <w:rPr>
          <w:rFonts w:ascii="Arial" w:cs="Arial" w:eastAsia="Arial" w:hAnsi="Arial"/>
          <w:sz w:val="20"/>
          <w:szCs w:val="20"/>
          <w:color w:val="auto"/>
        </w:rPr>
        <w:t>/s/ Ernst &amp; Young LLP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March 11,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lowerRoman"/>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lvl w:ilvl="1">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1)"/>
      <w:numFmt w:val="lowerRoman"/>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1)"/>
      <w:numFmt w:val="decimal"/>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1)"/>
      <w:numFmt w:val="decimal"/>
      <w:start w:val="1"/>
    </w:lvl>
  </w:abstractNum>
  <w:abstractNum w:abstractNumId="16">
    <w:nsid w:val="10233C99"/>
    <w:multiLevelType w:val="hybridMultilevel"/>
    <w:lvl w:ilvl="0">
      <w:lvlJc w:val="left"/>
      <w:lvlText w:val="(%1)"/>
      <w:numFmt w:val="decimal"/>
      <w:start w:val="1"/>
    </w:lvl>
  </w:abstractNum>
  <w:abstractNum w:abstractNumId="17">
    <w:nsid w:val="3F6AB60F"/>
    <w:multiLevelType w:val="hybridMultilevel"/>
    <w:lvl w:ilvl="0">
      <w:lvlJc w:val="left"/>
      <w:lvlText w:val="(%1)"/>
      <w:numFmt w:val="lowerLetter"/>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1)"/>
      <w:numFmt w:val="decimal"/>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lowerRoman"/>
      <w:start w:val="2"/>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1)"/>
      <w:numFmt w:val="lowerRoman"/>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decimal"/>
      <w:start w:val="1"/>
    </w:lvl>
  </w:abstractNum>
  <w:abstractNum w:abstractNumId="37">
    <w:nsid w:val="6B94764"/>
    <w:multiLevelType w:val="hybridMultilevel"/>
    <w:lvl w:ilvl="0">
      <w:lvlJc w:val="left"/>
      <w:lvlText w:val="%1."/>
      <w:numFmt w:val="decimal"/>
      <w:start w:val="2"/>
    </w:lvl>
  </w:abstractNum>
  <w:abstractNum w:abstractNumId="38">
    <w:nsid w:val="42C296BD"/>
    <w:multiLevelType w:val="hybridMultilevel"/>
    <w:lvl w:ilvl="0">
      <w:lvlJc w:val="left"/>
      <w:lvlText w:val="(%1)"/>
      <w:numFmt w:val="lowerLetter"/>
      <w:start w:val="1"/>
    </w:lvl>
  </w:abstractNum>
  <w:abstractNum w:abstractNumId="39">
    <w:nsid w:val="168E121F"/>
    <w:multiLevelType w:val="hybridMultilevel"/>
    <w:lvl w:ilvl="0">
      <w:lvlJc w:val="left"/>
      <w:lvlText w:val="%1"/>
      <w:numFmt w:val="decimal"/>
      <w:start w:val="1"/>
    </w:lvl>
    <w:lvl w:ilvl="1">
      <w:lvlJc w:val="left"/>
      <w:lvlText w:val="(%2)"/>
      <w:numFmt w:val="lowerLetter"/>
      <w:start w:val="6"/>
    </w:lvl>
  </w:abstractNum>
  <w:abstractNum w:abstractNumId="40">
    <w:nsid w:val="1EBA5D23"/>
    <w:multiLevelType w:val="hybridMultilevel"/>
    <w:lvl w:ilvl="0">
      <w:lvlJc w:val="left"/>
      <w:lvlText w:val="%1."/>
      <w:numFmt w:val="decimal"/>
      <w:start w:val="3"/>
    </w:lvl>
    <w:lvl w:ilvl="1">
      <w:lvlJc w:val="left"/>
      <w:lvlText w:val="%2"/>
      <w:numFmt w:val="lowerLetter"/>
      <w:start w:val="1"/>
    </w:lvl>
  </w:abstractNum>
  <w:abstractNum w:abstractNumId="41">
    <w:nsid w:val="661E3F1E"/>
    <w:multiLevelType w:val="hybridMultilevel"/>
    <w:lvl w:ilvl="0">
      <w:lvlJc w:val="left"/>
      <w:lvlText w:val="(%1)"/>
      <w:numFmt w:val="lowerLetter"/>
      <w:start w:val="27"/>
    </w:lvl>
  </w:abstractNum>
  <w:abstractNum w:abstractNumId="42">
    <w:nsid w:val="5DC79EA8"/>
    <w:multiLevelType w:val="hybridMultilevel"/>
    <w:lvl w:ilvl="0">
      <w:lvlJc w:val="left"/>
      <w:lvlText w:val="(%1)"/>
      <w:numFmt w:val="lowerLetter"/>
      <w:start w:val="29"/>
    </w:lvl>
  </w:abstractNum>
  <w:abstractNum w:abstractNumId="43">
    <w:nsid w:val="540A471C"/>
    <w:multiLevelType w:val="hybridMultilevel"/>
    <w:lvl w:ilvl="0">
      <w:lvlJc w:val="left"/>
      <w:lvlText w:val="(%1)"/>
      <w:numFmt w:val="lowerLetter"/>
      <w:start w:val="31"/>
    </w:lvl>
  </w:abstractNum>
  <w:abstractNum w:abstractNumId="44">
    <w:nsid w:val="7BD3EE7B"/>
    <w:multiLevelType w:val="hybridMultilevel"/>
    <w:lvl w:ilvl="0">
      <w:lvlJc w:val="left"/>
      <w:lvlText w:val="(%1)"/>
      <w:numFmt w:val="lowerLetter"/>
      <w:start w:val="35"/>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1)"/>
      <w:numFmt w:val="lowerRoman"/>
      <w:start w:val="1"/>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1)"/>
      <w:numFmt w:val="lowerRoman"/>
      <w:start w:val="2"/>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1)"/>
      <w:numFmt w:val="decimal"/>
      <w:start w:val="1"/>
    </w:lvl>
  </w:abstractNum>
  <w:abstractNum w:abstractNumId="56">
    <w:nsid w:val="60B6DF70"/>
    <w:multiLevelType w:val="hybridMultilevel"/>
    <w:lvl w:ilvl="0">
      <w:lvlJc w:val="left"/>
      <w:lvlText w:val="(%1)"/>
      <w:numFmt w:val="decimal"/>
      <w:start w:val="1"/>
    </w:lvl>
  </w:abstractNum>
  <w:abstractNum w:abstractNumId="57">
    <w:nsid w:val="6A5EE64"/>
    <w:multiLevelType w:val="hybridMultilevel"/>
    <w:lvl w:ilvl="0">
      <w:lvlJc w:val="left"/>
      <w:lvlText w:val="&amp;"/>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1)"/>
      <w:numFmt w:val="decimal"/>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decimal"/>
      <w:start w:val="4"/>
    </w:lvl>
  </w:abstractNum>
  <w:abstractNum w:abstractNumId="69">
    <w:nsid w:val="4C04A8AF"/>
    <w:multiLevelType w:val="hybridMultilevel"/>
    <w:lvl w:ilvl="0">
      <w:lvlJc w:val="left"/>
      <w:lvlText w:val="(%1)"/>
      <w:numFmt w:val="decimal"/>
      <w:start w:val="14"/>
    </w:lvl>
  </w:abstractNum>
  <w:abstractNum w:abstractNumId="70">
    <w:nsid w:val="1716703B"/>
    <w:multiLevelType w:val="hybridMultilevel"/>
    <w:lvl w:ilvl="0">
      <w:lvlJc w:val="left"/>
      <w:lvlText w:val="(%1)"/>
      <w:numFmt w:val="decimal"/>
      <w:start w:val="19"/>
    </w:lvl>
  </w:abstractNum>
  <w:abstractNum w:abstractNumId="71">
    <w:nsid w:val="14E17E33"/>
    <w:multiLevelType w:val="hybridMultilevel"/>
    <w:lvl w:ilvl="0">
      <w:lvlJc w:val="left"/>
      <w:lvlText w:val="(%1)"/>
      <w:numFmt w:val="decimal"/>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emdash "/>
      <w:numFmt w:val="bullet"/>
      <w:start w:val="1"/>
    </w:lvl>
    <w:lvl w:ilvl="1">
      <w:lvlJc w:val="left"/>
      <w:lvlText w:val="*"/>
      <w:numFmt w:val="bullet"/>
      <w:start w:val="1"/>
    </w:lvl>
  </w:abstractNum>
  <w:abstractNum w:abstractNumId="76">
    <w:nsid w:val="46B7D447"/>
    <w:multiLevelType w:val="hybridMultilevel"/>
    <w:lvl w:ilvl="0">
      <w:lvlJc w:val="left"/>
      <w:lvlText w:val="*"/>
      <w:numFmt w:val="bullet"/>
      <w:start w:val="1"/>
    </w:lvl>
  </w:abstractNum>
  <w:abstractNum w:abstractNumId="77">
    <w:nsid w:val="4A2AC315"/>
    <w:multiLevelType w:val="hybridMultilevel"/>
    <w:lvl w:ilvl="0">
      <w:lvlJc w:val="left"/>
      <w:lvlText w:val="(%1)"/>
      <w:numFmt w:val="decimal"/>
      <w:start w:val="1"/>
    </w:lvl>
  </w:abstractNum>
  <w:abstractNum w:abstractNumId="78">
    <w:nsid w:val="39EE015C"/>
    <w:multiLevelType w:val="hybridMultilevel"/>
    <w:lvl w:ilvl="0">
      <w:lvlJc w:val="left"/>
      <w:lvlText w:val="(%1)"/>
      <w:numFmt w:val="decimal"/>
      <w:start w:val="4"/>
    </w:lvl>
  </w:abstractNum>
  <w:abstractNum w:abstractNumId="79">
    <w:nsid w:val="57FC4FBB"/>
    <w:multiLevelType w:val="hybridMultilevel"/>
    <w:lvl w:ilvl="0">
      <w:lvlJc w:val="left"/>
      <w:lvlText w:val="(%1)"/>
      <w:numFmt w:val="decimal"/>
      <w:start w:val="14"/>
    </w:lvl>
  </w:abstractNum>
  <w:abstractNum w:abstractNumId="80">
    <w:nsid w:val="CC1016F"/>
    <w:multiLevelType w:val="hybridMultilevel"/>
    <w:lvl w:ilvl="0">
      <w:lvlJc w:val="left"/>
      <w:lvlText w:val="(%1)"/>
      <w:numFmt w:val="decimal"/>
      <w:start w:val="27"/>
    </w:lvl>
  </w:abstractNum>
  <w:abstractNum w:abstractNumId="81">
    <w:nsid w:val="43F18422"/>
    <w:multiLevelType w:val="hybridMultilevel"/>
    <w:lvl w:ilvl="0">
      <w:lvlJc w:val="left"/>
      <w:lvlText w:val="*"/>
      <w:numFmt w:val="bullet"/>
      <w:start w:val="1"/>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1)"/>
      <w:numFmt w:val="lowerRoman"/>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1)"/>
      <w:numFmt w:val="decimal"/>
      <w:start w:val="1"/>
    </w:lvl>
  </w:abstractNum>
  <w:abstractNum w:abstractNumId="92">
    <w:nsid w:val="7672BD23"/>
    <w:multiLevelType w:val="hybridMultilevel"/>
    <w:lvl w:ilvl="0">
      <w:lvlJc w:val="left"/>
      <w:lvlText w:val="(%1)"/>
      <w:numFmt w:val="decimal"/>
      <w:start w:val="1"/>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
      <w:numFmt w:val="bullet"/>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
      <w:numFmt w:val="bullet"/>
      <w:start w:val="1"/>
    </w:lvl>
  </w:abstractNum>
  <w:abstractNum w:abstractNumId="104">
    <w:nsid w:val="9DAF632"/>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9" Type="http://schemas.openxmlformats.org/officeDocument/2006/relationships/image" Target="media/image373.png"/><Relationship Id="rId406"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380" Type="http://schemas.openxmlformats.org/officeDocument/2006/relationships/hyperlink" Target="https://www.sec.gov/Archives/edgar/data/1777835/000121390020045792/ea132500ex2-1_fintechacq4.htm" TargetMode="External"/><Relationship Id="rId381" Type="http://schemas.openxmlformats.org/officeDocument/2006/relationships/hyperlink" Target="https://www.sec.gov/Archives/edgar/data/1777835/000162828022000893/exhibit31-sx1a1.htm" TargetMode="External"/><Relationship Id="rId382" Type="http://schemas.openxmlformats.org/officeDocument/2006/relationships/hyperlink" Target="https://www.sec.gov/Archives/edgar/data/1777835/000119312521204696/d119701dex32.htm" TargetMode="External"/><Relationship Id="rId383" Type="http://schemas.openxmlformats.org/officeDocument/2006/relationships/hyperlink" Target="https://www.sec.gov/Archives/edgar/data/1777835/000119312521204696/d119701dex41.htm" TargetMode="External"/><Relationship Id="rId384" Type="http://schemas.openxmlformats.org/officeDocument/2006/relationships/hyperlink" Target="https://www.sec.gov/Archives/edgar/data/1777835/000121390020029071/ea127460ex4-1_fintechacq4.htm" TargetMode="External"/><Relationship Id="rId385" Type="http://schemas.openxmlformats.org/officeDocument/2006/relationships/hyperlink" Target="https://www.sec.gov/Archives/edgar/data/1777835/000162828021025439/exhibit43-sx1.htm" TargetMode="External"/><Relationship Id="rId386" Type="http://schemas.openxmlformats.org/officeDocument/2006/relationships/hyperlink" Target="https://www.sec.gov/Archives/edgar/data/1777835/000119312521216509/d185200dex51.htm" TargetMode="External"/><Relationship Id="rId387" Type="http://schemas.openxmlformats.org/officeDocument/2006/relationships/hyperlink" Target="https://www.sec.gov/Archives/edgar/data/1777835/000095017021003237/pwp-ex10_1.htm" TargetMode="External"/><Relationship Id="rId388" Type="http://schemas.openxmlformats.org/officeDocument/2006/relationships/hyperlink" Target="https://www.sec.gov/Archives/edgar/data/1777835/000095017021003237/pwp-ex10_2.htm" TargetMode="External"/><Relationship Id="rId390" Type="http://schemas.openxmlformats.org/officeDocument/2006/relationships/hyperlink" Target="https://www.sec.gov/Archives/edgar/data/1777835/000095017021003237/pwp-ex10_3.htm" TargetMode="External"/><Relationship Id="rId391" Type="http://schemas.openxmlformats.org/officeDocument/2006/relationships/hyperlink" Target="https://www.sec.gov/Archives/edgar/data/1777835/000095017021003237/pwp-ex10_4.htm" TargetMode="External"/><Relationship Id="rId392" Type="http://schemas.openxmlformats.org/officeDocument/2006/relationships/hyperlink" Target="https://www.sec.gov/Archives/edgar/data/1777835/000095017021003237/pwp-ex10_5.htm" TargetMode="External"/><Relationship Id="rId393" Type="http://schemas.openxmlformats.org/officeDocument/2006/relationships/hyperlink" Target="https://www.sec.gov/Archives/edgar/data/1777835/000121390020045792/ea132500ex10-1_fintechacq4.htm" TargetMode="External"/><Relationship Id="rId394" Type="http://schemas.openxmlformats.org/officeDocument/2006/relationships/hyperlink" Target="https://www.sec.gov/Archives/edgar/data/1777835/000119312521204696/d119701dex101.htm" TargetMode="External"/><Relationship Id="rId395" Type="http://schemas.openxmlformats.org/officeDocument/2006/relationships/hyperlink" Target="https://www.sec.gov/Archives/edgar/data/1777835/000119312521204696/d119701dex103.htm" TargetMode="External"/><Relationship Id="rId396" Type="http://schemas.openxmlformats.org/officeDocument/2006/relationships/hyperlink" Target="https://www.sec.gov/Archives/edgar/data/1777835/000119312521204696/d119701dex102.htm" TargetMode="External"/><Relationship Id="rId397" Type="http://schemas.openxmlformats.org/officeDocument/2006/relationships/hyperlink" Target="https://www.sec.gov/Archives/edgar/data/1777835/000121390020045792/ea132500ex2-1_fintechacq4.htm#ex_008" TargetMode="External"/><Relationship Id="rId398" Type="http://schemas.openxmlformats.org/officeDocument/2006/relationships/hyperlink" Target="https://www.sec.gov/Archives/edgar/data/0001777835/000119312521175488/d101000ddefm14a.htm" TargetMode="External"/><Relationship Id="rId399" Type="http://schemas.openxmlformats.org/officeDocument/2006/relationships/hyperlink" Target="https://www.sec.gov/Archives/edgar/data/1777835/000119312521204696/d119701dex104.htm" TargetMode="External"/><Relationship Id="rId400" Type="http://schemas.openxmlformats.org/officeDocument/2006/relationships/hyperlink" Target="https://www.sec.gov/Archives/edgar/data/1777835/000119312521204696/d119701dex105.htm" TargetMode="External"/><Relationship Id="rId401" Type="http://schemas.openxmlformats.org/officeDocument/2006/relationships/hyperlink" Target="https://www.sec.gov/Archives/edgar/data/1777835/000119312521204696/d119701dex106.htm" TargetMode="External"/><Relationship Id="rId402" Type="http://schemas.openxmlformats.org/officeDocument/2006/relationships/hyperlink" Target="https://www.sec.gov/Archives/edgar/data/1777835/000119312521204696/d119701dex107.htm" TargetMode="External"/><Relationship Id="rId403" Type="http://schemas.openxmlformats.org/officeDocument/2006/relationships/hyperlink" Target="https://www.sec.gov/Archives/edgar/data/1777835/000119312521204696/d119701dex108.htm" TargetMode="External"/><Relationship Id="rId404" Type="http://schemas.openxmlformats.org/officeDocument/2006/relationships/hyperlink" Target="https://www.sec.gov/Archives/edgar/data/1777835/000121390020029071/ea127460ex10-1_fintechacq4.htm" TargetMode="External"/><Relationship Id="rId405" Type="http://schemas.openxmlformats.org/officeDocument/2006/relationships/hyperlink" Target="https://www.sec.gov/Archives/edgar/data/1777835/000119312521204696/d119701dex109.htm" TargetMode="External"/><Relationship Id="rId407" Type="http://schemas.openxmlformats.org/officeDocument/2006/relationships/hyperlink" Target="https://www.sec.gov/Archives/edgar/data/1777835/000177783522000008/pwp-20211231xex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2022-03-11T16:24:12Z</dcterms:created>
  <dcterms:modified xsi:type="dcterms:W3CDTF">2022-03-11T16:24:12Z</dcterms:modified>
</cp:coreProperties>
</file>