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Arial" w:cs="Arial" w:eastAsia="Arial" w:hAnsi="Arial"/>
          <w:sz w:val="18"/>
          <w:szCs w:val="18"/>
          <w:color w:val="auto"/>
        </w:rPr>
        <w:t>PERELLA WEINBERG PARTNERS</w:t>
      </w:r>
    </w:p>
    <w:p>
      <w:pPr>
        <w:spacing w:after="0" w:line="23" w:lineRule="exact"/>
        <w:rPr>
          <w:sz w:val="24"/>
          <w:szCs w:val="24"/>
          <w:color w:val="auto"/>
        </w:rPr>
      </w:pPr>
    </w:p>
    <w:p>
      <w:pPr>
        <w:jc w:val="center"/>
        <w:ind w:right="-303"/>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303"/>
        <w:spacing w:after="0"/>
        <w:rPr>
          <w:sz w:val="20"/>
          <w:szCs w:val="20"/>
          <w:color w:val="auto"/>
        </w:rPr>
      </w:pPr>
      <w:r>
        <w:rPr>
          <w:rFonts w:ascii="Arial" w:cs="Arial" w:eastAsia="Arial" w:hAnsi="Arial"/>
          <w:sz w:val="18"/>
          <w:szCs w:val="18"/>
          <w:color w:val="auto"/>
        </w:rPr>
        <w:t>NEW YORK, NY 10153</w:t>
      </w:r>
    </w:p>
    <w:p>
      <w:pPr>
        <w:spacing w:after="0" w:line="99"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ind w:left="4"/>
        <w:spacing w:after="0"/>
        <w:rPr>
          <w:sz w:val="20"/>
          <w:szCs w:val="20"/>
          <w:color w:val="auto"/>
        </w:rPr>
      </w:pPr>
      <w:r>
        <w:rPr>
          <w:rFonts w:ascii="Arial" w:cs="Arial" w:eastAsia="Arial" w:hAnsi="Arial"/>
          <w:sz w:val="18"/>
          <w:szCs w:val="18"/>
          <w:color w:val="auto"/>
        </w:rPr>
        <w:t>July 22, 2021</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Attention: Eric Envall</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Re: Perella Weinberg Partners</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Registration Statement on Form S-1 (the “Registration Statement”)</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File No. 333-257924</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right="60"/>
        <w:spacing w:after="0" w:line="259" w:lineRule="auto"/>
        <w:rPr>
          <w:sz w:val="20"/>
          <w:szCs w:val="20"/>
          <w:color w:val="auto"/>
        </w:rPr>
      </w:pPr>
      <w:r>
        <w:rPr>
          <w:rFonts w:ascii="Arial" w:cs="Arial" w:eastAsia="Arial" w:hAnsi="Arial"/>
          <w:sz w:val="18"/>
          <w:szCs w:val="18"/>
          <w:color w:val="auto"/>
        </w:rPr>
        <w:t>Pursuant to Rule 461 under the Securities Act of 1933, as amended, Perella Weinberg Partners (the “Company”) hereby requests acceleration of the effective date of the above referenced Registration Statement to 4:00 p.m., Eastern Time, on July 26, 2021, or as soon thereafter as practicable, or at such other time as the Company or its outside counsel, Skadden, Arps, Slate, Meagher &amp; Flom LLP, request by telephone that such Registration Statement be declared effective.</w:t>
      </w:r>
    </w:p>
    <w:p>
      <w:pPr>
        <w:spacing w:after="0" w:line="187" w:lineRule="exact"/>
        <w:rPr>
          <w:sz w:val="24"/>
          <w:szCs w:val="24"/>
          <w:color w:val="auto"/>
        </w:rPr>
      </w:pPr>
    </w:p>
    <w:p>
      <w:pPr>
        <w:ind w:left="4"/>
        <w:spacing w:after="0" w:line="308" w:lineRule="auto"/>
        <w:rPr>
          <w:sz w:val="20"/>
          <w:szCs w:val="20"/>
          <w:color w:val="auto"/>
        </w:rPr>
      </w:pPr>
      <w:r>
        <w:rPr>
          <w:rFonts w:ascii="Arial" w:cs="Arial" w:eastAsia="Arial" w:hAnsi="Arial"/>
          <w:sz w:val="17"/>
          <w:szCs w:val="17"/>
          <w:color w:val="auto"/>
        </w:rPr>
        <w:t>Please contact Michael Schwartz, of Skadden, Arps, Slate, Meagher &amp; Flom LLP, outside counsel to the Company, at (202) 735-3694, as soon as the Registration Statement has been declared effective, or if you have any other questions or concerns regarding this matter.</w:t>
      </w:r>
    </w:p>
    <w:p>
      <w:pPr>
        <w:spacing w:after="0" w:line="17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 Vladimir Shendelman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Name: Vladimir Shendelman</w:t>
      </w:r>
    </w:p>
    <w:p>
      <w:pPr>
        <w:spacing w:after="0" w:line="23" w:lineRule="exact"/>
        <w:rPr>
          <w:sz w:val="24"/>
          <w:szCs w:val="24"/>
          <w:color w:val="auto"/>
        </w:rPr>
      </w:pPr>
    </w:p>
    <w:p>
      <w:pPr>
        <w:ind w:left="6624"/>
        <w:spacing w:after="0"/>
        <w:tabs>
          <w:tab w:leader="none" w:pos="7204" w:val="left"/>
        </w:tabs>
        <w:rPr>
          <w:sz w:val="20"/>
          <w:szCs w:val="20"/>
          <w:color w:val="auto"/>
        </w:rPr>
      </w:pPr>
      <w:r>
        <w:rPr>
          <w:rFonts w:ascii="Arial" w:cs="Arial" w:eastAsia="Arial" w:hAnsi="Arial"/>
          <w:sz w:val="18"/>
          <w:szCs w:val="18"/>
          <w:color w:val="auto"/>
        </w:rPr>
        <w:t>Title:</w:t>
        <w:tab/>
        <w:t>General Counsel</w:t>
      </w:r>
    </w:p>
    <w:p>
      <w:pPr>
        <w:spacing w:after="0" w:line="238"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Schwartz, Skadden, Arps, Slate, Meagher &amp; Flom LLP</w:t>
      </w:r>
    </w:p>
    <w:sectPr>
      <w:pgSz w:w="11900" w:h="16838" w:orient="portrait"/>
      <w:cols w:equalWidth="0" w:num="1">
        <w:col w:w="10704"/>
      </w:cols>
      <w:pgMar w:left="436" w:top="23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2021-08-24T23:07:08Z</dcterms:created>
  <dcterms:modified xsi:type="dcterms:W3CDTF">2021-08-24T23:07:08Z</dcterms:modified>
</cp:coreProperties>
</file>