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695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9570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Weinberg Peter A</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59"/>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767 FIFTH AVENUE</w:t>
            </w:r>
          </w:p>
        </w:tc>
        <w:tc>
          <w:tcPr>
            <w:tcW w:w="880" w:type="dxa"/>
            <w:vAlign w:val="bottom"/>
          </w:tcPr>
          <w:p>
            <w:pPr>
              <w:spacing w:after="0"/>
              <w:rPr>
                <w:sz w:val="22"/>
                <w:szCs w:val="22"/>
                <w:color w:val="auto"/>
              </w:rPr>
            </w:pPr>
          </w:p>
        </w:tc>
      </w:tr>
      <w:tr>
        <w:trPr>
          <w:trHeight w:val="469"/>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2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12/01/2023</w:t>
            </w:r>
          </w:p>
        </w:tc>
        <w:tc>
          <w:tcPr>
            <w:tcW w:w="1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16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6"/>
                <w:szCs w:val="16"/>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60" w:type="dxa"/>
            <w:vAlign w:val="bottom"/>
          </w:tcPr>
          <w:p>
            <w:pPr>
              <w:jc w:val="center"/>
              <w:ind w:right="186"/>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jc w:val="center"/>
              <w:ind w:right="186"/>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0000FF"/>
              </w:rPr>
              <w:t>12/01/2023</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320" w:type="dxa"/>
            <w:vAlign w:val="bottom"/>
          </w:tcPr>
          <w:p>
            <w:pPr>
              <w:spacing w:after="0"/>
              <w:rPr>
                <w:sz w:val="17"/>
                <w:szCs w:val="17"/>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0000FF"/>
              </w:rPr>
              <w:t>841.78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841.78</w:t>
            </w:r>
          </w:p>
        </w:tc>
        <w:tc>
          <w:tcPr>
            <w:tcW w:w="30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Hook</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line="264"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0000FF"/>
              </w:rPr>
              <w:t>12/01/2023</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32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0000FF"/>
              </w:rPr>
              <w:t>841,780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842,621.78</w:t>
            </w:r>
          </w:p>
        </w:tc>
        <w:tc>
          <w:tcPr>
            <w:tcW w:w="30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Hook</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2,058,926</w:t>
            </w: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9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B-2</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80" w:type="dxa"/>
            <w:vAlign w:val="bottom"/>
          </w:tcPr>
          <w:p>
            <w:pPr>
              <w:spacing w:after="0"/>
              <w:rPr>
                <w:sz w:val="15"/>
                <w:szCs w:val="15"/>
                <w:color w:val="auto"/>
              </w:rPr>
            </w:pPr>
          </w:p>
        </w:tc>
        <w:tc>
          <w:tcPr>
            <w:tcW w:w="66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0000FF"/>
              </w:rPr>
              <w:t>841.78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20"/>
              <w:spacing w:after="0"/>
              <w:rPr>
                <w:sz w:val="20"/>
                <w:szCs w:val="20"/>
                <w:color w:val="auto"/>
              </w:rPr>
            </w:pPr>
            <w:r>
              <w:rPr>
                <w:rFonts w:ascii="Times New Roman" w:cs="Times New Roman" w:eastAsia="Times New Roman" w:hAnsi="Times New Roman"/>
                <w:sz w:val="13"/>
                <w:szCs w:val="13"/>
                <w:color w:val="0000FF"/>
              </w:rPr>
              <w:t>Red Hook</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jc w:val="right"/>
              <w:ind w:right="181"/>
              <w:spacing w:after="0" w:line="146" w:lineRule="exact"/>
              <w:rPr>
                <w:sz w:val="20"/>
                <w:szCs w:val="20"/>
                <w:color w:val="auto"/>
              </w:rPr>
            </w:pPr>
            <w:r>
              <w:rPr>
                <w:rFonts w:ascii="Times New Roman" w:cs="Times New Roman" w:eastAsia="Times New Roman" w:hAnsi="Times New Roman"/>
                <w:sz w:val="13"/>
                <w:szCs w:val="13"/>
                <w:color w:val="0000FF"/>
              </w:rPr>
              <w:t>12/01/2023</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2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841,780</w:t>
            </w:r>
          </w:p>
        </w:tc>
        <w:tc>
          <w:tcPr>
            <w:tcW w:w="240" w:type="dxa"/>
            <w:vAlign w:val="bottom"/>
          </w:tcPr>
          <w:p>
            <w:pPr>
              <w:spacing w:after="0"/>
              <w:rPr>
                <w:sz w:val="12"/>
                <w:szCs w:val="12"/>
                <w:color w:val="auto"/>
              </w:rPr>
            </w:pPr>
          </w:p>
        </w:tc>
        <w:tc>
          <w:tcPr>
            <w:tcW w:w="460" w:type="dxa"/>
            <w:vAlign w:val="bottom"/>
          </w:tcPr>
          <w:p>
            <w:pPr>
              <w:jc w:val="center"/>
              <w:ind w:right="126"/>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0000FF"/>
                <w:w w:val="94"/>
              </w:rPr>
              <w:t>Common</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20"/>
              <w:spacing w:after="0" w:line="146"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20"/>
              <w:spacing w:after="0" w:line="219" w:lineRule="exact"/>
              <w:rPr>
                <w:sz w:val="20"/>
                <w:szCs w:val="20"/>
                <w:color w:val="auto"/>
              </w:rPr>
            </w:pPr>
            <w:r>
              <w:rPr>
                <w:rFonts w:ascii="Times New Roman" w:cs="Times New Roman" w:eastAsia="Times New Roman" w:hAnsi="Times New Roman"/>
                <w:sz w:val="25"/>
                <w:szCs w:val="25"/>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Red Hook</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ind w:left="2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Class A</w:t>
            </w:r>
          </w:p>
        </w:tc>
        <w:tc>
          <w:tcPr>
            <w:tcW w:w="180" w:type="dxa"/>
            <w:vAlign w:val="bottom"/>
          </w:tcPr>
          <w:p>
            <w:pPr>
              <w:spacing w:after="0"/>
              <w:rPr>
                <w:sz w:val="10"/>
                <w:szCs w:val="10"/>
                <w:color w:val="auto"/>
              </w:rPr>
            </w:pPr>
          </w:p>
        </w:tc>
        <w:tc>
          <w:tcPr>
            <w:tcW w:w="66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0000FF"/>
                <w:w w:val="99"/>
              </w:rPr>
              <w:t>841,780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LP</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jc w:val="right"/>
              <w:ind w:right="181"/>
              <w:spacing w:after="0" w:line="146" w:lineRule="exact"/>
              <w:rPr>
                <w:sz w:val="20"/>
                <w:szCs w:val="20"/>
                <w:color w:val="auto"/>
              </w:rPr>
            </w:pPr>
            <w:r>
              <w:rPr>
                <w:rFonts w:ascii="Times New Roman" w:cs="Times New Roman" w:eastAsia="Times New Roman" w:hAnsi="Times New Roman"/>
                <w:sz w:val="13"/>
                <w:szCs w:val="13"/>
                <w:color w:val="0000FF"/>
              </w:rPr>
              <w:t>12/01/2023</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2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841,780</w:t>
            </w:r>
          </w:p>
        </w:tc>
        <w:tc>
          <w:tcPr>
            <w:tcW w:w="240" w:type="dxa"/>
            <w:vAlign w:val="bottom"/>
          </w:tcPr>
          <w:p>
            <w:pPr>
              <w:spacing w:after="0"/>
              <w:rPr>
                <w:sz w:val="12"/>
                <w:szCs w:val="12"/>
                <w:color w:val="auto"/>
              </w:rPr>
            </w:pPr>
          </w:p>
        </w:tc>
        <w:tc>
          <w:tcPr>
            <w:tcW w:w="460" w:type="dxa"/>
            <w:vAlign w:val="bottom"/>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32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0000FF"/>
                <w:w w:val="94"/>
              </w:rPr>
              <w:t>Common</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20"/>
              <w:spacing w:after="0" w:line="146"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right w:val="single" w:sz="8" w:color="2C2C2C"/>
            </w:tcBorders>
            <w:gridSpan w:val="3"/>
          </w:tcPr>
          <w:p>
            <w:pPr>
              <w:ind w:left="120"/>
              <w:spacing w:after="0" w:line="144" w:lineRule="exact"/>
              <w:rPr>
                <w:sz w:val="20"/>
                <w:szCs w:val="20"/>
                <w:color w:val="auto"/>
              </w:rPr>
            </w:pPr>
            <w:r>
              <w:rPr>
                <w:rFonts w:ascii="Times New Roman" w:cs="Times New Roman" w:eastAsia="Times New Roman" w:hAnsi="Times New Roman"/>
                <w:sz w:val="16"/>
                <w:szCs w:val="16"/>
                <w:color w:val="0000FF"/>
                <w:vertAlign w:val="subscript"/>
              </w:rPr>
              <w:t>LLC</w:t>
            </w:r>
            <w:r>
              <w:rPr>
                <w:rFonts w:ascii="Times New Roman" w:cs="Times New Roman" w:eastAsia="Times New Roman" w:hAnsi="Times New Roman"/>
                <w:sz w:val="8"/>
                <w:szCs w:val="8"/>
                <w:color w:val="008000"/>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PWP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Class A</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320" w:type="dxa"/>
            <w:vAlign w:val="bottom"/>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vMerge w:val="continue"/>
          </w:tcPr>
          <w:p>
            <w:pPr>
              <w:spacing w:after="0"/>
              <w:rPr>
                <w:sz w:val="7"/>
                <w:szCs w:val="7"/>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3,445,788</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20"/>
              <w:spacing w:after="0" w:line="138" w:lineRule="exact"/>
              <w:rPr>
                <w:sz w:val="20"/>
                <w:szCs w:val="20"/>
                <w:color w:val="auto"/>
              </w:rPr>
            </w:pPr>
            <w:r>
              <w:rPr>
                <w:rFonts w:ascii="Times New Roman" w:cs="Times New Roman" w:eastAsia="Times New Roman" w:hAnsi="Times New Roman"/>
                <w:sz w:val="13"/>
                <w:szCs w:val="13"/>
                <w:color w:val="0000FF"/>
              </w:rPr>
              <w:t>Professional</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3,445,788</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20"/>
              <w:spacing w:after="0" w:line="126"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right w:val="single" w:sz="8" w:color="2C2C2C"/>
            </w:tcBorders>
            <w:gridSpan w:val="3"/>
          </w:tcPr>
          <w:p>
            <w:pPr>
              <w:ind w:left="120"/>
              <w:spacing w:after="0" w:line="114" w:lineRule="exact"/>
              <w:rPr>
                <w:sz w:val="20"/>
                <w:szCs w:val="20"/>
                <w:color w:val="auto"/>
              </w:rPr>
            </w:pPr>
            <w:r>
              <w:rPr>
                <w:rFonts w:ascii="Times New Roman" w:cs="Times New Roman" w:eastAsia="Times New Roman" w:hAnsi="Times New Roman"/>
                <w:sz w:val="13"/>
                <w:szCs w:val="13"/>
                <w:color w:val="0000FF"/>
                <w:vertAlign w:val="subscript"/>
              </w:rPr>
              <w:t>LP</w:t>
            </w:r>
            <w:r>
              <w:rPr>
                <w:rFonts w:ascii="Times New Roman" w:cs="Times New Roman" w:eastAsia="Times New Roman" w:hAnsi="Times New Roman"/>
                <w:sz w:val="8"/>
                <w:szCs w:val="8"/>
                <w:color w:val="008000"/>
              </w:rPr>
              <w:t>(5)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-2692400</wp:posOffset>
            </wp:positionV>
            <wp:extent cx="28575" cy="269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974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exchange of PWP OpCo Units (as defined below) for an equal number of Class A Shares (as defined below). In connection with the exchange, an equal number of Class B-2 Shares (as defined below) were surrendered to the Issuer and converted into Class A Shares at a conversion rate of 0.001 Class A Share for one Class B Share.</w:t>
      </w:r>
    </w:p>
    <w:p>
      <w:pPr>
        <w:spacing w:after="0" w:line="21"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5" w:lineRule="exact"/>
        <w:rPr>
          <w:rFonts w:ascii="Times New Roman" w:cs="Times New Roman" w:eastAsia="Times New Roman" w:hAnsi="Times New Roman"/>
          <w:sz w:val="13"/>
          <w:szCs w:val="13"/>
          <w:color w:val="008000"/>
        </w:rPr>
      </w:pPr>
    </w:p>
    <w:p>
      <w:pPr>
        <w:jc w:val="both"/>
        <w:ind w:left="40" w:right="20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or Class B-2 common stock ("Class B-2 Shares" and, together with Class B-1 Shares, "Class B Shares"), such Unitholder will be required to surrender to the Issuer a number of Class B Shares equal to the number of PWP OpCo Units exchanged, and such Class B Shares will be converted into Class A Shares or, at the option of the Issuer, for an equivalent amount of cash, which will be delivered to such Unitholder at a conversion rate of 0.001 Class A Share for one Class B Share.</w:t>
      </w:r>
    </w:p>
    <w:p>
      <w:pPr>
        <w:spacing w:after="0" w:line="24" w:lineRule="exact"/>
        <w:rPr>
          <w:rFonts w:ascii="Times New Roman" w:cs="Times New Roman" w:eastAsia="Times New Roman" w:hAnsi="Times New Roman"/>
          <w:sz w:val="13"/>
          <w:szCs w:val="13"/>
          <w:color w:val="008000"/>
        </w:rPr>
      </w:pPr>
    </w:p>
    <w:p>
      <w:pPr>
        <w:ind w:left="40" w:right="3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lock-up periods, PWP OpCo Units, upon the surrender of an equal number of Class B Shares, may be exchanged for Class A Shares on a one-for-one basis or, at the option of the Issuer, for an equivalent amount of cash. PWP OpCo Units do not expire.</w:t>
      </w:r>
    </w:p>
    <w:p>
      <w:pPr>
        <w:spacing w:after="0" w:line="21"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Reporting Person's proportionate pecuniary interest in the securities held directly by PWP Professional Partners LP. The Reporting Person disclaims beneficial ownership of the securities held by PWP Professional Partners LP, except to the extent of his pecuniary interest therein.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Mark Polemeni, as Attorney- </w:t>
      </w:r>
      <w:r>
        <w:rPr>
          <w:rFonts w:ascii="Times New Roman" w:cs="Times New Roman" w:eastAsia="Times New Roman" w:hAnsi="Times New Roman"/>
          <w:sz w:val="32"/>
          <w:szCs w:val="32"/>
          <w:color w:val="0000FF"/>
          <w:vertAlign w:val="subscript"/>
        </w:rPr>
        <w:t>12/04/2023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29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3370"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-79375</wp:posOffset>
            </wp:positionV>
            <wp:extent cx="472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16779"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2023-12-04T17:20:53Z</dcterms:created>
  <dcterms:modified xsi:type="dcterms:W3CDTF">2023-12-04T17:20:53Z</dcterms:modified>
</cp:coreProperties>
</file>