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257175</wp:posOffset>
            </wp:positionH>
            <wp:positionV relativeFrom="page">
              <wp:posOffset>744855</wp:posOffset>
            </wp:positionV>
            <wp:extent cx="7042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2150" cy="1714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779145</wp:posOffset>
            </wp:positionV>
            <wp:extent cx="7042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2150" cy="1714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260" w:hanging="214"/>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5" w:lineRule="exact"/>
        <w:rPr>
          <w:rFonts w:ascii="MS PGothic" w:cs="MS PGothic" w:eastAsia="MS PGothic" w:hAnsi="MS PGothic"/>
          <w:sz w:val="18"/>
          <w:szCs w:val="18"/>
          <w:color w:val="auto"/>
          <w:highlight w:val="black"/>
        </w:rPr>
      </w:pPr>
    </w:p>
    <w:p>
      <w:pPr>
        <w:ind w:left="3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260" w:hanging="214"/>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7117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PERELLA WEINBERG PARTNERS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7117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3"/>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12"/>
        </w:trPr>
        <w:tc>
          <w:tcPr>
            <w:tcW w:w="5640" w:type="dxa"/>
            <w:vAlign w:val="bottom"/>
            <w:gridSpan w:val="2"/>
          </w:tcPr>
          <w:p>
            <w:pPr>
              <w:ind w:left="150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767 Fifth Avenue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3"/>
            <w:vMerge w:val="restart"/>
          </w:tcPr>
          <w:p>
            <w:pPr>
              <w:jc w:val="right"/>
              <w:ind w:right="2672"/>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31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(212) 287-3200</w:t>
            </w:r>
          </w:p>
        </w:tc>
        <w:tc>
          <w:tcPr>
            <w:tcW w:w="0" w:type="dxa"/>
            <w:vAlign w:val="bottom"/>
          </w:tcPr>
          <w:p>
            <w:pPr>
              <w:spacing w:after="0"/>
              <w:rPr>
                <w:sz w:val="1"/>
                <w:szCs w:val="1"/>
                <w:color w:val="auto"/>
              </w:rPr>
            </w:pPr>
          </w:p>
        </w:tc>
      </w:tr>
      <w:tr>
        <w:trPr>
          <w:trHeight w:val="105"/>
        </w:trPr>
        <w:tc>
          <w:tcPr>
            <w:tcW w:w="55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0" w:type="dxa"/>
            <w:vAlign w:val="bottom"/>
          </w:tcPr>
          <w:p>
            <w:pPr>
              <w:spacing w:after="0"/>
              <w:rPr>
                <w:sz w:val="1"/>
                <w:szCs w:val="1"/>
                <w:color w:val="auto"/>
              </w:rPr>
            </w:pPr>
          </w:p>
        </w:tc>
      </w:tr>
      <w:tr>
        <w:trPr>
          <w:trHeight w:val="186"/>
        </w:trPr>
        <w:tc>
          <w:tcPr>
            <w:tcW w:w="564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3"/>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40" w:type="dxa"/>
            <w:vAlign w:val="bottom"/>
          </w:tcPr>
          <w:p>
            <w:pPr>
              <w:spacing w:after="0"/>
              <w:rPr>
                <w:sz w:val="15"/>
                <w:szCs w:val="15"/>
                <w:color w:val="auto"/>
              </w:rPr>
            </w:pPr>
          </w:p>
        </w:tc>
        <w:tc>
          <w:tcPr>
            <w:tcW w:w="106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PWP</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5"/>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the Section 12(g) of the Act: None</w:t>
            </w:r>
          </w:p>
        </w:tc>
        <w:tc>
          <w:tcPr>
            <w:tcW w:w="0" w:type="dxa"/>
            <w:vAlign w:val="bottom"/>
          </w:tcPr>
          <w:p>
            <w:pPr>
              <w:spacing w:after="0"/>
              <w:rPr>
                <w:sz w:val="1"/>
                <w:szCs w:val="1"/>
                <w:color w:val="auto"/>
              </w:rPr>
            </w:pPr>
          </w:p>
        </w:tc>
      </w:tr>
      <w:tr>
        <w:trPr>
          <w:trHeight w:val="308"/>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4040" w:type="dxa"/>
            <w:vAlign w:val="bottom"/>
            <w:gridSpan w:val="3"/>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2"/>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404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00"/>
        <w:spacing w:after="0" w:line="161" w:lineRule="exact"/>
        <w:tabs>
          <w:tab w:leader="none" w:pos="2180" w:val="left"/>
          <w:tab w:leader="none" w:pos="2500" w:val="left"/>
          <w:tab w:leader="none" w:pos="3860" w:val="left"/>
          <w:tab w:leader="none" w:pos="4180" w:val="left"/>
          <w:tab w:leader="none" w:pos="5720" w:val="left"/>
          <w:tab w:leader="none" w:pos="6040" w:val="left"/>
          <w:tab w:leader="none" w:pos="7980" w:val="left"/>
          <w:tab w:leader="none" w:pos="8300" w:val="left"/>
          <w:tab w:leader="none" w:pos="102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9" w:lineRule="exact"/>
        <w:rPr>
          <w:sz w:val="24"/>
          <w:szCs w:val="24"/>
          <w:color w:val="auto"/>
        </w:rPr>
      </w:pPr>
    </w:p>
    <w:p>
      <w:pPr>
        <w:ind w:right="20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2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340"/>
        <w:spacing w:after="0" w:line="17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based on the closing price on the Nasdaq Global Select Market as of June 30, 2024 was $831,423,369.</w:t>
      </w:r>
    </w:p>
    <w:p>
      <w:pPr>
        <w:spacing w:after="0" w:line="91" w:lineRule="exact"/>
        <w:rPr>
          <w:sz w:val="24"/>
          <w:szCs w:val="24"/>
          <w:color w:val="auto"/>
        </w:rPr>
      </w:pPr>
    </w:p>
    <w:p>
      <w:pPr>
        <w:ind w:right="120"/>
        <w:spacing w:after="0" w:line="235" w:lineRule="auto"/>
        <w:rPr>
          <w:sz w:val="20"/>
          <w:szCs w:val="20"/>
          <w:color w:val="auto"/>
        </w:rPr>
      </w:pPr>
      <w:r>
        <w:rPr>
          <w:rFonts w:ascii="Times New Roman" w:cs="Times New Roman" w:eastAsia="Times New Roman" w:hAnsi="Times New Roman"/>
          <w:sz w:val="14"/>
          <w:szCs w:val="14"/>
          <w:color w:val="auto"/>
        </w:rPr>
        <w:t>As of February 24, 2025, the registrant had 59,532,352 shares of Class A common stock, par value $0.0001 per share, and 27,260,600 shares of Class B common stock, par value $0.0001 per share, outstanding.</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9" w:lineRule="exact"/>
        <w:rPr>
          <w:sz w:val="24"/>
          <w:szCs w:val="24"/>
          <w:color w:val="auto"/>
        </w:rPr>
      </w:pPr>
    </w:p>
    <w:p>
      <w:pPr>
        <w:ind w:right="140"/>
        <w:spacing w:after="0" w:line="290" w:lineRule="auto"/>
        <w:rPr>
          <w:sz w:val="20"/>
          <w:szCs w:val="20"/>
          <w:color w:val="auto"/>
        </w:rPr>
      </w:pPr>
      <w:r>
        <w:rPr>
          <w:rFonts w:ascii="Times New Roman" w:cs="Times New Roman" w:eastAsia="Times New Roman" w:hAnsi="Times New Roman"/>
          <w:sz w:val="14"/>
          <w:szCs w:val="14"/>
          <w:color w:val="auto"/>
        </w:rPr>
        <w:t>Portions of Perella Weinberg Partners’ Proxy Statement for the 2025 Annual Meeting of Stockholders to be filed with the Securities and Exchange Commission within 120 days after December 31, 2024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713740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146050</wp:posOffset>
            </wp:positionV>
            <wp:extent cx="69951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179705</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 w:name="page2"/>
    <w:bookmarkEnd w:id="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8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6"/>
              </w:rPr>
              <w:t>PART I.</w:t>
            </w:r>
          </w:p>
        </w:tc>
        <w:tc>
          <w:tcPr>
            <w:tcW w:w="1420" w:type="dxa"/>
            <w:vAlign w:val="bottom"/>
            <w:gridSpan w:val="5"/>
            <w:vMerge w:val="restart"/>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3"/>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1A.</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8"/>
              </w:rPr>
              <w:t>Item 1B.</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1C.</w:t>
            </w:r>
          </w:p>
        </w:tc>
        <w:tc>
          <w:tcPr>
            <w:tcW w:w="1320" w:type="dxa"/>
            <w:vAlign w:val="bottom"/>
            <w:gridSpan w:val="4"/>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1320" w:type="dxa"/>
            <w:vAlign w:val="bottom"/>
            <w:gridSpan w:val="4"/>
          </w:tcPr>
          <w:p>
            <w:pPr>
              <w:spacing w:after="0"/>
              <w:rPr>
                <w:sz w:val="17"/>
                <w:szCs w:val="17"/>
                <w:color w:val="auto"/>
              </w:rPr>
            </w:pPr>
          </w:p>
        </w:tc>
        <w:tc>
          <w:tcPr>
            <w:tcW w:w="9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6800" w:type="dxa"/>
            <w:vAlign w:val="bottom"/>
            <w:gridSpan w:val="15"/>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1440" w:type="dxa"/>
            <w:vAlign w:val="bottom"/>
            <w:gridSpan w:val="6"/>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2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Securities</w:t>
            </w:r>
          </w:p>
        </w:tc>
        <w:tc>
          <w:tcPr>
            <w:tcW w:w="6460" w:type="dxa"/>
            <w:vAlign w:val="bottom"/>
            <w:tcBorders>
              <w:top w:val="single" w:sz="8" w:color="0000FF"/>
            </w:tcBorders>
            <w:gridSpan w:val="17"/>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6.</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7.</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7A.</w:t>
            </w:r>
          </w:p>
        </w:tc>
        <w:tc>
          <w:tcPr>
            <w:tcW w:w="1420" w:type="dxa"/>
            <w:vAlign w:val="bottom"/>
            <w:gridSpan w:val="5"/>
          </w:tcPr>
          <w:p>
            <w:pPr>
              <w:spacing w:after="0"/>
              <w:rPr>
                <w:sz w:val="17"/>
                <w:szCs w:val="17"/>
                <w:color w:val="auto"/>
              </w:rPr>
            </w:pPr>
          </w:p>
        </w:tc>
        <w:tc>
          <w:tcPr>
            <w:tcW w:w="42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350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9A.</w:t>
            </w:r>
          </w:p>
        </w:tc>
        <w:tc>
          <w:tcPr>
            <w:tcW w:w="1420" w:type="dxa"/>
            <w:vAlign w:val="bottom"/>
            <w:gridSpan w:val="5"/>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9B.</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12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10.</w:t>
            </w:r>
          </w:p>
        </w:tc>
        <w:tc>
          <w:tcPr>
            <w:tcW w:w="1420" w:type="dxa"/>
            <w:vAlign w:val="bottom"/>
            <w:gridSpan w:val="5"/>
          </w:tcPr>
          <w:p>
            <w:pPr>
              <w:spacing w:after="0"/>
              <w:rPr>
                <w:sz w:val="17"/>
                <w:szCs w:val="17"/>
                <w:color w:val="auto"/>
              </w:rPr>
            </w:pPr>
          </w:p>
        </w:tc>
        <w:tc>
          <w:tcPr>
            <w:tcW w:w="402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7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11.</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12.</w:t>
            </w:r>
          </w:p>
        </w:tc>
        <w:tc>
          <w:tcPr>
            <w:tcW w:w="1420" w:type="dxa"/>
            <w:vAlign w:val="bottom"/>
            <w:gridSpan w:val="5"/>
          </w:tcPr>
          <w:p>
            <w:pPr>
              <w:spacing w:after="0"/>
              <w:rPr>
                <w:sz w:val="17"/>
                <w:szCs w:val="17"/>
                <w:color w:val="auto"/>
              </w:rPr>
            </w:pPr>
          </w:p>
        </w:tc>
        <w:tc>
          <w:tcPr>
            <w:tcW w:w="71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6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13.</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14.</w:t>
            </w:r>
          </w:p>
        </w:tc>
        <w:tc>
          <w:tcPr>
            <w:tcW w:w="1420" w:type="dxa"/>
            <w:vAlign w:val="bottom"/>
            <w:gridSpan w:val="5"/>
          </w:tcPr>
          <w:p>
            <w:pPr>
              <w:spacing w:after="0"/>
              <w:rPr>
                <w:sz w:val="17"/>
                <w:szCs w:val="17"/>
                <w:color w:val="auto"/>
              </w:rPr>
            </w:pPr>
          </w:p>
        </w:tc>
        <w:tc>
          <w:tcPr>
            <w:tcW w:w="534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4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15.</w:t>
            </w:r>
          </w:p>
        </w:tc>
        <w:tc>
          <w:tcPr>
            <w:tcW w:w="120" w:type="dxa"/>
            <w:vAlign w:val="bottom"/>
            <w:tcBorders>
              <w:top w:val="single" w:sz="8" w:color="0000FF"/>
            </w:tcBorders>
            <w:gridSpan w:val="2"/>
          </w:tcPr>
          <w:p>
            <w:pPr>
              <w:spacing w:after="0"/>
              <w:rPr>
                <w:sz w:val="17"/>
                <w:szCs w:val="17"/>
                <w:color w:val="auto"/>
              </w:rPr>
            </w:pPr>
          </w:p>
        </w:tc>
        <w:tc>
          <w:tcPr>
            <w:tcW w:w="1300" w:type="dxa"/>
            <w:vAlign w:val="bottom"/>
            <w:gridSpan w:val="3"/>
          </w:tcPr>
          <w:p>
            <w:pPr>
              <w:spacing w:after="0"/>
              <w:rPr>
                <w:sz w:val="17"/>
                <w:szCs w:val="17"/>
                <w:color w:val="auto"/>
              </w:rPr>
            </w:pPr>
          </w:p>
        </w:tc>
        <w:tc>
          <w:tcPr>
            <w:tcW w:w="310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46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16.</w:t>
            </w:r>
          </w:p>
        </w:tc>
        <w:tc>
          <w:tcPr>
            <w:tcW w:w="1420" w:type="dxa"/>
            <w:vAlign w:val="bottom"/>
            <w:gridSpan w:val="5"/>
          </w:tcPr>
          <w:p>
            <w:pPr>
              <w:spacing w:after="0"/>
              <w:rPr>
                <w:sz w:val="17"/>
                <w:szCs w:val="17"/>
                <w:color w:val="auto"/>
              </w:rPr>
            </w:pPr>
          </w:p>
        </w:tc>
        <w:tc>
          <w:tcPr>
            <w:tcW w:w="15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626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2"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 (iii) PWP OpCo serves as Perella Weinberg Partners’ operating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PWP OpCo were allocated to one of the divided partnerships, PWP AdCo Professionals LP (“AdCo Professionals”), (ii) all of its shares of Class B-1 common stock of Perella Weinberg Partners were allocated to another divided partnership, PWP VoteCo Professionals LP (“VoteCo Professionals”) and (iii) PWP Professional Partners LP changed its name to PWP AmCo Professional Partners LP. On April 1, 2024, as part of this internal reorganization, AdCo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Professionals merged with and into PWP OpCo (the “Merger”). Unless the context otherwise requires, all references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w:t>
      </w:r>
    </w:p>
    <w:p>
      <w:pPr>
        <w:jc w:val="both"/>
        <w:spacing w:after="0" w:line="216" w:lineRule="auto"/>
        <w:rPr>
          <w:sz w:val="20"/>
          <w:szCs w:val="20"/>
          <w:color w:val="auto"/>
        </w:rPr>
      </w:pPr>
      <w:r>
        <w:rPr>
          <w:rFonts w:ascii="Times New Roman" w:cs="Times New Roman" w:eastAsia="Times New Roman" w:hAnsi="Times New Roman"/>
          <w:sz w:val="17"/>
          <w:szCs w:val="17"/>
          <w:color w:val="auto"/>
        </w:rPr>
        <w:t>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uncertainties described under </w:t>
      </w:r>
      <w:r>
        <w:rPr>
          <w:rFonts w:ascii="Times New Roman" w:cs="Times New Roman" w:eastAsia="Times New Roman" w:hAnsi="Times New Roman"/>
          <w:sz w:val="18"/>
          <w:szCs w:val="18"/>
          <w:i w:val="1"/>
          <w:iCs w:val="1"/>
          <w:color w:val="auto"/>
        </w:rPr>
        <w:t>“Part I—Item 1A. Risk Factors.”</w:t>
      </w:r>
    </w:p>
    <w:p>
      <w:pPr>
        <w:spacing w:after="0" w:line="15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w:t>
      </w:r>
    </w:p>
    <w:p>
      <w:pPr>
        <w:spacing w:after="0"/>
        <w:rPr>
          <w:sz w:val="20"/>
          <w:szCs w:val="20"/>
          <w:color w:val="auto"/>
        </w:rPr>
      </w:pPr>
      <w:r>
        <w:rPr>
          <w:rFonts w:ascii="Times New Roman" w:cs="Times New Roman" w:eastAsia="Times New Roman" w:hAnsi="Times New Roman"/>
          <w:sz w:val="18"/>
          <w:szCs w:val="18"/>
          <w:color w:val="auto"/>
        </w:rPr>
        <w:t>future events or otherwise, except as may be required under applicable securities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w:t>
      </w:r>
    </w:p>
    <w:p>
      <w:pPr>
        <w:jc w:val="both"/>
        <w:spacing w:after="0" w:line="216" w:lineRule="auto"/>
        <w:rPr>
          <w:sz w:val="20"/>
          <w:szCs w:val="20"/>
          <w:color w:val="auto"/>
        </w:rPr>
      </w:pPr>
      <w:r>
        <w:rPr>
          <w:rFonts w:ascii="Times New Roman" w:cs="Times New Roman" w:eastAsia="Times New Roman" w:hAnsi="Times New Roman"/>
          <w:sz w:val="17"/>
          <w:szCs w:val="17"/>
          <w:color w:val="auto"/>
        </w:rPr>
        <w:t>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view. We believe that our clients choose to engage us because they value our unbiased perspective and expert advice regarding complex financial and strategic matters.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provides services to multiple industry sectors, geographic markets and advisory offerings. We believe that our collaborative partnership and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w:t>
      </w:r>
    </w:p>
    <w:p>
      <w:pPr>
        <w:jc w:val="both"/>
        <w:spacing w:after="0" w:line="214" w:lineRule="auto"/>
        <w:rPr>
          <w:sz w:val="20"/>
          <w:szCs w:val="20"/>
          <w:color w:val="auto"/>
        </w:rPr>
      </w:pPr>
      <w:r>
        <w:rPr>
          <w:rFonts w:ascii="Times New Roman" w:cs="Times New Roman" w:eastAsia="Times New Roman" w:hAnsi="Times New Roman"/>
          <w:sz w:val="18"/>
          <w:szCs w:val="18"/>
          <w:color w:val="auto"/>
        </w:rPr>
        <w:t>expertise, expanding the scope and geographic reach of our advisory services, deepening and expanding our client relationships and maintaining a firm culture that attracts, develops and retains talented people. As of December 31, 2024, we serve our clients with 511 advisory professionals, including 66 advisory partners and 48 advisory managing directors, based in ten offices, located in five countries around the world.</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years ended December 31, 2024, 2023, and 2022, we achieved revenues of $878.0 million, $648.7 million, and $631.5 million, respectively, and operating losses of $78.5 million, $115.1 million, and $47.7 million, respectively. These operating losses were largely due to the amortization of equity-based compensation awards granted by Professional Partners in connection with the Business Combination and a related internal reorganization of Professional</w:t>
      </w:r>
    </w:p>
    <w:p>
      <w:pPr>
        <w:jc w:val="both"/>
        <w:spacing w:after="0" w:line="216" w:lineRule="auto"/>
        <w:rPr>
          <w:sz w:val="20"/>
          <w:szCs w:val="20"/>
          <w:color w:val="auto"/>
        </w:rPr>
      </w:pPr>
      <w:r>
        <w:rPr>
          <w:rFonts w:ascii="Times New Roman" w:cs="Times New Roman" w:eastAsia="Times New Roman" w:hAnsi="Times New Roman"/>
          <w:sz w:val="17"/>
          <w:szCs w:val="17"/>
          <w:color w:val="auto"/>
        </w:rPr>
        <w:t>Partners (the “Professional Partners Awards”), which were fully amortized in 2024,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 operating</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founded our Company with the objective of providing strategic and financial advice to business leaders that is critical to the success of their 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Competitive Strengths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When we founded the Company, we saw a compelling market opportunity to create a platform with deeply experienced, senior advisory professionals</w:t>
      </w:r>
    </w:p>
    <w:p>
      <w:pPr>
        <w:jc w:val="both"/>
        <w:spacing w:after="0" w:line="214" w:lineRule="auto"/>
        <w:rPr>
          <w:sz w:val="20"/>
          <w:szCs w:val="20"/>
          <w:color w:val="auto"/>
        </w:rPr>
      </w:pPr>
      <w:r>
        <w:rPr>
          <w:rFonts w:ascii="Times New Roman" w:cs="Times New Roman" w:eastAsia="Times New Roman" w:hAnsi="Times New Roman"/>
          <w:sz w:val="18"/>
          <w:szCs w:val="18"/>
          <w:color w:val="auto"/>
        </w:rPr>
        <w:t>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believe that our integrated approach and our partnership culture in how we work with each other and our clients provides an ideal platform to deliver the strategic and financial advice sought by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growth strategy centers on increasing the depth and breadth of our advisory business in both current and potential future markets. This expansion will be driven by our ability to attract and develop outstanding professionals who complement or expand our market presence or broaden our advisory product offerings and help us attain scale. As we execute on our growth strategy, we expect to strengthen our relationships with clients and the capabilities we can</w:t>
      </w:r>
    </w:p>
    <w:p>
      <w:pPr>
        <w:spacing w:after="0"/>
        <w:rPr>
          <w:sz w:val="20"/>
          <w:szCs w:val="20"/>
          <w:color w:val="auto"/>
        </w:rPr>
      </w:pPr>
      <w:r>
        <w:rPr>
          <w:rFonts w:ascii="Times New Roman" w:cs="Times New Roman" w:eastAsia="Times New Roman" w:hAnsi="Times New Roman"/>
          <w:sz w:val="18"/>
          <w:szCs w:val="18"/>
          <w:color w:val="auto"/>
        </w:rPr>
        <w:t>offer them, which will enhance our position as a leading independent advisory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Offerings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complement our industry focus with extensive advisory expertise in the largest international advisory markets. We operate out of ten offices in the United States, Canada, the United Kingdom, France and Germany, and we have deep international experience that has enabled us to work extensively with clients worldwide. Since our inception, we have advised over 1,300 clients on transactions in over 45 countries.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Advisory Services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seek to advise our clients throughout their corporate evolution, with the full range of our advisory capabilities. Those services include advice related to strategic and financial decisions, M&amp;A execution, shareholder engagement advisory, financing and capital solutions advice with a focus on restructuring</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and liability management, capital markets advisory, and private capital placement, as well as specialized underwriting and research services primarily for the energy and related industries.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M&amp;A and Strategic Advisory: </w:t>
      </w:r>
      <w:r>
        <w:rPr>
          <w:rFonts w:ascii="Times New Roman" w:cs="Times New Roman" w:eastAsia="Times New Roman" w:hAnsi="Times New Roman"/>
          <w:sz w:val="18"/>
          <w:szCs w:val="18"/>
          <w:color w:val="auto"/>
        </w:rPr>
        <w:t>We have established a leading M&amp;A and strategic advisory practice, advising clients on a range of strategic issues, risks</w:t>
      </w:r>
    </w:p>
    <w:p>
      <w:pPr>
        <w:spacing w:after="0" w:line="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personalized approach in our partnerships with our clients to thoughtfully achieve their objectives.</w:t>
      </w:r>
    </w:p>
    <w:p>
      <w:pPr>
        <w:spacing w:after="0" w:line="15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and Capital Solutions Advisory: </w:t>
      </w:r>
      <w:r>
        <w:rPr>
          <w:rFonts w:ascii="Times New Roman" w:cs="Times New Roman" w:eastAsia="Times New Roman" w:hAnsi="Times New Roman"/>
          <w:sz w:val="17"/>
          <w:szCs w:val="17"/>
          <w:color w:val="auto"/>
        </w:rPr>
        <w:t>We have built, and are continuing to invest in, a leading franchise advising clients on capital markets matters,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both in transaction-related and ordinary course financing execution. We provide comprehensive capital structure advice and help our clients develop financing</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 Moreover, we believe the dramatic shift towards private credit is a once-in-a-generation move. It has been, and we believe will continue to be, a tailwind for our business, both for our corporate clients as well as for financial sponsors.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Leadership</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leadership in Environmental, Social and Governance (“ESG”) issues is a central element of our Company's mission because our success is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63" w:lineRule="exact"/>
        <w:rPr>
          <w:sz w:val="20"/>
          <w:szCs w:val="20"/>
          <w:color w:val="auto"/>
        </w:rPr>
      </w:pPr>
    </w:p>
    <w:p>
      <w:pPr>
        <w:ind w:left="640" w:hanging="316"/>
        <w:spacing w:after="0" w:line="30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Environmental. </w:t>
      </w:r>
      <w:r>
        <w:rPr>
          <w:rFonts w:ascii="Times New Roman" w:cs="Times New Roman" w:eastAsia="Times New Roman" w:hAnsi="Times New Roman"/>
          <w:sz w:val="17"/>
          <w:szCs w:val="17"/>
          <w:color w:val="auto"/>
        </w:rPr>
        <w:t>The Environmental pillar is focused on assessing and monitoring our environmental footprint, and proactively raising our firm-wide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awareness of environmental risk and opportunity by committing to sustainable practices to oversee environmental aspects in our business activities.</w:t>
      </w:r>
    </w:p>
    <w:p>
      <w:pPr>
        <w:spacing w:after="0" w:line="132" w:lineRule="exact"/>
        <w:rPr>
          <w:rFonts w:ascii="Times New Roman" w:cs="Times New Roman" w:eastAsia="Times New Roman" w:hAnsi="Times New Roman"/>
          <w:sz w:val="17"/>
          <w:szCs w:val="17"/>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The Social pillar is focused on reinforcing our commitment to engage, develop and motivate our employees, and maintaining a rigorous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program to protect our valuable data.</w:t>
      </w:r>
    </w:p>
    <w:p>
      <w:pPr>
        <w:spacing w:after="0" w:line="156"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Governance pillar is focused on upholding our commitment to ethical business conduct, professional integrity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by integrating strong governance and enterprise risk management oversight across all aspects of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Inclusive Culture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consistently high levels of performance and of quality among our advisors, which best positions us to serve our clients and their growing advisory needs.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development platform from day one through our global internship program and early careers curriculum. We are committed to talent retention, and our goal is to develop our brightest and most ambitious junior professionals into successful partners. To this end, as of December 31, 2024, 25 of our 66 advisory partners and 37 of our 48 advisory managing directors were promoted internally.</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we had 691 employees.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Cybersecurity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systems in a number of ways through a</w:t>
      </w:r>
    </w:p>
    <w:p>
      <w:pPr>
        <w:jc w:val="both"/>
        <w:spacing w:after="0" w:line="214" w:lineRule="auto"/>
        <w:rPr>
          <w:sz w:val="20"/>
          <w:szCs w:val="20"/>
          <w:color w:val="auto"/>
        </w:rPr>
      </w:pPr>
      <w:r>
        <w:rPr>
          <w:rFonts w:ascii="Times New Roman" w:cs="Times New Roman" w:eastAsia="Times New Roman" w:hAnsi="Times New Roman"/>
          <w:sz w:val="18"/>
          <w:szCs w:val="18"/>
          <w:color w:val="auto"/>
        </w:rPr>
        <w:t>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maintain a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 maintain system</w:t>
      </w:r>
    </w:p>
    <w:p>
      <w:pPr>
        <w:jc w:val="both"/>
        <w:spacing w:after="0" w:line="222" w:lineRule="auto"/>
        <w:rPr>
          <w:sz w:val="20"/>
          <w:szCs w:val="20"/>
          <w:color w:val="auto"/>
        </w:rPr>
      </w:pPr>
      <w:r>
        <w:rPr>
          <w:rFonts w:ascii="Times New Roman" w:cs="Times New Roman" w:eastAsia="Times New Roman" w:hAnsi="Times New Roman"/>
          <w:sz w:val="18"/>
          <w:szCs w:val="18"/>
          <w:color w:val="auto"/>
        </w:rPr>
        <w:t>logs of user activities, exceptions, and security events for a period consistent with industry best practices unless otherwise required by law, regulation or contractual obligation.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employ rigorous measures to appropriately handle and protect sensitive and confidential data. We take precautionary measures to minimize, to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our ability to restore data in the event of data failure, corruption, accidental deletion, or malicious tampering.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the general partner of PWP</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OpCo, PWP GP, LLC (“PWP GP”). We operate and control all of the business and affairs of our advisory business, as run by PWP OpCo and its operating entity subsidiaries, indirectly through our equity interest in PWP GP.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 financial markets and with protecting the interests of clients participating in those markets.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(ii) engage in private placements of securities and investment banking mergers and acquisitions advisory services, (iii) conduct equity research and sales in the United States, is registered as a broker-dealer with, and is subject to</w:t>
      </w:r>
    </w:p>
    <w:p>
      <w:pPr>
        <w:jc w:val="both"/>
        <w:spacing w:after="0" w:line="214" w:lineRule="auto"/>
        <w:rPr>
          <w:sz w:val="20"/>
          <w:szCs w:val="20"/>
          <w:color w:val="auto"/>
        </w:rPr>
      </w:pPr>
      <w:r>
        <w:rPr>
          <w:rFonts w:ascii="Times New Roman" w:cs="Times New Roman" w:eastAsia="Times New Roman" w:hAnsi="Times New Roman"/>
          <w:sz w:val="18"/>
          <w:szCs w:val="18"/>
          <w:color w:val="auto"/>
        </w:rPr>
        <w:t>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State securities regulators also have regulatory or oversight authority over Perella Weinberg Partners LP.</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Broker-dealers are subject to regulations that cover all aspects of the securities business, including anti-money laundering, handling of material non-public information, safeguarding data, reporting, record retention, market access and the conduct and qualifications of its officers, directors, employees and other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 for certain withdrawals of capital. Any failure to comply with applicable broker-dealer rules or regulations could have a material adverse effect on the operation of our business, financial condition and operating results.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the regulation, we are subject to in the United States, we are also subject to regulation internationally. Perella Weinberg UK Limited (“PWP</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U.K.”) is authorized and regulated by the Financial Conduct Authority (“FCA”) as a Small Non-Interconnected investment firm. Perella Weinberg Partners France SAS (“PWP France”) is authorized and regulated by the Authorite de Controle Prudentiel (“ACPR”) and the Authorite des Marches Financiers (“AMF”) as a class 3 investment firm. Both PWP U.K. and PWP France are subject to regulations applicable to investment firms respectively in the U.K.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 France, including market abuse and insider dealing regulation, anti-money laundering, conflicts management, business conduct, regulatory reporting and minimum regulatory capital requirements. Tudor, Pickering, Holt &amp; Co. Securities - Canada, ULC (“TPH Canada”) is registered as an investment dealer with the provincial securities regulators in the Canadian provinces of Alberta, British Columbia, Manitoba, Ontario, Québec and Saskatchewan, with the Alberta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 business conduct, record keeping, individual registration and proficiency, governance, and examines the activities of, its member firms. Per CIRO’s rules, TPH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Canada is required to maintain certain minimum capital, with additional capital requirements when TPH Canada participates in deal financings outside of its carrying broker relationship.</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parts of our business are subject to compliance with laws and regulations of U.S. federal and state governments, non-U.S. governments, their</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 agencies and/or various self-regulatory organizations relating to, among other things, the privacy of client information, and any failure to comply with these regulations could expose us to liability and/or reputational damage.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comply with any laws, rules or regulations could result in administrative or court proceedings, censures, fines, penalties, judgments,</w:t>
      </w:r>
    </w:p>
    <w:p>
      <w:pPr>
        <w:jc w:val="both"/>
        <w:spacing w:after="0" w:line="216" w:lineRule="auto"/>
        <w:rPr>
          <w:sz w:val="20"/>
          <w:szCs w:val="20"/>
          <w:color w:val="auto"/>
        </w:rPr>
      </w:pPr>
      <w:r>
        <w:rPr>
          <w:rFonts w:ascii="Times New Roman" w:cs="Times New Roman" w:eastAsia="Times New Roman" w:hAnsi="Times New Roman"/>
          <w:sz w:val="17"/>
          <w:szCs w:val="17"/>
          <w:color w:val="auto"/>
        </w:rPr>
        <w:t>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Bank Secrecy Act (the “BSA”), as amended by the USA PATRIOT Act of 2001, the Anti-Money Laundering Act of 2021, and the Treasury</w:t>
      </w:r>
    </w:p>
    <w:p>
      <w:pPr>
        <w:jc w:val="both"/>
        <w:spacing w:after="0" w:line="216" w:lineRule="auto"/>
        <w:rPr>
          <w:sz w:val="20"/>
          <w:szCs w:val="20"/>
          <w:color w:val="auto"/>
        </w:rPr>
      </w:pPr>
      <w:r>
        <w:rPr>
          <w:rFonts w:ascii="Times New Roman" w:cs="Times New Roman" w:eastAsia="Times New Roman" w:hAnsi="Times New Roman"/>
          <w:sz w:val="17"/>
          <w:szCs w:val="17"/>
          <w:color w:val="auto"/>
        </w:rPr>
        <w:t>Department's and FINRA's implementing regulations require Perella Weinberg Partners LP, as a broker-dealer,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w:t>
      </w:r>
    </w:p>
    <w:p>
      <w:pPr>
        <w:jc w:val="both"/>
        <w:spacing w:after="0" w:line="216" w:lineRule="auto"/>
        <w:rPr>
          <w:sz w:val="20"/>
          <w:szCs w:val="20"/>
          <w:color w:val="auto"/>
        </w:rPr>
      </w:pPr>
      <w:r>
        <w:rPr>
          <w:rFonts w:ascii="Times New Roman" w:cs="Times New Roman" w:eastAsia="Times New Roman" w:hAnsi="Times New Roman"/>
          <w:sz w:val="17"/>
          <w:szCs w:val="17"/>
          <w:color w:val="auto"/>
        </w:rPr>
        <w:t>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Foreign Corrupt Practices Act (“FCPA”), the UK Bribery Act 2010 (the “UK Bribery Act”) and other applicable laws and regulations prohibit the</w:t>
      </w:r>
    </w:p>
    <w:p>
      <w:pPr>
        <w:jc w:val="both"/>
        <w:spacing w:after="0" w:line="204" w:lineRule="auto"/>
        <w:rPr>
          <w:sz w:val="20"/>
          <w:szCs w:val="20"/>
          <w:color w:val="auto"/>
        </w:rPr>
      </w:pPr>
      <w:r>
        <w:rPr>
          <w:rFonts w:ascii="Times New Roman" w:cs="Times New Roman" w:eastAsia="Times New Roman" w:hAnsi="Times New Roman"/>
          <w:sz w:val="18"/>
          <w:szCs w:val="18"/>
          <w:color w:val="auto"/>
        </w:rPr>
        <w:t>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can incur higher costs and face greater compliance risks in structuring and operating our businesses to comply with any of the foregoing regulatory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w:t>
      </w:r>
    </w:p>
    <w:p>
      <w:pPr>
        <w:jc w:val="both"/>
        <w:spacing w:after="0" w:line="215" w:lineRule="auto"/>
        <w:rPr>
          <w:sz w:val="20"/>
          <w:szCs w:val="20"/>
          <w:color w:val="auto"/>
        </w:rPr>
      </w:pPr>
      <w:r>
        <w:rPr>
          <w:rFonts w:ascii="Times New Roman" w:cs="Times New Roman" w:eastAsia="Times New Roman" w:hAnsi="Times New Roman"/>
          <w:sz w:val="17"/>
          <w:szCs w:val="17"/>
          <w:color w:val="auto"/>
        </w:rPr>
        <w:t>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below.</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w:t>
      </w:r>
    </w:p>
    <w:p>
      <w:pPr>
        <w:jc w:val="both"/>
        <w:spacing w:after="0" w:line="216" w:lineRule="auto"/>
        <w:rPr>
          <w:sz w:val="20"/>
          <w:szCs w:val="20"/>
          <w:color w:val="auto"/>
        </w:rPr>
      </w:pPr>
      <w:r>
        <w:rPr>
          <w:rFonts w:ascii="Times New Roman" w:cs="Times New Roman" w:eastAsia="Times New Roman" w:hAnsi="Times New Roman"/>
          <w:sz w:val="17"/>
          <w:szCs w:val="17"/>
          <w:color w:val="auto"/>
        </w:rPr>
        <w:t>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w:t>
      </w:r>
    </w:p>
    <w:p>
      <w:pPr>
        <w:spacing w:after="0" w:line="201" w:lineRule="auto"/>
        <w:rPr>
          <w:sz w:val="20"/>
          <w:szCs w:val="20"/>
          <w:color w:val="auto"/>
        </w:rPr>
      </w:pPr>
      <w:r>
        <w:rPr>
          <w:rFonts w:ascii="Times New Roman" w:cs="Times New Roman" w:eastAsia="Times New Roman" w:hAnsi="Times New Roman"/>
          <w:sz w:val="18"/>
          <w:szCs w:val="18"/>
          <w:color w:val="auto"/>
        </w:rPr>
        <w:t>adversely affect the size, volume, timing and ability of our clients to successfully complete M&amp;A transactions and adversely affect our advisory business.</w:t>
      </w:r>
    </w:p>
    <w:p>
      <w:pPr>
        <w:spacing w:after="0"/>
        <w:rPr>
          <w:sz w:val="20"/>
          <w:szCs w:val="20"/>
          <w:color w:val="auto"/>
        </w:rPr>
      </w:pPr>
      <w:r>
        <w:rPr>
          <w:rFonts w:ascii="Times New Roman" w:cs="Times New Roman" w:eastAsia="Times New Roman" w:hAnsi="Times New Roman"/>
          <w:sz w:val="18"/>
          <w:szCs w:val="18"/>
          <w:color w:val="auto"/>
        </w:rPr>
        <w:t>Market volatility also affects our clients’ ability and willingness to engage in stock-for-stock transactions.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market and economic conditions can also impact other aspects of our business in different ways. For example, our profitability may be</w:t>
      </w:r>
    </w:p>
    <w:p>
      <w:pPr>
        <w:jc w:val="both"/>
        <w:spacing w:after="0" w:line="204" w:lineRule="auto"/>
        <w:rPr>
          <w:sz w:val="20"/>
          <w:szCs w:val="20"/>
          <w:color w:val="auto"/>
        </w:rPr>
      </w:pPr>
      <w:r>
        <w:rPr>
          <w:rFonts w:ascii="Times New Roman" w:cs="Times New Roman" w:eastAsia="Times New Roman" w:hAnsi="Times New Roman"/>
          <w:sz w:val="18"/>
          <w:szCs w:val="18"/>
          <w:color w:val="auto"/>
        </w:rPr>
        <w:t>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growth initiatives, business strategies or operating plans.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executing on a number of growth initiatives, strategies and operating plans designed to enhance our business. The anticipated benefits from these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5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will depend on, among other things, our ability to successfully identify, recruit, develop and retain talent and will require us to commit additional resources.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development aimed at developing this new talent. If we are unable to recruit and develop such professionals, we will not be able to implement our growth strategy and gain benefits related to scale, and our financial results could be materially adversely affected.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w:t>
      </w:r>
    </w:p>
    <w:p>
      <w:pPr>
        <w:jc w:val="both"/>
        <w:spacing w:after="0" w:line="222" w:lineRule="auto"/>
        <w:rPr>
          <w:sz w:val="20"/>
          <w:szCs w:val="20"/>
          <w:color w:val="auto"/>
        </w:rPr>
      </w:pPr>
      <w:r>
        <w:rPr>
          <w:rFonts w:ascii="Times New Roman" w:cs="Times New Roman" w:eastAsia="Times New Roman" w:hAnsi="Times New Roman"/>
          <w:sz w:val="18"/>
          <w:szCs w:val="18"/>
          <w:color w:val="auto"/>
        </w:rPr>
        <w:t>before they become profitable. There can be no assurance that we will be able to manage our expanding operations effectively, and any failure to do so could materially adversely affect our ability to grow revenue and control our expenses.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Furthermore, we have grown, and in the future we may continue to grow, by strategic investment or acquisition, which would expose us to numerous risks</w:t>
      </w:r>
    </w:p>
    <w:p>
      <w:pPr>
        <w:spacing w:after="0" w:line="1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w:t>
      </w:r>
    </w:p>
    <w:p>
      <w:pPr>
        <w:jc w:val="both"/>
        <w:spacing w:after="0" w:line="216" w:lineRule="auto"/>
        <w:rPr>
          <w:sz w:val="20"/>
          <w:szCs w:val="20"/>
          <w:color w:val="auto"/>
        </w:rPr>
      </w:pPr>
      <w:r>
        <w:rPr>
          <w:rFonts w:ascii="Times New Roman" w:cs="Times New Roman" w:eastAsia="Times New Roman" w:hAnsi="Times New Roman"/>
          <w:sz w:val="17"/>
          <w:szCs w:val="17"/>
          <w:color w:val="auto"/>
        </w:rPr>
        <w:t>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w:t>
      </w:r>
    </w:p>
    <w:p>
      <w:pPr>
        <w:jc w:val="both"/>
        <w:spacing w:after="0" w:line="222" w:lineRule="auto"/>
        <w:rPr>
          <w:sz w:val="20"/>
          <w:szCs w:val="20"/>
          <w:color w:val="auto"/>
        </w:rPr>
      </w:pPr>
      <w:r>
        <w:rPr>
          <w:rFonts w:ascii="Times New Roman" w:cs="Times New Roman" w:eastAsia="Times New Roman" w:hAnsi="Times New Roman"/>
          <w:sz w:val="18"/>
          <w:szCs w:val="18"/>
          <w:color w:val="auto"/>
        </w:rPr>
        <w:t>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46"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internal promotions, we may grow our business through strategic transactions, including joint ventures, strategic investments or acquisitions.</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w:t>
      </w:r>
    </w:p>
    <w:p>
      <w:pPr>
        <w:jc w:val="both"/>
        <w:spacing w:after="0" w:line="216" w:lineRule="auto"/>
        <w:rPr>
          <w:sz w:val="20"/>
          <w:szCs w:val="20"/>
          <w:color w:val="auto"/>
        </w:rPr>
      </w:pPr>
      <w:r>
        <w:rPr>
          <w:rFonts w:ascii="Times New Roman" w:cs="Times New Roman" w:eastAsia="Times New Roman" w:hAnsi="Times New Roman"/>
          <w:sz w:val="17"/>
          <w:szCs w:val="17"/>
          <w:color w:val="auto"/>
        </w:rPr>
        <w:t>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revenue in any given period is dependent on the number of fee-paying clients in such period. For the year ended December 31, 2024, we earned revenues from 221 advisory clients, 141 of which generated fees equal to or greater than $1.0 million. For the year ended December 31, 2023 we earned</w:t>
      </w:r>
    </w:p>
    <w:p>
      <w:pPr>
        <w:jc w:val="both"/>
        <w:spacing w:after="0" w:line="216" w:lineRule="auto"/>
        <w:rPr>
          <w:sz w:val="20"/>
          <w:szCs w:val="20"/>
          <w:color w:val="auto"/>
        </w:rPr>
      </w:pPr>
      <w:r>
        <w:rPr>
          <w:rFonts w:ascii="Times New Roman" w:cs="Times New Roman" w:eastAsia="Times New Roman" w:hAnsi="Times New Roman"/>
          <w:sz w:val="17"/>
          <w:szCs w:val="17"/>
          <w:color w:val="auto"/>
        </w:rPr>
        <w:t>revenues from 202 advisory clients, 123 of which generated fees equal to or greater than $1.0 million. For the year ended December 31, 2022, we earned revenues from 200 advisory clients, 127 of which generated fees equal to or greater than $1.0 million. We may lose clients as a result of the sale or merger of a client, a change in a client's senior management, competition from other financial advisors and financial institutions and other causes. A significant reduction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 the number of fee-paying clients in any given period could reduce our revenue and adversely affect our operating results for such period. There was one individual client that accounted for more than 10% of aggregate revenues for the year ended December 31, 2024, while no individual client accounted for more than 10% of aggregate revenues for the years ended December 31, 2023 and 2022.</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affected by the loss of a relatively small number of mandates or the failure of a relatively small number of assignments to be completed.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operating losses in the past and may experience operating losses in the future.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2024, 2023, and 2022, we recorded operating losses of $78.5 million, $115.1 million, and $47.7 million, respectively.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These operating losses were largely due to the amortization of the Professional Partners Awards, which were fully amortized in 2024, and the amortization of equity-based compensation awards granted in connection with the Business Combination. These awards have been and will be recorded as equity-based compensation expense at PWP OpCo pursuant to U.S. GAAP. We need to continue to compensate personnel competitively in order to continue building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as a result, we may again experience operating losses in future periods.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w:t>
      </w:r>
    </w:p>
    <w:p>
      <w:pPr>
        <w:jc w:val="both"/>
        <w:spacing w:after="0" w:line="216" w:lineRule="auto"/>
        <w:rPr>
          <w:sz w:val="20"/>
          <w:szCs w:val="20"/>
          <w:color w:val="auto"/>
        </w:rPr>
      </w:pPr>
      <w:r>
        <w:rPr>
          <w:rFonts w:ascii="Times New Roman" w:cs="Times New Roman" w:eastAsia="Times New Roman" w:hAnsi="Times New Roman"/>
          <w:sz w:val="17"/>
          <w:szCs w:val="17"/>
          <w:color w:val="auto"/>
        </w:rPr>
        <w:t>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one quarter will not necessarily be predictive of continued high levels of revenue in future periods.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Because in many cases revenue is not recognized until the successful consummation of the underlying transaction, our revenue is highly dependent on market conditions and the decisions and actions of our clients, interested third parties and governmental authorities. For example, we may be engaged by a</w:t>
      </w:r>
    </w:p>
    <w:p>
      <w:pPr>
        <w:jc w:val="both"/>
        <w:spacing w:after="0" w:line="216" w:lineRule="auto"/>
        <w:rPr>
          <w:sz w:val="20"/>
          <w:szCs w:val="20"/>
          <w:color w:val="auto"/>
        </w:rPr>
      </w:pPr>
      <w:r>
        <w:rPr>
          <w:rFonts w:ascii="Times New Roman" w:cs="Times New Roman" w:eastAsia="Times New Roman" w:hAnsi="Times New Roman"/>
          <w:sz w:val="17"/>
          <w:szCs w:val="17"/>
          <w:color w:val="auto"/>
        </w:rPr>
        <w:t>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its operations or indebtedness due to a failure to reach an agreement with its principal creditors or the court. In such circumstances, we often do not receive advisory fees, despite having devoted considerable resources to these transactions.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our engagements are often singular in nature and do not provide for subsequent engagements, which could cause our revenues to fluctuate</w:t>
      </w:r>
    </w:p>
    <w:p>
      <w:pPr>
        <w:jc w:val="both"/>
        <w:spacing w:after="0" w:line="214" w:lineRule="auto"/>
        <w:rPr>
          <w:sz w:val="20"/>
          <w:szCs w:val="20"/>
          <w:color w:val="auto"/>
        </w:rPr>
      </w:pPr>
      <w:r>
        <w:rPr>
          <w:rFonts w:ascii="Times New Roman" w:cs="Times New Roman" w:eastAsia="Times New Roman" w:hAnsi="Times New Roman"/>
          <w:sz w:val="18"/>
          <w:szCs w:val="18"/>
          <w:color w:val="auto"/>
        </w:rPr>
        <w:t>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68" w:lineRule="exact"/>
        <w:rPr>
          <w:sz w:val="20"/>
          <w:szCs w:val="20"/>
          <w:color w:val="auto"/>
        </w:rPr>
      </w:pPr>
    </w:p>
    <w:p>
      <w:pPr>
        <w:jc w:val="both"/>
        <w:ind w:firstLine="318"/>
        <w:spacing w:after="0" w:line="216" w:lineRule="auto"/>
        <w:rPr>
          <w:sz w:val="20"/>
          <w:szCs w:val="20"/>
          <w:color w:val="auto"/>
        </w:rPr>
      </w:pPr>
      <w:r>
        <w:rPr>
          <w:rFonts w:ascii="Times New Roman" w:cs="Times New Roman" w:eastAsia="Times New Roman" w:hAnsi="Times New Roman"/>
          <w:sz w:val="18"/>
          <w:szCs w:val="18"/>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 owed to us.</w:t>
      </w:r>
    </w:p>
    <w:p>
      <w:pPr>
        <w:spacing w:after="0" w:line="165"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bankruptcies or other factors affecting demand for our recapitalization and restructuring advisory services declines, our business related to such services could suffer.</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provide various financial recapitalization and restructuring and related advice to companies in financial distress or to their creditors or other</w:t>
      </w:r>
    </w:p>
    <w:p>
      <w:pPr>
        <w:jc w:val="both"/>
        <w:spacing w:after="0" w:line="216" w:lineRule="auto"/>
        <w:rPr>
          <w:sz w:val="20"/>
          <w:szCs w:val="20"/>
          <w:color w:val="auto"/>
        </w:rPr>
      </w:pPr>
      <w:r>
        <w:rPr>
          <w:rFonts w:ascii="Times New Roman" w:cs="Times New Roman" w:eastAsia="Times New Roman" w:hAnsi="Times New Roman"/>
          <w:sz w:val="17"/>
          <w:szCs w:val="17"/>
          <w:color w:val="auto"/>
        </w:rPr>
        <w:t>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authority to disallow or discount our fees in certain circumstances, including after payment of our fees. If the number of debt defaults, bankruptcies or other factors affecting demand for our advisory services related to recapitalization and restructuring activity declines, our business could be adversely affected.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 manage such conflicts of interest. If we fail, or appear to fail, to timely identify or appropriately manage one or more potential or actual conflicts of interest,</w:t>
      </w:r>
    </w:p>
    <w:p>
      <w:pPr>
        <w:jc w:val="both"/>
        <w:spacing w:after="0" w:line="214" w:lineRule="auto"/>
        <w:rPr>
          <w:sz w:val="20"/>
          <w:szCs w:val="20"/>
          <w:color w:val="auto"/>
        </w:rPr>
      </w:pPr>
      <w:r>
        <w:rPr>
          <w:rFonts w:ascii="Times New Roman" w:cs="Times New Roman" w:eastAsia="Times New Roman" w:hAnsi="Times New Roman"/>
          <w:sz w:val="18"/>
          <w:szCs w:val="18"/>
          <w:color w:val="auto"/>
        </w:rPr>
        <w:t>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w:t>
      </w:r>
    </w:p>
    <w:p>
      <w:pPr>
        <w:spacing w:after="0"/>
        <w:rPr>
          <w:sz w:val="20"/>
          <w:szCs w:val="20"/>
          <w:color w:val="auto"/>
        </w:rPr>
      </w:pPr>
      <w:r>
        <w:rPr>
          <w:rFonts w:ascii="Times New Roman" w:cs="Times New Roman" w:eastAsia="Times New Roman" w:hAnsi="Times New Roman"/>
          <w:sz w:val="18"/>
          <w:szCs w:val="18"/>
          <w:color w:val="auto"/>
        </w:rPr>
        <w:t>businesses that they may manage or otherwise be involved with.</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may implement or may be required to implement additional policies, controls and procedures to address additional regulatory requirements, including as a result of additional foreign jurisdictions in which we operate, or to mitigate actual or potential conflicts of interest, which could limit our activities, result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increased costs, including for additional personnel and infrastructure and information technology improvements, or reduce the positive synergies that we seek to cultivate across our businesses.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U.S. Department of Justice and the SEC continue to devote significant resources to the enforcement of the FCPA. In addition, the U.K. and other</w:t>
      </w:r>
    </w:p>
    <w:p>
      <w:pPr>
        <w:jc w:val="both"/>
        <w:spacing w:after="0" w:line="215" w:lineRule="auto"/>
        <w:rPr>
          <w:sz w:val="20"/>
          <w:szCs w:val="20"/>
          <w:color w:val="auto"/>
        </w:rPr>
      </w:pPr>
      <w:r>
        <w:rPr>
          <w:rFonts w:ascii="Times New Roman" w:cs="Times New Roman" w:eastAsia="Times New Roman" w:hAnsi="Times New Roman"/>
          <w:sz w:val="17"/>
          <w:szCs w:val="17"/>
          <w:color w:val="auto"/>
        </w:rPr>
        <w:t>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and/or a general loss of client or investor confidence, any one of which could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advisory service firm, we depend to a large extent on our relationships with our clients and reputation for integrity and high caliber professional</w:t>
      </w:r>
    </w:p>
    <w:p>
      <w:pPr>
        <w:jc w:val="both"/>
        <w:spacing w:after="0" w:line="216" w:lineRule="auto"/>
        <w:rPr>
          <w:sz w:val="20"/>
          <w:szCs w:val="20"/>
          <w:color w:val="auto"/>
        </w:rPr>
      </w:pPr>
      <w:r>
        <w:rPr>
          <w:rFonts w:ascii="Times New Roman" w:cs="Times New Roman" w:eastAsia="Times New Roman" w:hAnsi="Times New Roman"/>
          <w:sz w:val="17"/>
          <w:szCs w:val="17"/>
          <w:color w:val="auto"/>
        </w:rPr>
        <w:t>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substantially more difficult for us to attract new engagements and clients or retain existing clients. As a result, if a client is not satisfied with our services, it may be more damaging in our field of business than in other business fields.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w:t>
      </w:r>
    </w:p>
    <w:p>
      <w:pPr>
        <w:spacing w:after="0"/>
        <w:rPr>
          <w:sz w:val="20"/>
          <w:szCs w:val="20"/>
          <w:color w:val="auto"/>
        </w:rPr>
      </w:pPr>
      <w:r>
        <w:rPr>
          <w:rFonts w:ascii="Times New Roman" w:cs="Times New Roman" w:eastAsia="Times New Roman" w:hAnsi="Times New Roman"/>
          <w:sz w:val="18"/>
          <w:szCs w:val="18"/>
          <w:color w:val="auto"/>
        </w:rPr>
        <w:t>inadvertent disclosures.</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materially adversely affect our revenue and profitability.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competitors include large financial institutions, many of which have far greater financial and other resources than we do. Unlike us, these large</w:t>
      </w:r>
    </w:p>
    <w:p>
      <w:pPr>
        <w:jc w:val="both"/>
        <w:spacing w:after="0" w:line="216" w:lineRule="auto"/>
        <w:rPr>
          <w:sz w:val="20"/>
          <w:szCs w:val="20"/>
          <w:color w:val="auto"/>
        </w:rPr>
      </w:pPr>
      <w:r>
        <w:rPr>
          <w:rFonts w:ascii="Times New Roman" w:cs="Times New Roman" w:eastAsia="Times New Roman" w:hAnsi="Times New Roman"/>
          <w:sz w:val="17"/>
          <w:szCs w:val="17"/>
          <w:color w:val="auto"/>
        </w:rPr>
        <w:t>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 loss of opportunities, which could materially adversely affect our revenue and profitability. These larger and better capitalized competitors may also be better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respond to changes in the financial services industry.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 and earnings.</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If we are unable to compete successfully with our existing competitors or with any new competitors, we will not be able to implement our growth strategy, which ultimately could materially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member of the financial services industry, we face substantial litigation risks.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is subject to various U.S. and international laws and regulations that could lead to enforcement actions, fines, civil or criminal penalties or</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adverse impact on our financial condition or results of operations.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we act as an underwriter in public offerings and other distributions of securities. Therefore, we are subject to risks associated with</w:t>
      </w:r>
    </w:p>
    <w:p>
      <w:pPr>
        <w:jc w:val="both"/>
        <w:spacing w:after="0" w:line="214" w:lineRule="auto"/>
        <w:rPr>
          <w:sz w:val="20"/>
          <w:szCs w:val="20"/>
          <w:color w:val="auto"/>
        </w:rPr>
      </w:pPr>
      <w:r>
        <w:rPr>
          <w:rFonts w:ascii="Times New Roman" w:cs="Times New Roman" w:eastAsia="Times New Roman" w:hAnsi="Times New Roman"/>
          <w:sz w:val="18"/>
          <w:szCs w:val="18"/>
          <w:color w:val="auto"/>
        </w:rPr>
        <w:t>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w:t>
      </w: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and other operational risks.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w:t>
      </w:r>
    </w:p>
    <w:p>
      <w:pPr>
        <w:jc w:val="both"/>
        <w:spacing w:after="0" w:line="204" w:lineRule="auto"/>
        <w:rPr>
          <w:sz w:val="20"/>
          <w:szCs w:val="20"/>
          <w:color w:val="auto"/>
        </w:rPr>
      </w:pPr>
      <w:r>
        <w:rPr>
          <w:rFonts w:ascii="Times New Roman" w:cs="Times New Roman" w:eastAsia="Times New Roman" w:hAnsi="Times New Roman"/>
          <w:sz w:val="18"/>
          <w:szCs w:val="18"/>
          <w:color w:val="auto"/>
        </w:rPr>
        <w:t>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could impair our operations, affect our reputation and adversely affect our business.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w:t>
      </w:r>
    </w:p>
    <w:p>
      <w:pPr>
        <w:jc w:val="both"/>
        <w:spacing w:after="0" w:line="215" w:lineRule="auto"/>
        <w:rPr>
          <w:sz w:val="20"/>
          <w:szCs w:val="20"/>
          <w:color w:val="auto"/>
        </w:rPr>
      </w:pPr>
      <w:r>
        <w:rPr>
          <w:rFonts w:ascii="Times New Roman" w:cs="Times New Roman" w:eastAsia="Times New Roman" w:hAnsi="Times New Roman"/>
          <w:sz w:val="17"/>
          <w:szCs w:val="17"/>
          <w:color w:val="auto"/>
        </w:rPr>
        <w:t>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actions, reputational harm or legal liability.</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certain risks, which may affect our revenue.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2024, 2023, and 2022, we earned approximately 14.2%, 18.2%, and 24.3%, respectively, of our revenues from our</w:t>
      </w:r>
    </w:p>
    <w:p>
      <w:pPr>
        <w:jc w:val="both"/>
        <w:spacing w:after="0" w:line="216" w:lineRule="auto"/>
        <w:rPr>
          <w:sz w:val="20"/>
          <w:szCs w:val="20"/>
          <w:color w:val="auto"/>
        </w:rPr>
      </w:pPr>
      <w:r>
        <w:rPr>
          <w:rFonts w:ascii="Times New Roman" w:cs="Times New Roman" w:eastAsia="Times New Roman" w:hAnsi="Times New Roman"/>
          <w:sz w:val="17"/>
          <w:szCs w:val="17"/>
          <w:color w:val="auto"/>
        </w:rPr>
        <w:t>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 greater difficulties in managing and staffing foreign operations; language barriers and cultural differences, including the need to adopt different business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 local labor conditions and regulations; adverse consequences or restrictions on the repatriation of earnings; potentially adverse tax consequences, such as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as part of our day-to-day operations outside the United States, we are required to create compensation programs, employment policies,</w:t>
      </w:r>
    </w:p>
    <w:p>
      <w:pPr>
        <w:jc w:val="both"/>
        <w:spacing w:after="0" w:line="222" w:lineRule="auto"/>
        <w:rPr>
          <w:sz w:val="20"/>
          <w:szCs w:val="20"/>
          <w:color w:val="auto"/>
        </w:rPr>
      </w:pPr>
      <w:r>
        <w:rPr>
          <w:rFonts w:ascii="Times New Roman" w:cs="Times New Roman" w:eastAsia="Times New Roman" w:hAnsi="Times New Roman"/>
          <w:sz w:val="18"/>
          <w:szCs w:val="18"/>
          <w:color w:val="auto"/>
        </w:rPr>
        <w:t>compliance policies and procedures and other administrative programs that comply with the laws of multiple countries. We also must communicate and monitor standards and directives across our geographically dispersed operations.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payment of distributions, loans or advances to and from our subsidiaries could be subject to restrictions on or taxation of, dividends or repatriation of</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international operations.</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 materialization of these risks could have a more pronounced effect on our operating results or growth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currently generate substantially all of our revenue from advisory engagements. However, we may grow our business by entering into new lines of business. Moreover, we currently derive a small portion of revenue through equity research and underwriting services. To the extent we enter into new lines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diversion of management’s time and attention and the loss of clients due to the perception that we are no longer focusing on our business.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 to broken deals. In addition, there can be no assurances that such investments will be successful or that we will not lose the entire amount of our investment.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entry into certain new lines of business may subject us to new laws and regulations with which we are not familiar, or from which we are</w:t>
      </w:r>
    </w:p>
    <w:p>
      <w:pPr>
        <w:jc w:val="both"/>
        <w:spacing w:after="0" w:line="211" w:lineRule="auto"/>
        <w:rPr>
          <w:sz w:val="20"/>
          <w:szCs w:val="20"/>
          <w:color w:val="auto"/>
        </w:rPr>
      </w:pPr>
      <w:r>
        <w:rPr>
          <w:rFonts w:ascii="Times New Roman" w:cs="Times New Roman" w:eastAsia="Times New Roman" w:hAnsi="Times New Roman"/>
          <w:sz w:val="18"/>
          <w:szCs w:val="18"/>
          <w:color w:val="auto"/>
        </w:rPr>
        <w:t>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could be materially adversely affected.</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Because our financial statements are denominated in U.S. dollars and we receive a portion of our revenue in other currencies (including the Euro, pound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sterling and Canadian dollars), we are exposed to fluctuations in foreign currencies. During the years ended December 31, 2024, 2023, and 2022, 11.8%, 16.9%, and 19.2%,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foreign subsidiaries exposes 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have access to a revolving credit facility (the “Revolving Credit Facility”) through an amended and restated credit agreement with Cadence Bank, dated December 11, 2018 (as amended on December 11, 2018, November 11, 2020, December 28, 2020, June 15, 2021, June 30, 2023, and January 24, 2025, the “Credit Agreement”), which provides for a $50.0 million unsecured revolving credit facility that matures on July 1, 2028, and contains a number of</w:t>
      </w:r>
    </w:p>
    <w:p>
      <w:pPr>
        <w:jc w:val="both"/>
        <w:spacing w:after="0" w:line="204" w:lineRule="auto"/>
        <w:rPr>
          <w:sz w:val="20"/>
          <w:szCs w:val="20"/>
          <w:color w:val="auto"/>
        </w:rPr>
      </w:pPr>
      <w:r>
        <w:rPr>
          <w:rFonts w:ascii="Times New Roman" w:cs="Times New Roman" w:eastAsia="Times New Roman" w:hAnsi="Times New Roman"/>
          <w:sz w:val="18"/>
          <w:szCs w:val="18"/>
          <w:color w:val="auto"/>
        </w:rPr>
        <w:t>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subsidiaries and affiliates.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Revolving Credit Facility (or any replacement credit facility) to be terminated; and declare all outstanding debt, accrued interest and fees to be due and immediately payable.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any indebtedness.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w:t>
      </w:r>
    </w:p>
    <w:p>
      <w:pPr>
        <w:jc w:val="both"/>
        <w:spacing w:after="0" w:line="216" w:lineRule="auto"/>
        <w:rPr>
          <w:sz w:val="20"/>
          <w:szCs w:val="20"/>
          <w:color w:val="auto"/>
        </w:rPr>
      </w:pPr>
      <w:r>
        <w:rPr>
          <w:rFonts w:ascii="Times New Roman" w:cs="Times New Roman" w:eastAsia="Times New Roman" w:hAnsi="Times New Roman"/>
          <w:sz w:val="17"/>
          <w:szCs w:val="17"/>
          <w:color w:val="auto"/>
        </w:rPr>
        <w:t>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attention.</w:t>
      </w:r>
    </w:p>
    <w:p>
      <w:pPr>
        <w:spacing w:after="0" w:line="15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 the Consolidated Statements of Financial Condition.</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w:t>
      </w:r>
    </w:p>
    <w:p>
      <w:pPr>
        <w:jc w:val="both"/>
        <w:spacing w:after="0" w:line="204" w:lineRule="auto"/>
        <w:rPr>
          <w:sz w:val="20"/>
          <w:szCs w:val="20"/>
          <w:color w:val="auto"/>
        </w:rPr>
      </w:pPr>
      <w:r>
        <w:rPr>
          <w:rFonts w:ascii="Times New Roman" w:cs="Times New Roman" w:eastAsia="Times New Roman" w:hAnsi="Times New Roman"/>
          <w:sz w:val="18"/>
          <w:szCs w:val="18"/>
          <w:color w:val="auto"/>
        </w:rPr>
        <w:t>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participant in the financial services industry, we are subject to extensive regulation in the United States and internationally, including regulatory capital and other requirements imposed on our SEC-registered broker-dealer, Perella Weinberg Partners LP. We are subject to regulatory restrictions and</w:t>
      </w:r>
    </w:p>
    <w:p>
      <w:pPr>
        <w:jc w:val="both"/>
        <w:spacing w:after="0" w:line="216" w:lineRule="auto"/>
        <w:rPr>
          <w:sz w:val="20"/>
          <w:szCs w:val="20"/>
          <w:color w:val="auto"/>
        </w:rPr>
      </w:pPr>
      <w:r>
        <w:rPr>
          <w:rFonts w:ascii="Times New Roman" w:cs="Times New Roman" w:eastAsia="Times New Roman" w:hAnsi="Times New Roman"/>
          <w:sz w:val="17"/>
          <w:szCs w:val="17"/>
          <w:color w:val="auto"/>
        </w:rPr>
        <w:t>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cease-and-desist orders or the suspension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expulsion of a broker-dealer from registration or membership.</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w:t>
      </w:r>
    </w:p>
    <w:p>
      <w:pPr>
        <w:jc w:val="both"/>
        <w:spacing w:after="0" w:line="204" w:lineRule="auto"/>
        <w:rPr>
          <w:sz w:val="20"/>
          <w:szCs w:val="20"/>
          <w:color w:val="auto"/>
        </w:rPr>
      </w:pPr>
      <w:r>
        <w:rPr>
          <w:rFonts w:ascii="Times New Roman" w:cs="Times New Roman" w:eastAsia="Times New Roman" w:hAnsi="Times New Roman"/>
          <w:sz w:val="18"/>
          <w:szCs w:val="18"/>
          <w:color w:val="auto"/>
        </w:rPr>
        <w:t>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w:t>
      </w:r>
    </w:p>
    <w:p>
      <w:pPr>
        <w:jc w:val="both"/>
        <w:spacing w:after="0" w:line="214" w:lineRule="auto"/>
        <w:rPr>
          <w:sz w:val="20"/>
          <w:szCs w:val="20"/>
          <w:color w:val="auto"/>
        </w:rPr>
      </w:pPr>
      <w:r>
        <w:rPr>
          <w:rFonts w:ascii="Times New Roman" w:cs="Times New Roman" w:eastAsia="Times New Roman" w:hAnsi="Times New Roman"/>
          <w:sz w:val="18"/>
          <w:szCs w:val="18"/>
          <w:color w:val="auto"/>
        </w:rPr>
        <w:t>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timing or the outcome of any such examinations.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Since we operate our business both in the United States and internationally, we are subject to many distinct broker dealer, employment, labor, benefits and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 2018. As we engage in significant business in Europe and in the U.K., we are subject to the GDPR's requirements. If we are required to comply with new</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and/or the purchase of services from local businesses or favoring or requiring local ownership.</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partnership interests in PWP OpCo and our equity interest in the general partner of PWP OpCo, PWP GP, and we are</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accordingly dependent upon distributions from PWP OpCo to pay dividends, taxes, make payments under the TRA (as defined below) and pay other expenses.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PWP GP, the general partner</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 Professional Partners' indemnification claims with respect to the advisory business and dividends, if any, declared by us.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w:t>
      </w:r>
    </w:p>
    <w:p>
      <w:pPr>
        <w:spacing w:after="0"/>
        <w:rPr>
          <w:sz w:val="20"/>
          <w:szCs w:val="20"/>
          <w:color w:val="auto"/>
        </w:rPr>
      </w:pPr>
      <w:r>
        <w:rPr>
          <w:rFonts w:ascii="Times New Roman" w:cs="Times New Roman" w:eastAsia="Times New Roman" w:hAnsi="Times New Roman"/>
          <w:sz w:val="18"/>
          <w:szCs w:val="18"/>
          <w:color w:val="auto"/>
        </w:rPr>
        <w:t>regulatory capital requirements that limit the distributions that may be made by those subsidiaries.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materially adversely affected.</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exchanges of PWP OpCo Class A partnership units for cash or our Class A common stock. In certain circumstances, payments under the TRA (as defined herein) may be accelerated and/or significantly exceed the actual tax benefits we realize.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acquisition of PWP OpCo Class A partnership units in connection with the Business Combination or pursuant to future exchanges of PWP OpCo</w:t>
      </w:r>
    </w:p>
    <w:p>
      <w:pPr>
        <w:jc w:val="both"/>
        <w:spacing w:after="0" w:line="216" w:lineRule="auto"/>
        <w:rPr>
          <w:sz w:val="20"/>
          <w:szCs w:val="20"/>
          <w:color w:val="auto"/>
        </w:rPr>
      </w:pPr>
      <w:r>
        <w:rPr>
          <w:rFonts w:ascii="Times New Roman" w:cs="Times New Roman" w:eastAsia="Times New Roman" w:hAnsi="Times New Roman"/>
          <w:sz w:val="17"/>
          <w:szCs w:val="17"/>
          <w:color w:val="auto"/>
        </w:rPr>
        <w:t>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tax receivable agreement (the “TRA” or “Tax Receivable Agreement”) generally provides for payment by us to Investor Limited Partners (the “ILPs”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interests in PWP OpCo, during the expected term of the TRA, the payments that we may make under the TRA could be substantial.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factors, as discussed above, including the timing and amount of our future income.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w:t>
      </w:r>
    </w:p>
    <w:p>
      <w:pPr>
        <w:jc w:val="both"/>
        <w:spacing w:after="0" w:line="216" w:lineRule="auto"/>
        <w:rPr>
          <w:sz w:val="20"/>
          <w:szCs w:val="20"/>
          <w:color w:val="auto"/>
        </w:rPr>
      </w:pPr>
      <w:r>
        <w:rPr>
          <w:rFonts w:ascii="Times New Roman" w:cs="Times New Roman" w:eastAsia="Times New Roman" w:hAnsi="Times New Roman"/>
          <w:sz w:val="17"/>
          <w:szCs w:val="17"/>
          <w:color w:val="auto"/>
        </w:rPr>
        <w:t>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possible, in the case of a change of control, early termination, or material breach, that the actual cash tax savings realized by us may be significantly less than the corresponding TRA payments.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may make distributions of cash to us substantially in excess of the amounts we use to make distributions to our shareholders and to pay our</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w:t>
      </w:r>
    </w:p>
    <w:p>
      <w:pPr>
        <w:jc w:val="both"/>
        <w:spacing w:after="0" w:line="235" w:lineRule="auto"/>
        <w:rPr>
          <w:sz w:val="20"/>
          <w:szCs w:val="20"/>
          <w:color w:val="auto"/>
        </w:rPr>
      </w:pPr>
      <w:r>
        <w:rPr>
          <w:rFonts w:ascii="Times New Roman" w:cs="Times New Roman" w:eastAsia="Times New Roman" w:hAnsi="Times New Roman"/>
          <w:sz w:val="17"/>
          <w:szCs w:val="17"/>
          <w:color w:val="auto"/>
        </w:rPr>
        <w:t>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we accumulate cash received as distributions from PWP OpCo in excess of the amounts that we need to pay any cash dividends declared by our board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“PWP OpCo Units”). The holders of PWP OpCo Units may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67" w:lineRule="exact"/>
        <w:rPr>
          <w:sz w:val="20"/>
          <w:szCs w:val="20"/>
          <w:color w:val="auto"/>
        </w:rPr>
      </w:pPr>
    </w:p>
    <w:p>
      <w:pPr>
        <w:ind w:right="120" w:firstLine="318"/>
        <w:spacing w:after="0" w:line="225" w:lineRule="auto"/>
        <w:rPr>
          <w:sz w:val="20"/>
          <w:szCs w:val="20"/>
          <w:color w:val="auto"/>
        </w:rPr>
      </w:pPr>
      <w:r>
        <w:rPr>
          <w:rFonts w:ascii="Times New Roman" w:cs="Times New Roman" w:eastAsia="Times New Roman" w:hAnsi="Times New Roman"/>
          <w:sz w:val="17"/>
          <w:szCs w:val="17"/>
          <w:color w:val="auto"/>
        </w:rPr>
        <w:t>The master separation agreement that we entered into with PWP Capital, which holds the former asset management business of PWP OpCo prior to the separation of our advisory business from the asset management business of PWP OpCo in February 2019 (the “PWP Separation”), provides, among other things, that PWP Capital generally will indemnify us for losses that we incur relating to, arising out of or resulting from the business of PWP Capital and any</w:t>
      </w:r>
    </w:p>
    <w:p>
      <w:pPr>
        <w:ind w:right="140"/>
        <w:spacing w:after="0" w:line="216" w:lineRule="auto"/>
        <w:rPr>
          <w:sz w:val="20"/>
          <w:szCs w:val="20"/>
          <w:color w:val="auto"/>
        </w:rPr>
      </w:pPr>
      <w:r>
        <w:rPr>
          <w:rFonts w:ascii="Times New Roman" w:cs="Times New Roman" w:eastAsia="Times New Roman" w:hAnsi="Times New Roman"/>
          <w:sz w:val="17"/>
          <w:szCs w:val="17"/>
          <w:color w:val="auto"/>
        </w:rPr>
        <w:t>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w:t>
      </w:r>
    </w:p>
    <w:p>
      <w:pPr>
        <w:spacing w:after="0" w:line="2"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could prevent us from benefiting from corporate opportunities that might have otherwise been available to us.</w:t>
      </w:r>
    </w:p>
    <w:p>
      <w:pPr>
        <w:spacing w:after="0" w:line="206"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PWP OpCo were to become a publicly traded partnership taxable as a corporation for U.S. federal income tax purposes, we and PWP OpCo could be</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operate such that PWP OpCo is treated as a partnership for U.S. federal income tax purposes and does not become a publicly traded</w:t>
      </w:r>
    </w:p>
    <w:p>
      <w:pPr>
        <w:jc w:val="both"/>
        <w:spacing w:after="0" w:line="215" w:lineRule="auto"/>
        <w:rPr>
          <w:sz w:val="20"/>
          <w:szCs w:val="20"/>
          <w:color w:val="auto"/>
        </w:rPr>
      </w:pPr>
      <w:r>
        <w:rPr>
          <w:rFonts w:ascii="Times New Roman" w:cs="Times New Roman" w:eastAsia="Times New Roman" w:hAnsi="Times New Roman"/>
          <w:sz w:val="17"/>
          <w:szCs w:val="17"/>
          <w:color w:val="auto"/>
        </w:rPr>
        <w:t>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corresponding tax benefits (including any claimed increase in the tax basis of PWP OpCo's assets) were subsequently determined to have been unavailable.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6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w:t>
      </w:r>
    </w:p>
    <w:p>
      <w:pPr>
        <w:jc w:val="both"/>
        <w:spacing w:after="0" w:line="222" w:lineRule="auto"/>
        <w:rPr>
          <w:sz w:val="20"/>
          <w:szCs w:val="20"/>
          <w:color w:val="auto"/>
        </w:rPr>
      </w:pPr>
      <w:r>
        <w:rPr>
          <w:rFonts w:ascii="Times New Roman" w:cs="Times New Roman" w:eastAsia="Times New Roman" w:hAnsi="Times New Roman"/>
          <w:sz w:val="18"/>
          <w:szCs w:val="18"/>
          <w:color w:val="auto"/>
        </w:rPr>
        <w:t>of the “Perella Weinberg Partners” or “TPH&amp;Co.” brand names. These risks could impair our operations, affect our reputation and adversely affect our business.</w:t>
      </w:r>
    </w:p>
    <w:p>
      <w:pPr>
        <w:spacing w:after="0" w:line="150"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VoteCo Professionals beneficially owns all of the outstanding shares of our Class B-1 common stock, representing approximately 82.3% of our total voting power, and holders of Class A common stock own shares of our Class A common stock, representing approximately 17.7% of our total voting power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(in each case as of December 31, 2024).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a change of control of us.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60" w:lineRule="exact"/>
        <w:rPr>
          <w:sz w:val="20"/>
          <w:szCs w:val="20"/>
          <w:color w:val="auto"/>
        </w:rPr>
      </w:pPr>
    </w:p>
    <w:p>
      <w:pPr>
        <w:ind w:right="10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VoteCo Professionals’ control over us may give rise to actual or perceived conflicts of interest with the Limited Partners who manage VoteCo Professionals.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w:t>
      </w:r>
    </w:p>
    <w:p>
      <w:pPr>
        <w:jc w:val="both"/>
        <w:spacing w:after="0" w:line="216" w:lineRule="auto"/>
        <w:rPr>
          <w:sz w:val="20"/>
          <w:szCs w:val="20"/>
          <w:color w:val="auto"/>
        </w:rPr>
      </w:pPr>
      <w:r>
        <w:rPr>
          <w:rFonts w:ascii="Times New Roman" w:cs="Times New Roman" w:eastAsia="Times New Roman" w:hAnsi="Times New Roman"/>
          <w:sz w:val="17"/>
          <w:szCs w:val="17"/>
          <w:color w:val="auto"/>
        </w:rPr>
        <w:t>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committee of Limited Partners that manages Professionals GP, the general partner of VoteCo Professionals, holds all outstanding shares of Class B-1 common stock and thereby control approximately 82.3% of the voting interest in us as of December 31, 2024. The shares of Class B-1 common stock will entitle VoteCo Professionals to (i) for so long as the condition that Professional Partners or its Limited Partners as of the date of Closing or its or their respective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w:t>
      </w:r>
    </w:p>
    <w:p>
      <w:pPr>
        <w:jc w:val="both"/>
        <w:spacing w:after="0" w:line="214" w:lineRule="auto"/>
        <w:rPr>
          <w:sz w:val="20"/>
          <w:szCs w:val="20"/>
          <w:color w:val="auto"/>
        </w:rPr>
      </w:pPr>
      <w:r>
        <w:rPr>
          <w:rFonts w:ascii="Times New Roman" w:cs="Times New Roman" w:eastAsia="Times New Roman" w:hAnsi="Times New Roman"/>
          <w:sz w:val="18"/>
          <w:szCs w:val="18"/>
          <w:color w:val="auto"/>
        </w:rPr>
        <w:t>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w:t>
      </w:r>
    </w:p>
    <w:p>
      <w:pPr>
        <w:jc w:val="both"/>
        <w:spacing w:after="0" w:line="216" w:lineRule="auto"/>
        <w:rPr>
          <w:sz w:val="20"/>
          <w:szCs w:val="20"/>
          <w:color w:val="auto"/>
        </w:rPr>
      </w:pPr>
      <w:r>
        <w:rPr>
          <w:rFonts w:ascii="Times New Roman" w:cs="Times New Roman" w:eastAsia="Times New Roman" w:hAnsi="Times New Roman"/>
          <w:sz w:val="17"/>
          <w:szCs w:val="17"/>
          <w:color w:val="auto"/>
        </w:rPr>
        <w:t>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international hostilities and acts of war or terrorism.</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ability to obtain additional financing in the future.</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2024, we had 1,500,000,000 shares of Class A common stock authorized, of which 72,544,696 had been issued and 59,181,721 are outstanding.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w:t>
      </w:r>
    </w:p>
    <w:p>
      <w:pPr>
        <w:spacing w:after="0"/>
        <w:rPr>
          <w:sz w:val="20"/>
          <w:szCs w:val="20"/>
          <w:color w:val="auto"/>
        </w:rPr>
      </w:pPr>
      <w:r>
        <w:rPr>
          <w:rFonts w:ascii="Times New Roman" w:cs="Times New Roman" w:eastAsia="Times New Roman" w:hAnsi="Times New Roman"/>
          <w:sz w:val="18"/>
          <w:szCs w:val="18"/>
          <w:color w:val="auto"/>
        </w:rPr>
        <w:t>connection with acquisitions or otherwise.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as consideration for future acquisitions, which could further dilute our stockholders.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this could have a material adverse effect on our business.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controls. Section 404 of the Sarbanes-Oxley Act of 2002 (the “Sarbanes-Oxley Act”) requires our management report upon the effectiveness of our internal control over financial reporting, and our independent registered public accounting firm is required to attest to the effectiveness of our internal control over financial</w:t>
      </w:r>
    </w:p>
    <w:p>
      <w:pPr>
        <w:jc w:val="both"/>
        <w:spacing w:after="0" w:line="214" w:lineRule="auto"/>
        <w:rPr>
          <w:sz w:val="20"/>
          <w:szCs w:val="20"/>
          <w:color w:val="auto"/>
        </w:rPr>
      </w:pPr>
      <w:r>
        <w:rPr>
          <w:rFonts w:ascii="Times New Roman" w:cs="Times New Roman" w:eastAsia="Times New Roman" w:hAnsi="Times New Roman"/>
          <w:sz w:val="18"/>
          <w:szCs w:val="18"/>
          <w:color w:val="auto"/>
        </w:rPr>
        <w:t>reporting. If we are not able to adequately comply with Section 404 of the Sarbanes-Oxley Act or if our management or auditors are unable to conclude that our internal control over financial reporting is 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w:t>
      </w:r>
    </w:p>
    <w:p>
      <w:pPr>
        <w:spacing w:after="0"/>
        <w:rPr>
          <w:sz w:val="20"/>
          <w:szCs w:val="20"/>
          <w:color w:val="auto"/>
        </w:rPr>
      </w:pPr>
      <w:r>
        <w:rPr>
          <w:rFonts w:ascii="Times New Roman" w:cs="Times New Roman" w:eastAsia="Times New Roman" w:hAnsi="Times New Roman"/>
          <w:sz w:val="18"/>
          <w:szCs w:val="18"/>
          <w:color w:val="auto"/>
        </w:rPr>
        <w:t>to prevent or identify irregularities or errors or to facilitate the fair presentation of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Governance and Governance Documents</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w:t>
      </w:r>
    </w:p>
    <w:p>
      <w:pPr>
        <w:jc w:val="both"/>
        <w:spacing w:after="0" w:line="227" w:lineRule="auto"/>
        <w:rPr>
          <w:sz w:val="20"/>
          <w:szCs w:val="20"/>
          <w:color w:val="auto"/>
        </w:rPr>
      </w:pPr>
      <w:r>
        <w:rPr>
          <w:rFonts w:ascii="Times New Roman" w:cs="Times New Roman" w:eastAsia="Times New Roman" w:hAnsi="Times New Roman"/>
          <w:sz w:val="17"/>
          <w:szCs w:val="17"/>
          <w:color w:val="auto"/>
        </w:rPr>
        <w:t>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classification of our board of directors may have anti-takeover effects, including discouraging, delaying or preventing our change of control.</w:t>
      </w:r>
    </w:p>
    <w:p>
      <w:pPr>
        <w:spacing w:after="0" w:line="181"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from changing a majority of the composition of our board of directors through a single proxy contest.</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be willing to pay in the future for our Class A common stock and could entrench management.</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price.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controlling, directly or indirectly, twenty-five percent (25%) or more of a FINRA member firm's or its parent company's equity for the first time.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10% or more of PWP U.K.'s voting rights or share capital, including through ownership of the equity of any of its parent undertakings.</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any judicial forum that they find favorable for disputes against our directors, officers, other employees or stockholders.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w:t>
      </w:r>
    </w:p>
    <w:p>
      <w:pPr>
        <w:jc w:val="both"/>
        <w:spacing w:after="0" w:line="216" w:lineRule="auto"/>
        <w:rPr>
          <w:sz w:val="20"/>
          <w:szCs w:val="20"/>
          <w:color w:val="auto"/>
        </w:rPr>
      </w:pPr>
      <w:r>
        <w:rPr>
          <w:rFonts w:ascii="Times New Roman" w:cs="Times New Roman" w:eastAsia="Times New Roman" w:hAnsi="Times New Roman"/>
          <w:sz w:val="17"/>
          <w:szCs w:val="17"/>
          <w:color w:val="auto"/>
        </w:rPr>
        <w:t>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w:t>
      </w:r>
    </w:p>
    <w:p>
      <w:pPr>
        <w:spacing w:after="0"/>
        <w:rPr>
          <w:sz w:val="20"/>
          <w:szCs w:val="20"/>
          <w:color w:val="auto"/>
        </w:rPr>
      </w:pPr>
      <w:r>
        <w:rPr>
          <w:rFonts w:ascii="Times New Roman" w:cs="Times New Roman" w:eastAsia="Times New Roman" w:hAnsi="Times New Roman"/>
          <w:sz w:val="18"/>
          <w:szCs w:val="18"/>
          <w:color w:val="auto"/>
        </w:rPr>
        <w:t>are in compliance with General Data Protection Regulation requirements.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part of our processes for assessing, identifying and managing material risks from cybersecurity threats, we maintain a process to enhance security and optimize our IT systems, and regularly conduct security assessments and testing of our systems to verify our systems’ integrity to protect them against being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 include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 assessments,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threat intelligence and incident response experience.</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w:t>
      </w:r>
    </w:p>
    <w:p>
      <w:pPr>
        <w:jc w:val="both"/>
        <w:spacing w:after="0" w:line="216" w:lineRule="auto"/>
        <w:rPr>
          <w:sz w:val="20"/>
          <w:szCs w:val="20"/>
          <w:color w:val="auto"/>
        </w:rPr>
      </w:pPr>
      <w:r>
        <w:rPr>
          <w:rFonts w:ascii="Times New Roman" w:cs="Times New Roman" w:eastAsia="Times New Roman" w:hAnsi="Times New Roman"/>
          <w:sz w:val="17"/>
          <w:szCs w:val="17"/>
          <w:color w:val="auto"/>
        </w:rPr>
        <w:t>questionnaire to evaluate potential risks before establishing formal partnerships. This in-depth approach applies to all vendors with access to our sensitive systems or data. Our assessments are customized based on each provider’s risk profile, with heightened scrutiny applied to new engagements and high-risk relationships. Existing vendors are subject to periodic reevaluations according to a predetermined schedule, with increased frequency for those deemed higher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responsibility, and lines of reporting to personnel related to the design, implementation, operation, maintenance, and monitoring of our cybersecurity environment.</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also have a security incident response plan, with defined roles and responsibilities that are intended to address notification obligations and incident response procedures in the event of a data security breach. We are dedicated to business continuity and resiliency and have strategies, policies, and procedures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place that are designed to protect employee, business, and client data in the event of an emergency or natural disaster.</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 the use of personally identifiable information and the electronic or courier-based transmission of sensitive and confidential data, relying instead on approved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17"/>
          <w:szCs w:val="17"/>
          <w:i w:val="1"/>
          <w:iCs w:val="1"/>
          <w:color w:val="auto"/>
        </w:rPr>
        <w:t>Our business is subject to various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cybersecurity and other operational risks</w:t>
      </w:r>
      <w:r>
        <w:rPr>
          <w:rFonts w:ascii="Times New Roman" w:cs="Times New Roman" w:eastAsia="Times New Roman" w:hAnsi="Times New Roman"/>
          <w:sz w:val="17"/>
          <w:szCs w:val="17"/>
          <w:color w:val="auto"/>
        </w:rPr>
        <w:t>” in Part I, Item 1A. “Risk Factors” for an additional description of cybersecurity risks and potential related impacts</w:t>
      </w:r>
    </w:p>
    <w:p>
      <w:pPr>
        <w:spacing w:after="0"/>
        <w:rPr>
          <w:sz w:val="20"/>
          <w:szCs w:val="20"/>
          <w:color w:val="auto"/>
        </w:rPr>
      </w:pPr>
      <w:r>
        <w:rPr>
          <w:rFonts w:ascii="Times New Roman" w:cs="Times New Roman" w:eastAsia="Times New Roman" w:hAnsi="Times New Roman"/>
          <w:sz w:val="18"/>
          <w:szCs w:val="18"/>
          <w:color w:val="auto"/>
        </w:rPr>
        <w:t>on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audit committee of the board of directors is responsible for overseeing the guidelines and policies governing the process by which the Company</w:t>
      </w:r>
    </w:p>
    <w:p>
      <w:pPr>
        <w:jc w:val="both"/>
        <w:spacing w:after="0" w:line="227" w:lineRule="auto"/>
        <w:rPr>
          <w:sz w:val="20"/>
          <w:szCs w:val="20"/>
          <w:color w:val="auto"/>
        </w:rPr>
      </w:pPr>
      <w:r>
        <w:rPr>
          <w:rFonts w:ascii="Times New Roman" w:cs="Times New Roman" w:eastAsia="Times New Roman" w:hAnsi="Times New Roman"/>
          <w:sz w:val="17"/>
          <w:szCs w:val="17"/>
          <w:color w:val="auto"/>
        </w:rPr>
        <w:t>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 and vulnerabilities. The team routinely collects and processes information from a variety of sources, including from media reporting, commercial threat</w:t>
      </w:r>
    </w:p>
    <w:p>
      <w:pPr>
        <w:jc w:val="both"/>
        <w:spacing w:after="0" w:line="222" w:lineRule="auto"/>
        <w:rPr>
          <w:sz w:val="20"/>
          <w:szCs w:val="20"/>
          <w:color w:val="auto"/>
        </w:rPr>
      </w:pPr>
      <w:r>
        <w:rPr>
          <w:rFonts w:ascii="Times New Roman" w:cs="Times New Roman" w:eastAsia="Times New Roman" w:hAnsi="Times New Roman"/>
          <w:sz w:val="18"/>
          <w:szCs w:val="18"/>
          <w:color w:val="auto"/>
        </w:rPr>
        <w:t>intelligence providers (FSARC, FS-ISAC), the Federal Bureau of Investigation and other government and law enforcement agencies. The team provides global mitigation of known cybersecurity threats to help ensure that our data and systems are protected.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November 9, 2015, the Defendants filed an Answer, Counterclaims, Cross-claims and a Third-Party Complaint, which contained 14 causes of action. On July 17, 2016, the Court issued a decision, dismissing half of the Defendants’ -claims with prejudice. On August 18, 2016, the Defendants filed an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2022, Defendants filed a motion for leave to renew their New York Labor Law counterclaim that the Court dismissed in 2016. On June 30, 2023, the Court issued a decision denying Defendants’ motion for leave. On January 29, 2024, Defendants appealed to the First Department the June 30, 2023 decision denying their motion for leave. On April 16, 2024, the First Department denied Defendants’ appeal.</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Plaintiffs’ agreements, finding that they are valid and enforceable, and otherwise denied the motion. The Court denied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Defendants’ motion in its entirety. On July 25, 2023, Defendants appealed parts of the Summary Judgment Decision. On August 30, 2024, the First Department issued a decision granting in part and denying in part Defendants’ appeal. The First Department granted Defendants’ appeal only to the extent it found that the PWP Plaintiffs could not pursue a client solicitation claim against two specific clients. The First Department denied Defendants’ appeal to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extent it found that the PWP Plaintiffs’ restrictive covenants were reasonable and enforceable, and Defendants’ counterclaim for deferred compensation needed to be decided at trial.</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Trial started on January 24, 2025 and is scheduled to end on March 7, 2025.</w:t>
      </w:r>
    </w:p>
    <w:p>
      <w:pPr>
        <w:spacing w:after="0" w:line="19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w:t>
      </w:r>
    </w:p>
    <w:p>
      <w:pPr>
        <w:spacing w:after="0"/>
        <w:rPr>
          <w:sz w:val="20"/>
          <w:szCs w:val="20"/>
          <w:color w:val="auto"/>
        </w:rPr>
      </w:pPr>
      <w:r>
        <w:rPr>
          <w:rFonts w:ascii="Times New Roman" w:cs="Times New Roman" w:eastAsia="Times New Roman" w:hAnsi="Times New Roman"/>
          <w:sz w:val="18"/>
          <w:szCs w:val="18"/>
          <w:color w:val="auto"/>
        </w:rPr>
        <w:t>damages, we do not know if we will be able to fully collect on any judgment against any or all Defendants.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Some of these matters may involve claims of substantial amounts.</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the consolidated financial statements included elsewhere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Class A common stock is listed and traded on the Nasdaq Global Select Market under the stock symbol “PWP.” As of February 24, 2025, there were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approximately 12 holders of record of our Class A common stock and 1 holder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intend to pay dividends quarterly to our common stockholders. For the year ended December 31, 2024,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w:t>
      </w:r>
    </w:p>
    <w:p>
      <w:pPr>
        <w:spacing w:after="0"/>
        <w:rPr>
          <w:sz w:val="20"/>
          <w:szCs w:val="20"/>
          <w:color w:val="auto"/>
        </w:rPr>
      </w:pPr>
      <w:r>
        <w:rPr>
          <w:rFonts w:ascii="Times New Roman" w:cs="Times New Roman" w:eastAsia="Times New Roman" w:hAnsi="Times New Roman"/>
          <w:sz w:val="18"/>
          <w:szCs w:val="18"/>
          <w:color w:val="auto"/>
        </w:rPr>
        <w:t>relevant. Therefore, there can be no assurance as to what level of dividends, if any, will be paid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04" w:lineRule="exact"/>
        <w:rPr>
          <w:sz w:val="20"/>
          <w:szCs w:val="20"/>
          <w:color w:val="auto"/>
        </w:rPr>
      </w:pPr>
    </w:p>
    <w:p>
      <w:pPr>
        <w:jc w:val="both"/>
        <w:ind w:firstLine="318"/>
        <w:spacing w:after="0" w:line="220"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or the Exchange Act except to the extent we</w:t>
      </w:r>
    </w:p>
    <w:p>
      <w:pPr>
        <w:jc w:val="both"/>
        <w:spacing w:after="0" w:line="222" w:lineRule="auto"/>
        <w:rPr>
          <w:sz w:val="20"/>
          <w:szCs w:val="20"/>
          <w:color w:val="auto"/>
        </w:rPr>
      </w:pPr>
      <w:r>
        <w:rPr>
          <w:rFonts w:ascii="Times New Roman" w:cs="Times New Roman" w:eastAsia="Times New Roman" w:hAnsi="Times New Roman"/>
          <w:sz w:val="18"/>
          <w:szCs w:val="18"/>
          <w:i w:val="1"/>
          <w:iCs w:val="1"/>
          <w:color w:val="auto"/>
        </w:rPr>
        <w:t>specifically incorporate it by reference into such filing. Our stock price performance shown in the graph below is not indicative of future stock price performance.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 performance graph below compares the performance of an investment in our Class A common stock, from June 25, 2021 through December 31,</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2024, with that of the S&amp;P 500 Index and the S&amp;P Financials Index. The graph assumes $100 was invested at the close of business on June 25, 2021.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127000</wp:posOffset>
            </wp:positionV>
            <wp:extent cx="5553075" cy="2911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3075" cy="291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repurchases of equity securities during the three months ended December 31, 2024:</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8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Dollar Value of Shares tha</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may yet to be Purchased</w:t>
            </w: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Publicly Announced</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Publicly</w:t>
            </w:r>
          </w:p>
        </w:tc>
        <w:tc>
          <w:tcPr>
            <w:tcW w:w="0" w:type="dxa"/>
            <w:vAlign w:val="bottom"/>
          </w:tcPr>
          <w:p>
            <w:pPr>
              <w:spacing w:after="0"/>
              <w:rPr>
                <w:sz w:val="1"/>
                <w:szCs w:val="1"/>
                <w:color w:val="auto"/>
              </w:rPr>
            </w:pPr>
          </w:p>
        </w:tc>
      </w:tr>
      <w:tr>
        <w:trPr>
          <w:trHeight w:val="179"/>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15"/>
                <w:szCs w:val="15"/>
                <w:color w:val="auto"/>
              </w:rPr>
            </w:pPr>
          </w:p>
        </w:tc>
        <w:tc>
          <w:tcPr>
            <w:tcW w:w="138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Repurchased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Unit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w w:val="96"/>
              </w:rPr>
              <w:t>Announced Program</w:t>
            </w:r>
            <w:r>
              <w:rPr>
                <w:rFonts w:ascii="Times New Roman" w:cs="Times New Roman" w:eastAsia="Times New Roman" w:hAnsi="Times New Roman"/>
                <w:sz w:val="22"/>
                <w:szCs w:val="22"/>
                <w:b w:val="1"/>
                <w:bCs w:val="1"/>
                <w:color w:val="auto"/>
                <w:w w:val="96"/>
                <w:vertAlign w:val="superscript"/>
              </w:rPr>
              <w:t>(1)</w:t>
            </w:r>
          </w:p>
        </w:tc>
        <w:tc>
          <w:tcPr>
            <w:tcW w:w="0" w:type="dxa"/>
            <w:vAlign w:val="bottom"/>
          </w:tcPr>
          <w:p>
            <w:pPr>
              <w:spacing w:after="0"/>
              <w:rPr>
                <w:sz w:val="1"/>
                <w:szCs w:val="1"/>
                <w:color w:val="auto"/>
              </w:rPr>
            </w:pPr>
          </w:p>
        </w:tc>
      </w:tr>
      <w:tr>
        <w:trPr>
          <w:trHeight w:val="21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93,823,525</w:t>
            </w: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93,823,525</w:t>
            </w: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93,823,525</w:t>
            </w:r>
          </w:p>
        </w:tc>
        <w:tc>
          <w:tcPr>
            <w:tcW w:w="0" w:type="dxa"/>
            <w:vAlign w:val="bottom"/>
          </w:tcPr>
          <w:p>
            <w:pPr>
              <w:spacing w:after="0"/>
              <w:rPr>
                <w:sz w:val="1"/>
                <w:szCs w:val="1"/>
                <w:color w:val="auto"/>
              </w:rPr>
            </w:pPr>
          </w:p>
        </w:tc>
      </w:tr>
      <w:tr>
        <w:trPr>
          <w:trHeight w:val="27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right="100" w:hanging="314"/>
        <w:spacing w:after="0" w:line="273" w:lineRule="auto"/>
        <w:tabs>
          <w:tab w:leader="none" w:pos="3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 w:name="page32"/>
    <w:bookmarkEnd w:id="31"/>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7"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some of the most active industry sectors</w:t>
      </w:r>
    </w:p>
    <w:p>
      <w:pPr>
        <w:jc w:val="both"/>
        <w:spacing w:after="0" w:line="222"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 1A. Risk Factors” of this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The market environment for advisory services is improving, driving increased dialogue and activity levels across the traditional M&amp;A markets.</w:t>
      </w:r>
    </w:p>
    <w:p>
      <w:pPr>
        <w:spacing w:after="0" w:line="166"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included elsewhere in this Form 10-K for a discussion of some of the factors that can affect our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w:t>
      </w:r>
    </w:p>
    <w:p>
      <w:pPr>
        <w:jc w:val="both"/>
        <w:spacing w:after="0" w:line="216" w:lineRule="auto"/>
        <w:rPr>
          <w:sz w:val="20"/>
          <w:szCs w:val="20"/>
          <w:color w:val="auto"/>
        </w:rPr>
      </w:pPr>
      <w:r>
        <w:rPr>
          <w:rFonts w:ascii="Times New Roman" w:cs="Times New Roman" w:eastAsia="Times New Roman" w:hAnsi="Times New Roman"/>
          <w:sz w:val="17"/>
          <w:szCs w:val="17"/>
          <w:color w:val="auto"/>
        </w:rPr>
        <w:t>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changes in clients’ senior management, and competition from other financial services firms.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w:t>
      </w:r>
    </w:p>
    <w:p>
      <w:pPr>
        <w:jc w:val="both"/>
        <w:spacing w:after="0" w:line="214" w:lineRule="auto"/>
        <w:rPr>
          <w:sz w:val="20"/>
          <w:szCs w:val="20"/>
          <w:color w:val="auto"/>
        </w:rPr>
      </w:pPr>
      <w:r>
        <w:rPr>
          <w:rFonts w:ascii="Times New Roman" w:cs="Times New Roman" w:eastAsia="Times New Roman" w:hAnsi="Times New Roman"/>
          <w:sz w:val="18"/>
          <w:szCs w:val="18"/>
          <w:color w:val="auto"/>
        </w:rPr>
        <w:t>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compensation and benefits expenses consist of salaries, bonuses (discretionary awards and guaranteed amounts), severance, payroll and related taxes,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Compensation is determined by management based on revenues earned, headcount, labor market conditions, and anticipated compensation requirements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our employees. Such factors can fluctuate, including headcount and revenues earned, and as a result, our compensation expenses may fluctuate materially in any particular period.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the time of the Merger, the Company entered into vesting acceleration agreements with certain holders of Professional Partners Awards to accelerate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vesting for all Professional Partners Awards during the second quarter of 2024 (the “Vesting Acceleration”). Prior to the Merger, the amortization expense for the Professional Partners Awards was allocated fully to non-controlling interests. As a result of the Merger, these awards are considered granted by PWP OpCo and PWP OpCo as a whole bore the cost of the cash settlement feature of the awards, which was added in conjunction with the Merger. As a result,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basis, with an exception for certain equity-based compensation expense which was fully attributed to non-controlling interests prior to the Merger.</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2024 and 2023. For a discussion of the year ended</w:t>
      </w:r>
    </w:p>
    <w:p>
      <w:pPr>
        <w:spacing w:after="0" w:line="222" w:lineRule="auto"/>
        <w:rPr>
          <w:sz w:val="20"/>
          <w:szCs w:val="20"/>
          <w:color w:val="auto"/>
        </w:rPr>
      </w:pPr>
      <w:r>
        <w:rPr>
          <w:rFonts w:ascii="Times New Roman" w:cs="Times New Roman" w:eastAsia="Times New Roman" w:hAnsi="Times New Roman"/>
          <w:sz w:val="18"/>
          <w:szCs w:val="18"/>
          <w:color w:val="auto"/>
        </w:rPr>
        <w:t>December 31, 2023 versus 2022, refer to Item 7, “Management’s Discussion and Analysis of Financial Condition and Results of Operations – Results of Operations” in our Form 10-K for the year ended December 31, 2023.</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133,749</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income</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NM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(loss) attributable to non-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8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58"/>
        </w:trPr>
        <w:tc>
          <w:tcPr>
            <w:tcW w:w="3700" w:type="dxa"/>
            <w:vAlign w:val="bottom"/>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Net income (loss) attributable to Perella</w:t>
            </w: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80" w:type="dxa"/>
            <w:vAlign w:val="bottom"/>
          </w:tcPr>
          <w:p>
            <w:pPr>
              <w:spacing w:after="0"/>
              <w:rPr>
                <w:sz w:val="13"/>
                <w:szCs w:val="13"/>
                <w:color w:val="auto"/>
              </w:rPr>
            </w:pP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1"/>
        </w:trPr>
        <w:tc>
          <w:tcPr>
            <w:tcW w:w="370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b w:val="1"/>
                <w:bCs w:val="1"/>
                <w:color w:val="auto"/>
              </w:rPr>
              <w:t>Weinberg Partners</w:t>
            </w: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117715"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years ended December 31, 2024, 2023, and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18"/>
        </w:trPr>
        <w:tc>
          <w:tcPr>
            <w:tcW w:w="38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2024 vs. 2023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5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$1.0 million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were $878.0 million for the year ended December 31, 2024 as compared with $648.7 million for the year ended December 31, 2023,</w:t>
      </w:r>
    </w:p>
    <w:p>
      <w:pPr>
        <w:jc w:val="both"/>
        <w:spacing w:after="0" w:line="222" w:lineRule="auto"/>
        <w:rPr>
          <w:sz w:val="20"/>
          <w:szCs w:val="20"/>
          <w:color w:val="auto"/>
        </w:rPr>
      </w:pPr>
      <w:r>
        <w:rPr>
          <w:rFonts w:ascii="Times New Roman" w:cs="Times New Roman" w:eastAsia="Times New Roman" w:hAnsi="Times New Roman"/>
          <w:sz w:val="18"/>
          <w:szCs w:val="18"/>
          <w:color w:val="auto"/>
        </w:rPr>
        <w:t>representing an increase of 35%. The increase was attributable to increased mergers and acquisition and financing and capital solutions activity, driven by larger transactions in size and number across the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 ended December 31, 2024, total compensation and benefits expenses were $784.2 million, an increase of 29% compared with $608.9 million for the year ended December 31, 2023. The increase in total compensation and benefits expenses was primarily the result of a higher bonus accrual in the current year period due to a higher revenue base, despite a lower compensation margin. The increase was also driven by higher equity-based compensation</w:t>
      </w:r>
    </w:p>
    <w:p>
      <w:pPr>
        <w:jc w:val="both"/>
        <w:spacing w:after="0" w:line="204" w:lineRule="auto"/>
        <w:rPr>
          <w:sz w:val="20"/>
          <w:szCs w:val="20"/>
          <w:color w:val="auto"/>
        </w:rPr>
      </w:pPr>
      <w:r>
        <w:rPr>
          <w:rFonts w:ascii="Times New Roman" w:cs="Times New Roman" w:eastAsia="Times New Roman" w:hAnsi="Times New Roman"/>
          <w:sz w:val="18"/>
          <w:szCs w:val="18"/>
          <w:color w:val="auto"/>
        </w:rPr>
        <w:t>expense from the phase-in of our annual incentive award grants, as well as the Vesting Acceleration, which resulted in $144.2 million of equity-based compensation expense for the Professional Partners Awards in the current year period as compared to $68.5 million in the prior year period for the same awards. The increase in total compensation and benefits was partially offset by higher costs incurred in the prior year related to headcount reductions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a business realignment.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 ended December 31, 2024, total non-compensation expenses were $172.3 million, an increase of 11% compared with $154.8 million for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year ended December 31, 2023. The increase in non-compensation expenses was primarily the result of an increase in professional fees, including consulting fees tied to revenue contribution, bad debt write-offs, and higher depreciation expense due to new assets being placed in service subsequent to the second quarter of 2023 related to the renovation of the New York office space and relocation of the London office space. These increases were partially offset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rent and occupancy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 ended December 31, 2024, non-operating income was $10.3 million compared with non-operating income of $2.3 million for the year ended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December 31, 2023. In the current period, non-operating income primarily included interest income, which increased from the prior year due to higher interest rates and larger interest-bearing cash balances, and a net gain from foreign exchange rate fluctuations, compared to a net loss in the prior year. For both periods, foreign exchange rate fluctuations largely related to U.S. dollar-denominated cash and intercompany balances held by our foreign subsidiaries,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including the settlement of such balances. The year ended December 31, 2023 also included a non-operating loss on investment that did not recur in the current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Company’s income tax expense and effective tax rate were $21.1 million and (30.9)%, respectively, for the year ended December 31, 2024 compared to an income tax benefit and an effective tax rate of $1.0 million and 0.9%, respectively, for the year ended December 31, 2023. The change in the effective tax rate was primarily due to the relative size of our permanent differences in relation to the pre-tax loss in the respective periods, the Vesting Acceleration,</w:t>
      </w:r>
    </w:p>
    <w:p>
      <w:pPr>
        <w:jc w:val="both"/>
        <w:spacing w:after="0" w:line="222" w:lineRule="auto"/>
        <w:rPr>
          <w:sz w:val="20"/>
          <w:szCs w:val="20"/>
          <w:color w:val="auto"/>
        </w:rPr>
      </w:pPr>
      <w:r>
        <w:rPr>
          <w:rFonts w:ascii="Times New Roman" w:cs="Times New Roman" w:eastAsia="Times New Roman" w:hAnsi="Times New Roman"/>
          <w:sz w:val="18"/>
          <w:szCs w:val="18"/>
          <w:color w:val="auto"/>
        </w:rPr>
        <w:t>and the recognition of tax benefits associated with the appreciation in our share price upon vesting of RSUs above the original grant price during the year ended December 31, 2024.</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for working capital,</w:t>
      </w:r>
    </w:p>
    <w:p>
      <w:pPr>
        <w:jc w:val="both"/>
        <w:spacing w:after="0" w:line="216" w:lineRule="auto"/>
        <w:rPr>
          <w:sz w:val="20"/>
          <w:szCs w:val="20"/>
          <w:color w:val="auto"/>
        </w:rPr>
      </w:pPr>
      <w:r>
        <w:rPr>
          <w:rFonts w:ascii="Times New Roman" w:cs="Times New Roman" w:eastAsia="Times New Roman" w:hAnsi="Times New Roman"/>
          <w:sz w:val="17"/>
          <w:szCs w:val="17"/>
          <w:color w:val="auto"/>
        </w:rPr>
        <w:t>operating expenses (including cash compensation for our employees), repurchasing shares of the Company’s Class A common stock, withholding tax payments for vested incentive compensation awards, including restricted stock units and performance stock units (the “PWP Incentive Plan Awards”), cash-settled exchanges of PWP OpCo Units, income taxes, dividends and distributions, capital expenditures, making payments pursuant to the tax receivable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current assets are primarily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w:t>
      </w:r>
    </w:p>
    <w:p>
      <w:pPr>
        <w:jc w:val="both"/>
        <w:spacing w:after="0" w:line="204" w:lineRule="auto"/>
        <w:rPr>
          <w:sz w:val="20"/>
          <w:szCs w:val="20"/>
          <w:color w:val="auto"/>
        </w:rPr>
      </w:pPr>
      <w:r>
        <w:rPr>
          <w:rFonts w:ascii="Times New Roman" w:cs="Times New Roman" w:eastAsia="Times New Roman" w:hAnsi="Times New Roman"/>
          <w:sz w:val="18"/>
          <w:szCs w:val="18"/>
          <w:color w:val="auto"/>
        </w:rPr>
        <w:t>bearing money market accounts, and short-term highly liquid investments that have original maturities of three months or less from the date of purchase. We had cash balances of $331.6 million and $247.2 million as of December 31, 2024 and 2023, respectively, and cash equivalents of $20.2 million as of December 31, 2024, which included investments in U.S. Treasury securities. As of December 31, 2023, we held no cash equivalents. Additionally, as of</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December 31, 2024 and 2023, we held U.S. Treasury securities of $75.8 million and $91.2 million, respectively, which are classified as Investments in short-term marketable debt securities within the consolidated financial statements.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liquidity is highly dependent upon cash receipts from clients, which generally require the successful completion of transactions. Accounts receivable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typically have net terms of 30 days. Accounts receivable, net of allowance for credit losses, were $73.3 million and $47.8 million as of December 31, 2024 and 2023, respectively.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 Revolving Credit Facility with Cadence Bank with an available line of credit of $50.0 million. Additionally, up to $20.0 million of incremental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revolving commitments above the $50.0 million commitment amount may be incurred under the Credit Agreement. As of December 31, 2024 and 2023, we had no outstanding balance related to the Revolving Credit Facility and no incremental revolving commitments were incurred. For further information on the Revolving Credit Facility, refer to Note 9—Debt in the notes to consolidated financial statements included elsewhere in this Form 10-K.</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On March 1, 2024, we issued and sold 5,750,000 shares of Class A common stock at a price of $12.00 per share for net proceeds of $66.0 million after deducting underwriting discounts and offering costs.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second quarter of 2024, we paid or accrued a combined $86.6 million in settlement of certain Professional Partners Awards in connection with</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Vesting Acceleration. Refer to Note 11—Equity-Based Compensation in the notes to the consolidated financial statements for further information regarding the Vesting Acceleration. Also during the year ended December 31, 2024, we elected to settle exchanges of certain PWP OpCo Units and corresponding shares of Class B common stock for $63.4 million in cash.</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2024, we made $70.4 million of withholding tax payments for vested PWP Incentive Plan Awards. Withholding tax payments for vested equity-classified Professional Partners Awards are included in the above-disclosed amount paid or accrued in settlement of certain Professional Partners Awards in connection with the Vesting Acceleration.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market conditions, we believe that our cash on hand, cash equivalents, investments in short-term marketable debt securities, net cash</w:t>
      </w:r>
    </w:p>
    <w:p>
      <w:pPr>
        <w:jc w:val="both"/>
        <w:spacing w:after="0" w:line="222" w:lineRule="auto"/>
        <w:rPr>
          <w:sz w:val="20"/>
          <w:szCs w:val="20"/>
          <w:color w:val="auto"/>
        </w:rPr>
      </w:pPr>
      <w:r>
        <w:rPr>
          <w:rFonts w:ascii="Times New Roman" w:cs="Times New Roman" w:eastAsia="Times New Roman" w:hAnsi="Times New Roman"/>
          <w:sz w:val="18"/>
          <w:szCs w:val="18"/>
          <w:color w:val="auto"/>
        </w:rPr>
        <w:t>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4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r>
      <w:tr>
        <w:trPr>
          <w:trHeight w:val="22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162,414</w:t>
            </w: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(148,440)</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(166,231)</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(136,768)</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(330,609)</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504,775</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332,771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174,166</w:t>
            </w: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Operating activities resulted in a net cash inflow of $223.4 million primarily attributable to cash collections from clients, net of cash operating expense outflows, including the settlement of liability-classified Professional Partners Awards during the second quarter and discretionary bonuses paid during the first quarter of 2024 with respect to prior year compensation expense.</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Investing activities resulted in a net cash outflow of $0.1 million attributable to the purchase of investments in U.S. Treasury securities and payments for additional investments and capital expenditures related to office space renovations, which was almost fully offset by a cash inflow from the maturation of investments in U.S. Treasury securities.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Financing activities resulted in a net cash outflow of $137.3 million primarily due to withholding tax payments for vested PWP Incentive Plan Awards and equity-classified Professional Partners Awards,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Operating activities resulted in a net cash inflow of $145.9 million primarily attributable to cash collected from clients, net of cash operating expense outflows, including discretionary bonuses paid during the first quarter of 2023 with respect to prior year compensation expense.</w:t>
      </w:r>
    </w:p>
    <w:p>
      <w:pPr>
        <w:spacing w:after="0" w:line="166"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Investing activities resulted in a net cash outflow of $5.8 million largely attributable to the purchase of investments in U.S. Treasury securities and the purchase of leasehold improvement fixed assets associated with the renovation of the New York office space and relocation of the London office space, partially offset by a cash inflow from the maturation of investments in U.S. Treasury securities.</w:t>
      </w:r>
    </w:p>
    <w:p>
      <w:pPr>
        <w:spacing w:after="0" w:line="168" w:lineRule="exact"/>
        <w:rPr>
          <w:sz w:val="20"/>
          <w:szCs w:val="20"/>
          <w:color w:val="auto"/>
        </w:rPr>
      </w:pPr>
    </w:p>
    <w:p>
      <w:pPr>
        <w:jc w:val="both"/>
        <w:ind w:right="20" w:firstLine="318"/>
        <w:spacing w:after="0" w:line="234" w:lineRule="auto"/>
        <w:rPr>
          <w:sz w:val="20"/>
          <w:szCs w:val="20"/>
          <w:color w:val="auto"/>
        </w:rPr>
      </w:pPr>
      <w:r>
        <w:rPr>
          <w:rFonts w:ascii="Times New Roman" w:cs="Times New Roman" w:eastAsia="Times New Roman" w:hAnsi="Times New Roman"/>
          <w:sz w:val="18"/>
          <w:szCs w:val="18"/>
          <w:color w:val="auto"/>
        </w:rPr>
        <w:t>Financing activities resulted in a net cash outflow of $67.0 million primarily related to withholding tax payments for vested PWP Incentive Plan Awards, the repurchase of shares pursuant to the stock repurchase program, dividend payments, and distributions to partners.</w:t>
      </w:r>
    </w:p>
    <w:p>
      <w:pPr>
        <w:spacing w:after="0" w:line="153"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For a discussion of the year ended December 31, 2022, refer to Item 7, “Management’s Discussion and Analysis of Financial Condition and Results of Operations – Cash Flows” in our Form 10-K for the year ended December 31, 2023.</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of directors approved a stock repurchase program under which we are authorized to repurchase up to $200.0 million of our Class A common</w:t>
      </w:r>
    </w:p>
    <w:p>
      <w:pPr>
        <w:spacing w:after="0" w:line="222" w:lineRule="auto"/>
        <w:rPr>
          <w:sz w:val="20"/>
          <w:szCs w:val="20"/>
          <w:color w:val="auto"/>
        </w:rPr>
      </w:pPr>
      <w:r>
        <w:rPr>
          <w:rFonts w:ascii="Times New Roman" w:cs="Times New Roman" w:eastAsia="Times New Roman" w:hAnsi="Times New Roman"/>
          <w:sz w:val="18"/>
          <w:szCs w:val="18"/>
          <w:color w:val="auto"/>
        </w:rPr>
        <w:t>stock with no requirement to purchase any minimum number of shares. During the year ended December 31, 2024, we repurchased 1,000,000 founder shares at a purchase price of $15.00 per share. As of December 31, 2024, $93.8 million remains of the $200.0 million authorized for share repurchases.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accordance with the limited partnership agreement of PWP OpCo, holders of PWP OpCo Units (other than the Company) may exchange these units for</w:t>
      </w:r>
    </w:p>
    <w:p>
      <w:pPr>
        <w:jc w:val="both"/>
        <w:ind w:firstLine="6"/>
        <w:spacing w:after="0" w:line="227" w:lineRule="auto"/>
        <w:tabs>
          <w:tab w:leader="none" w:pos="21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10—Stockholders’ Equity and Redeemable Non-Controlling Interests in the notes to consolidated financial statements included elsewhere in the Form 10-K for further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w:t>
      </w:r>
    </w:p>
    <w:p>
      <w:pPr>
        <w:jc w:val="both"/>
        <w:spacing w:after="0" w:line="216" w:lineRule="auto"/>
        <w:rPr>
          <w:sz w:val="20"/>
          <w:szCs w:val="20"/>
          <w:color w:val="auto"/>
        </w:rPr>
      </w:pPr>
      <w:r>
        <w:rPr>
          <w:rFonts w:ascii="Times New Roman" w:cs="Times New Roman" w:eastAsia="Times New Roman" w:hAnsi="Times New Roman"/>
          <w:sz w:val="17"/>
          <w:szCs w:val="17"/>
          <w:color w:val="auto"/>
        </w:rPr>
        <w:t>restrict the flow of funds to and from affiliates. Refer to Note 6—Regulatory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2024, we had an amount due of $65.5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consolidated financial statements included elsewhere in this Form 10-K for further</w:t>
      </w:r>
    </w:p>
    <w:p>
      <w:pPr>
        <w:spacing w:after="0"/>
        <w:rPr>
          <w:sz w:val="20"/>
          <w:szCs w:val="20"/>
          <w:color w:val="auto"/>
        </w:rPr>
      </w:pPr>
      <w:r>
        <w:rPr>
          <w:rFonts w:ascii="Times New Roman" w:cs="Times New Roman" w:eastAsia="Times New Roman" w:hAnsi="Times New Roman"/>
          <w:sz w:val="18"/>
          <w:szCs w:val="18"/>
          <w:color w:val="auto"/>
        </w:rPr>
        <w:t>information as well as the expected timing of payments.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various non-cancelable operating leases for our office space and certain equipment. As of December 31, 2024, we had $187.3 million of</w:t>
      </w:r>
    </w:p>
    <w:p>
      <w:pPr>
        <w:jc w:val="both"/>
        <w:spacing w:after="0" w:line="222" w:lineRule="auto"/>
        <w:rPr>
          <w:sz w:val="20"/>
          <w:szCs w:val="20"/>
          <w:color w:val="auto"/>
        </w:rPr>
      </w:pPr>
      <w:r>
        <w:rPr>
          <w:rFonts w:ascii="Times New Roman" w:cs="Times New Roman" w:eastAsia="Times New Roman" w:hAnsi="Times New Roman"/>
          <w:sz w:val="18"/>
          <w:szCs w:val="18"/>
          <w:color w:val="auto"/>
        </w:rPr>
        <w:t>operating lease liabilities. See Note 4—Leases in the notes to consolidated financial statements included elsewhere in this Form 10-K for further information as well as the expected timing of payments.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cash and cash equivalents include any short-term highly liquid investments that are readily convertible to known amounts of cash and have original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 As of</w:t>
      </w:r>
    </w:p>
    <w:p>
      <w:pPr>
        <w:jc w:val="both"/>
        <w:spacing w:after="0" w:line="214" w:lineRule="auto"/>
        <w:rPr>
          <w:sz w:val="20"/>
          <w:szCs w:val="20"/>
          <w:color w:val="auto"/>
        </w:rPr>
      </w:pPr>
      <w:r>
        <w:rPr>
          <w:rFonts w:ascii="Times New Roman" w:cs="Times New Roman" w:eastAsia="Times New Roman" w:hAnsi="Times New Roman"/>
          <w:sz w:val="18"/>
          <w:szCs w:val="18"/>
          <w:color w:val="auto"/>
        </w:rPr>
        <w:t>December 31, 2024, the Company held investments of $96.0 million in U.S. Treasury securities with maturities of less than 12 months. Of this amount, $20.2 million is presented in Cash and cash equivalents and $75.8 million is presented in Investments in short-term marketable debt securities on the Consolidated Statements of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w:t>
      </w:r>
    </w:p>
    <w:p>
      <w:pPr>
        <w:jc w:val="both"/>
        <w:spacing w:after="0" w:line="204" w:lineRule="auto"/>
        <w:rPr>
          <w:sz w:val="20"/>
          <w:szCs w:val="20"/>
          <w:color w:val="auto"/>
        </w:rPr>
      </w:pPr>
      <w:r>
        <w:rPr>
          <w:rFonts w:ascii="Times New Roman" w:cs="Times New Roman" w:eastAsia="Times New Roman" w:hAnsi="Times New Roman"/>
          <w:sz w:val="18"/>
          <w:szCs w:val="18"/>
          <w:color w:val="auto"/>
        </w:rPr>
        <w:t>reported amounts in our consolidated financial statements may be affected by movements in the rate of exchange between the pound sterling, euro, and Canadian dollar and our reporting currency, the U.S. dollar. For the years ended December 31, 2024 and 2023, the net impact of non-functional currency-related transaction gains and losses recorded in Other income (expense) on our Consolidated Statements of Operations was a $1.3 million gain and a $3.3</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million loss, respectively, primarily related to U.S. dollar-denominated cash and intercompany receivables held by our foreign subsidiaries as the strength of the U.S. dollar fluctuated. For the years ended December 31, 2024 and 2023, the net impact from the fluctuation of foreign currencies recorded in Foreign currency translation gain (loss) on our Consolidated Statements of Comprehensive Income (Loss) was a $2.5 million loss and a $4.1 million gain, respectively.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have not entered into any transactions to hedge our exposure to these foreign currency fluctuations using derivative instruments or other methods but may do so if we deem appropriate in the future. As of December 31, 2024, we held cash balances of $37.7 million in non-U.S. dollar currencies, composed of pound sterling, euros, and Canadian dollars.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preparation of our consolidated financial statements and related disclosures in conformity with U.S. GAAP requires management to make estimates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assumptions that affect the reported amounts of assets, liabilities, revenues, expenses, and the disclosure of contingent assets and liabilities.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difficult, subjective and complex judgment. Due to their subjectivity, actual results could differ from those estimates. Estimates and the assumptions underlying these estimates are reviewed periodically, and the effects of revisions are reflected in the period in which they are determined to be necessary.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w:t>
      </w:r>
    </w:p>
    <w:p>
      <w:pPr>
        <w:jc w:val="both"/>
        <w:spacing w:after="0" w:line="216" w:lineRule="auto"/>
        <w:rPr>
          <w:sz w:val="20"/>
          <w:szCs w:val="20"/>
          <w:color w:val="auto"/>
        </w:rPr>
      </w:pPr>
      <w:r>
        <w:rPr>
          <w:rFonts w:ascii="Times New Roman" w:cs="Times New Roman" w:eastAsia="Times New Roman" w:hAnsi="Times New Roman"/>
          <w:sz w:val="17"/>
          <w:szCs w:val="17"/>
          <w:color w:val="auto"/>
        </w:rPr>
        <w:t>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the determination of which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may require significant judgment, especially when assessed near the end of a reporting period, and/or involve material amounts. Due to this constraint, a significant portion of revenue recognized for advisory services in any given period often relates to services performed in prior periods.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records deferred revenue when it receives fees from clients that have not yet been earned or when the Company has an unconditional right</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particularly when milestones are met near the end of a reporting period and in cases where additional services are expected to be provided subsequent to the achievement of the milestone.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fixed fees specified in the Company’s contracts, which may include upfront fees and retainers, are recognized on a systematic basis over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estimated period in which the related services are performed. Estimating contract terms may require significant judgment and often change over the course of an engagement.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 assets, our tax provision would increase with the recording of a valuation allowance in the period in which we determined that the recovery is not likely. In</w:t>
      </w:r>
    </w:p>
    <w:p>
      <w:pPr>
        <w:jc w:val="both"/>
        <w:spacing w:after="0" w:line="216" w:lineRule="auto"/>
        <w:rPr>
          <w:sz w:val="20"/>
          <w:szCs w:val="20"/>
          <w:color w:val="auto"/>
        </w:rPr>
      </w:pPr>
      <w:r>
        <w:rPr>
          <w:rFonts w:ascii="Times New Roman" w:cs="Times New Roman" w:eastAsia="Times New Roman" w:hAnsi="Times New Roman"/>
          <w:sz w:val="17"/>
          <w:szCs w:val="17"/>
          <w:color w:val="auto"/>
        </w:rPr>
        <w:t>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estimates we are using to manage the underlying business.</w:t>
      </w:r>
    </w:p>
    <w:p>
      <w:pPr>
        <w:spacing w:after="0" w:line="15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w:t>
      </w:r>
    </w:p>
    <w:p>
      <w:pPr>
        <w:jc w:val="both"/>
        <w:spacing w:after="0" w:line="222" w:lineRule="auto"/>
        <w:rPr>
          <w:sz w:val="20"/>
          <w:szCs w:val="20"/>
          <w:color w:val="auto"/>
        </w:rPr>
      </w:pPr>
      <w:r>
        <w:rPr>
          <w:rFonts w:ascii="Times New Roman" w:cs="Times New Roman" w:eastAsia="Times New Roman" w:hAnsi="Times New Roman"/>
          <w:sz w:val="18"/>
          <w:szCs w:val="18"/>
          <w:color w:val="auto"/>
        </w:rPr>
        <w:t>realized upon ultimate settlement with the related tax authority. It is inherently difficult and subjective to estimate such amounts, as we must determine the probability of various possible outcomes.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8—Income Taxes in the notes to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portion of the PWP Incentive Plan Awards granted to certain employees vest upon the occurrence of both service and market conditions being</w:t>
      </w:r>
    </w:p>
    <w:p>
      <w:pPr>
        <w:jc w:val="both"/>
        <w:spacing w:after="0" w:line="216" w:lineRule="auto"/>
        <w:rPr>
          <w:sz w:val="20"/>
          <w:szCs w:val="20"/>
          <w:color w:val="auto"/>
        </w:rPr>
      </w:pPr>
      <w:r>
        <w:rPr>
          <w:rFonts w:ascii="Times New Roman" w:cs="Times New Roman" w:eastAsia="Times New Roman" w:hAnsi="Times New Roman"/>
          <w:sz w:val="17"/>
          <w:szCs w:val="17"/>
          <w:color w:val="auto"/>
        </w:rPr>
        <w:t>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Monte-Carlo simulation valuation model to determine the grant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which required significant judgment for various inputs including the risk-free interest rate, dividend yield and the volatility factor.</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11—Equity-Based Compensation in the notes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4"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Item 7—Management’s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Operations—Market Risk and Credit Risk.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7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4"/>
        </w:trPr>
        <w:tc>
          <w:tcPr>
            <w:tcW w:w="107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Report of Independent Registered Public Accounting Firm (PCAOB ID: 42)</w:t>
            </w:r>
          </w:p>
        </w:tc>
        <w:tc>
          <w:tcPr>
            <w:tcW w:w="534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41</w:t>
            </w: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Financial Condition as of December 31, 2024 and 2023</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44</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30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Operations for the Years Ended December 31, 2024, 2023, and 2022</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45</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2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7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Comprehensive Income (Loss) for the Years Ended December 31, 2024, 2023, and 2022</w:t>
            </w:r>
          </w:p>
        </w:tc>
        <w:tc>
          <w:tcPr>
            <w:tcW w:w="4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46</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80" w:type="dxa"/>
            <w:vAlign w:val="bottom"/>
            <w:gridSpan w:val="4"/>
            <w:shd w:val="clear" w:color="auto" w:fill="3051F2"/>
          </w:tcPr>
          <w:p>
            <w:pPr>
              <w:spacing w:after="0" w:line="20" w:lineRule="exact"/>
              <w:rPr>
                <w:sz w:val="1"/>
                <w:szCs w:val="1"/>
                <w:color w:val="auto"/>
              </w:rPr>
            </w:pPr>
          </w:p>
        </w:tc>
        <w:tc>
          <w:tcPr>
            <w:tcW w:w="1340" w:type="dxa"/>
            <w:vAlign w:val="bottom"/>
            <w:shd w:val="clear" w:color="auto" w:fill="3051F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40" w:type="dxa"/>
            <w:vAlign w:val="bottom"/>
            <w:tcBorders>
              <w:bottom w:val="single" w:sz="8" w:color="3051F2"/>
            </w:tcBorders>
            <w:gridSpan w:val="7"/>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Changes in Equity and Redeemable Non-Controlling Interests for the Years Ended December 31, 2024, 2023, and 2022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47</w:t>
            </w:r>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Cash Flows for the Years Ended December 31, 2024, 2023, and 2022</w:t>
            </w:r>
          </w:p>
        </w:tc>
        <w:tc>
          <w:tcPr>
            <w:tcW w:w="38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48</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sz w:val="20"/>
                <w:szCs w:val="20"/>
                <w:color w:val="auto"/>
              </w:rPr>
            </w:pPr>
            <w:r>
              <w:rPr>
                <w:rFonts w:ascii="Times New Roman" w:cs="Times New Roman" w:eastAsia="Times New Roman" w:hAnsi="Times New Roman"/>
                <w:sz w:val="18"/>
                <w:szCs w:val="18"/>
                <w:color w:val="3051F2"/>
                <w:w w:val="97"/>
              </w:rPr>
              <w:t>Notes to Consolidated Financial Statements</w:t>
            </w:r>
          </w:p>
        </w:tc>
        <w:tc>
          <w:tcPr>
            <w:tcW w:w="764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362" w:lineRule="exact"/>
        <w:rPr>
          <w:sz w:val="20"/>
          <w:szCs w:val="20"/>
          <w:color w:val="auto"/>
        </w:rPr>
      </w:pPr>
    </w:p>
    <w:p>
      <w:pPr>
        <w:ind w:right="3400" w:firstLine="3407"/>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Perella Weinberg Partners</w:t>
      </w: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Perella Weinberg Partners (the “Company”) as of December 31, 2024 and 2023, the related consolidated statements of operations, comprehensive income (loss), changes in equity and redeemable non-controlling interests and</w:t>
      </w:r>
    </w:p>
    <w:p>
      <w:pPr>
        <w:jc w:val="both"/>
        <w:spacing w:after="0" w:line="204" w:lineRule="auto"/>
        <w:rPr>
          <w:sz w:val="20"/>
          <w:szCs w:val="20"/>
          <w:color w:val="auto"/>
        </w:rPr>
      </w:pPr>
      <w:r>
        <w:rPr>
          <w:rFonts w:ascii="Times New Roman" w:cs="Times New Roman" w:eastAsia="Times New Roman" w:hAnsi="Times New Roman"/>
          <w:sz w:val="18"/>
          <w:szCs w:val="18"/>
          <w:color w:val="auto"/>
        </w:rPr>
        <w:t>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conformity with U.S. generally accepted accounting principles.</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Sponsoring Organizations of the Treadway Commission (2013 framework) and our report dated February 27, 2025, expressed an unqualified opinion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w:t>
      </w:r>
    </w:p>
    <w:p>
      <w:pPr>
        <w:jc w:val="both"/>
        <w:spacing w:after="0" w:line="235" w:lineRule="auto"/>
        <w:rPr>
          <w:sz w:val="20"/>
          <w:szCs w:val="20"/>
          <w:color w:val="auto"/>
        </w:rPr>
      </w:pPr>
      <w:r>
        <w:rPr>
          <w:rFonts w:ascii="Times New Roman" w:cs="Times New Roman" w:eastAsia="Times New Roman" w:hAnsi="Times New Roman"/>
          <w:sz w:val="17"/>
          <w:szCs w:val="17"/>
          <w:color w:val="auto"/>
        </w:rPr>
        <w:t>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w:t>
      </w:r>
    </w:p>
    <w:p>
      <w:pPr>
        <w:jc w:val="both"/>
        <w:spacing w:after="0" w:line="216" w:lineRule="auto"/>
        <w:rPr>
          <w:sz w:val="20"/>
          <w:szCs w:val="20"/>
          <w:color w:val="auto"/>
        </w:rPr>
      </w:pPr>
      <w:r>
        <w:rPr>
          <w:rFonts w:ascii="Times New Roman" w:cs="Times New Roman" w:eastAsia="Times New Roman" w:hAnsi="Times New Roman"/>
          <w:sz w:val="17"/>
          <w:szCs w:val="17"/>
          <w:color w:val="auto"/>
        </w:rPr>
        <w:t>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9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w:t>
      </w:r>
    </w:p>
    <w:p>
      <w:pPr>
        <w:jc w:val="both"/>
        <w:spacing w:after="0" w:line="222" w:lineRule="auto"/>
        <w:rPr>
          <w:sz w:val="20"/>
          <w:szCs w:val="20"/>
          <w:color w:val="auto"/>
        </w:rPr>
      </w:pPr>
      <w:r>
        <w:rPr>
          <w:rFonts w:ascii="Times New Roman" w:cs="Times New Roman" w:eastAsia="Times New Roman" w:hAnsi="Times New Roman"/>
          <w:sz w:val="18"/>
          <w:szCs w:val="18"/>
          <w:color w:val="auto"/>
        </w:rPr>
        <w:t>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1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Transaction-related Advisory Service Revenue</w:t>
      </w:r>
    </w:p>
    <w:p>
      <w:pPr>
        <w:sectPr>
          <w:pgSz w:w="11900" w:h="16838" w:orient="portrait"/>
          <w:cols w:equalWidth="0" w:num="1">
            <w:col w:w="11240"/>
          </w:cols>
          <w:pgMar w:left="320" w:top="1440"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right="660"/>
        <w:spacing w:after="0" w:line="232" w:lineRule="auto"/>
        <w:rPr>
          <w:sz w:val="20"/>
          <w:szCs w:val="20"/>
          <w:color w:val="auto"/>
        </w:rPr>
      </w:pPr>
      <w:r>
        <w:rPr>
          <w:rFonts w:ascii="Times New Roman" w:cs="Times New Roman" w:eastAsia="Times New Roman" w:hAnsi="Times New Roman"/>
          <w:sz w:val="18"/>
          <w:szCs w:val="18"/>
          <w:color w:val="auto"/>
        </w:rPr>
        <w:t>For the year ended December 31, 2024, the Company’s revenues totaled $878.0 million, a portion of which resulted from transaction-related advisory services. As explained in Note 2 to the consolidated financial statements, the Company provides transaction-related advisory services to its clients to assist with corporate finance activities that include, but are not limited to, mergers and acquisitions, reorganizations, tender offers, leveraged buyouts, and the pricing of securities to be issued. The Company recognizes revenue from transaction-related advisory services when or as its performance obligations are fulfilled. The recognition of transaction-related advisory services is often constrained until substantially all services have been provided, specified conditions have been met and/or certain milestones have been achieved, and it is probable that a significant revenue reversal will not occur in a future period. The determination of when and to what extent to recognize transaction-related advisory service revenues may require judgment, particularly when milestones are met near the end of a reporting period and in cases where additional services are expected to be provided subsequent to the achievement of the milestone.</w:t>
      </w:r>
    </w:p>
    <w:p>
      <w:pPr>
        <w:spacing w:after="0" w:line="200" w:lineRule="exact"/>
        <w:rPr>
          <w:sz w:val="20"/>
          <w:szCs w:val="20"/>
          <w:color w:val="auto"/>
        </w:rPr>
      </w:pPr>
    </w:p>
    <w:p>
      <w:pPr>
        <w:sectPr>
          <w:pgSz w:w="11900" w:h="16838" w:orient="portrait"/>
          <w:cols w:equalWidth="0" w:num="2">
            <w:col w:w="1840" w:space="720"/>
            <w:col w:w="8680"/>
          </w:cols>
          <w:pgMar w:left="320" w:top="1440" w:right="339" w:bottom="1440" w:gutter="0" w:footer="0" w:header="0"/>
          <w:type w:val="continuous"/>
        </w:sectPr>
      </w:pPr>
    </w:p>
    <w:p>
      <w:pPr>
        <w:spacing w:after="0" w:line="9" w:lineRule="exact"/>
        <w:rPr>
          <w:sz w:val="20"/>
          <w:szCs w:val="20"/>
          <w:color w:val="auto"/>
        </w:rPr>
      </w:pPr>
    </w:p>
    <w:p>
      <w:pPr>
        <w:jc w:val="both"/>
        <w:ind w:left="2560" w:right="680"/>
        <w:spacing w:after="0" w:line="239" w:lineRule="auto"/>
        <w:rPr>
          <w:sz w:val="20"/>
          <w:szCs w:val="20"/>
          <w:color w:val="auto"/>
        </w:rPr>
      </w:pPr>
      <w:r>
        <w:rPr>
          <w:rFonts w:ascii="Times New Roman" w:cs="Times New Roman" w:eastAsia="Times New Roman" w:hAnsi="Times New Roman"/>
          <w:sz w:val="18"/>
          <w:szCs w:val="18"/>
          <w:color w:val="auto"/>
        </w:rPr>
        <w:t>Auditing transaction-related advisory services revenue involved significant effort and was especially challenging due to the judgment involved to assess whether (1) all services have been provided, specified conditions have been met and/or certain milestones have been achieved and (2) it is probable a significant revenue reversal will not occur in a future period.</w:t>
      </w:r>
    </w:p>
    <w:p>
      <w:pPr>
        <w:sectPr>
          <w:pgSz w:w="11900" w:h="16838" w:orient="portrait"/>
          <w:cols w:equalWidth="0" w:num="1">
            <w:col w:w="11240"/>
          </w:cols>
          <w:pgMar w:left="320" w:top="1440" w:right="339" w:bottom="1440" w:gutter="0" w:footer="0" w:header="0"/>
          <w:type w:val="continuous"/>
        </w:sectPr>
      </w:pPr>
    </w:p>
    <w:p>
      <w:pPr>
        <w:spacing w:after="0" w:line="194"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the Company's</w:t>
      </w:r>
    </w:p>
    <w:tbl>
      <w:tblPr>
        <w:tblLayout w:type="fixed"/>
        <w:tblInd w:w="0" w:type="dxa"/>
        <w:tblCellMar>
          <w:top w:w="0" w:type="dxa"/>
          <w:left w:w="0" w:type="dxa"/>
          <w:bottom w:w="0" w:type="dxa"/>
          <w:right w:w="0" w:type="dxa"/>
        </w:tblCellMar>
      </w:tblPr>
      <w:tr>
        <w:trPr>
          <w:trHeight w:val="193"/>
        </w:trPr>
        <w:tc>
          <w:tcPr>
            <w:tcW w:w="166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i w:val="1"/>
                <w:iCs w:val="1"/>
                <w:color w:val="auto"/>
              </w:rPr>
              <w:t>Our Audit</w:t>
            </w:r>
          </w:p>
        </w:tc>
        <w:tc>
          <w:tcPr>
            <w:tcW w:w="9580" w:type="dxa"/>
            <w:vAlign w:val="bottom"/>
          </w:tcPr>
          <w:p>
            <w:pPr>
              <w:ind w:left="900"/>
              <w:spacing w:after="0" w:line="193" w:lineRule="exact"/>
              <w:rPr>
                <w:sz w:val="20"/>
                <w:szCs w:val="20"/>
                <w:color w:val="auto"/>
              </w:rPr>
            </w:pPr>
            <w:r>
              <w:rPr>
                <w:rFonts w:ascii="Times New Roman" w:cs="Times New Roman" w:eastAsia="Times New Roman" w:hAnsi="Times New Roman"/>
                <w:sz w:val="18"/>
                <w:szCs w:val="18"/>
                <w:color w:val="auto"/>
              </w:rPr>
              <w:t>controls over transaction-related advisory services revenue. This included, among others, testing management’s</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controls over the assessment of the fulfillment of its performance obligations and the evaluation of the revenue</w:t>
            </w:r>
          </w:p>
        </w:tc>
      </w:tr>
      <w:tr>
        <w:trPr>
          <w:trHeight w:val="231"/>
        </w:trPr>
        <w:tc>
          <w:tcPr>
            <w:tcW w:w="1660" w:type="dxa"/>
            <w:vAlign w:val="bottom"/>
          </w:tcPr>
          <w:p>
            <w:pPr>
              <w:spacing w:after="0"/>
              <w:rPr>
                <w:sz w:val="20"/>
                <w:szCs w:val="20"/>
                <w:color w:val="auto"/>
              </w:rPr>
            </w:pPr>
          </w:p>
        </w:tc>
        <w:tc>
          <w:tcPr>
            <w:tcW w:w="9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constraint for transactions that closed subsequent to the reporting period.</w:t>
            </w:r>
          </w:p>
        </w:tc>
      </w:tr>
      <w:tr>
        <w:trPr>
          <w:trHeight w:val="352"/>
        </w:trPr>
        <w:tc>
          <w:tcPr>
            <w:tcW w:w="1660" w:type="dxa"/>
            <w:vAlign w:val="bottom"/>
          </w:tcPr>
          <w:p>
            <w:pPr>
              <w:spacing w:after="0"/>
              <w:rPr>
                <w:sz w:val="24"/>
                <w:szCs w:val="24"/>
                <w:color w:val="auto"/>
              </w:rPr>
            </w:pPr>
          </w:p>
        </w:tc>
        <w:tc>
          <w:tcPr>
            <w:tcW w:w="9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 test the Company’s transaction-related advisory service revenue, our procedures included, among others,</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testing a sample of revenue transactions, including transactions occurring near the end of the reporting period to</w:t>
            </w:r>
          </w:p>
        </w:tc>
      </w:tr>
      <w:tr>
        <w:trPr>
          <w:trHeight w:val="185"/>
        </w:trPr>
        <w:tc>
          <w:tcPr>
            <w:tcW w:w="1660" w:type="dxa"/>
            <w:vAlign w:val="bottom"/>
          </w:tcPr>
          <w:p>
            <w:pPr>
              <w:spacing w:after="0"/>
              <w:rPr>
                <w:sz w:val="16"/>
                <w:szCs w:val="16"/>
                <w:color w:val="auto"/>
              </w:rPr>
            </w:pPr>
          </w:p>
        </w:tc>
        <w:tc>
          <w:tcPr>
            <w:tcW w:w="9580" w:type="dxa"/>
            <w:vAlign w:val="bottom"/>
          </w:tcPr>
          <w:p>
            <w:pPr>
              <w:ind w:left="900"/>
              <w:spacing w:after="0" w:line="186" w:lineRule="exact"/>
              <w:rPr>
                <w:sz w:val="20"/>
                <w:szCs w:val="20"/>
                <w:color w:val="auto"/>
              </w:rPr>
            </w:pPr>
            <w:r>
              <w:rPr>
                <w:rFonts w:ascii="Times New Roman" w:cs="Times New Roman" w:eastAsia="Times New Roman" w:hAnsi="Times New Roman"/>
                <w:sz w:val="18"/>
                <w:szCs w:val="18"/>
                <w:color w:val="auto"/>
              </w:rPr>
              <w:t>evaluate management’s assessment that it had met the conditions for revenue recognition. We made inquiries of</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management relating to their assessment of the satisfaction of performance obligations pursuant to the terms of</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the engagement letter and the probability of a significant revenue reversal in the future. We obtained and read the</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engagement letters and identified the services to be provided and the compensation to be received. We inspected</w:t>
            </w:r>
          </w:p>
        </w:tc>
      </w:tr>
      <w:tr>
        <w:trPr>
          <w:trHeight w:val="199"/>
        </w:trPr>
        <w:tc>
          <w:tcPr>
            <w:tcW w:w="1660" w:type="dxa"/>
            <w:vAlign w:val="bottom"/>
          </w:tcPr>
          <w:p>
            <w:pPr>
              <w:spacing w:after="0"/>
              <w:rPr>
                <w:sz w:val="17"/>
                <w:szCs w:val="17"/>
                <w:color w:val="auto"/>
              </w:rPr>
            </w:pPr>
          </w:p>
        </w:tc>
        <w:tc>
          <w:tcPr>
            <w:tcW w:w="958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relevant  documentation  such  as  transaction  close  documents,  press  releases,  court  approvals,  executed</w:t>
            </w:r>
          </w:p>
        </w:tc>
      </w:tr>
      <w:tr>
        <w:trPr>
          <w:trHeight w:val="231"/>
        </w:trPr>
        <w:tc>
          <w:tcPr>
            <w:tcW w:w="1660" w:type="dxa"/>
            <w:vAlign w:val="bottom"/>
          </w:tcPr>
          <w:p>
            <w:pPr>
              <w:spacing w:after="0"/>
              <w:rPr>
                <w:sz w:val="20"/>
                <w:szCs w:val="20"/>
                <w:color w:val="auto"/>
              </w:rPr>
            </w:pPr>
          </w:p>
        </w:tc>
        <w:tc>
          <w:tcPr>
            <w:tcW w:w="9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agreements and correspondence between third parties and the Company.</w:t>
            </w:r>
          </w:p>
        </w:tc>
      </w:tr>
      <w:tr>
        <w:trPr>
          <w:trHeight w:val="715"/>
        </w:trPr>
        <w:tc>
          <w:tcPr>
            <w:tcW w:w="1660" w:type="dxa"/>
            <w:vAlign w:val="bottom"/>
          </w:tcPr>
          <w:p>
            <w:pPr>
              <w:spacing w:after="0"/>
              <w:rPr>
                <w:sz w:val="24"/>
                <w:szCs w:val="24"/>
                <w:color w:val="auto"/>
              </w:rPr>
            </w:pPr>
          </w:p>
        </w:tc>
        <w:tc>
          <w:tcPr>
            <w:tcW w:w="95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42</w:t>
            </w:r>
          </w:p>
        </w:tc>
      </w:tr>
      <w:tr>
        <w:trPr>
          <w:trHeight w:val="310"/>
        </w:trPr>
        <w:tc>
          <w:tcPr>
            <w:tcW w:w="16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Internal Reorganization Accounting and Reporting</w:t>
            </w:r>
          </w:p>
        </w:tc>
        <w:tc>
          <w:tcPr>
            <w:tcW w:w="0" w:type="dxa"/>
            <w:vAlign w:val="bottom"/>
          </w:tcPr>
          <w:p>
            <w:pPr>
              <w:spacing w:after="0"/>
              <w:rPr>
                <w:sz w:val="1"/>
                <w:szCs w:val="1"/>
                <w:color w:val="auto"/>
              </w:rPr>
            </w:pPr>
          </w:p>
        </w:tc>
      </w:tr>
      <w:tr>
        <w:trPr>
          <w:trHeight w:val="199"/>
        </w:trPr>
        <w:tc>
          <w:tcPr>
            <w:tcW w:w="2180" w:type="dxa"/>
            <w:vAlign w:val="bottom"/>
            <w:vMerge w:val="continue"/>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On April 1, 2024, as part of an internal reorganization, PWP AdCo Professionals LP (“AdCo Professionals”)</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merged with and into PWP Holdings LP (“PWP OpCo”) (the “Merger”). As a result of the Merger, (i) the</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w w:val="99"/>
              </w:rPr>
              <w:t>partnership units of AdCo Professionals were converted into an equivalent number of partnership units of PWP</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OpCo, (ii) the net assets of AdCo Professionals became the net assets of PWP OpCo and (iii) PWP OpCo</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adopted an amended and restated limited partnership agreement that permits the Company to settle quarterly</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exchanges in cash or shares at the Company’s discretion. As disclosed in notes 1 and 11 to the consolidated</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8380" w:type="dxa"/>
            <w:vAlign w:val="bottom"/>
          </w:tcPr>
          <w:p>
            <w:pPr>
              <w:ind w:left="360"/>
              <w:spacing w:after="0" w:line="186" w:lineRule="exact"/>
              <w:rPr>
                <w:sz w:val="20"/>
                <w:szCs w:val="20"/>
                <w:color w:val="auto"/>
              </w:rPr>
            </w:pPr>
            <w:r>
              <w:rPr>
                <w:rFonts w:ascii="Times New Roman" w:cs="Times New Roman" w:eastAsia="Times New Roman" w:hAnsi="Times New Roman"/>
                <w:sz w:val="18"/>
                <w:szCs w:val="18"/>
                <w:color w:val="auto"/>
              </w:rPr>
              <w:t>financial statements, at the time of the Merger, the Company entered into vesting acceleration agreements with</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certain holders of AdCo Professionals partnership units which accelerated the vesting. The Merger and</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w w:val="99"/>
              </w:rPr>
              <w:t>accelerated vesting resulted in certain of these partnership unit awards being modified from equity-classified to</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liability-classified  awards  with  changes  in  fair  value  generally  recorded  as  incremental  equity-based</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compensation expense through the date of vesting. For the year ended December 31, 2024, the Company</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recorded $130.3 million of equity-based compensation expense related to the acceleration of these partnership</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w w:val="99"/>
              </w:rPr>
              <w:t>unit awards. Of that amount, $69.5 million was related to liability-classified awards. In addition, as disclosed in</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Note 10 to the consolidated financial statements as a result of the Merger, the Non-controlling interests on the</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Company’s Consolidated Statements of Financial Condition were reclassified to Redeemable non-controlling</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interests within temporary equity. Further, subsequent to the Merger, the Company began allocating the</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remaining expense associated with these partnership unit awards between Perella Weinberg Partners and Non-</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838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color w:val="auto"/>
              </w:rPr>
              <w:t>controlling interests in proportion to their ownership interests of PWP OpCo, which is consistent with the</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the other profit and loss activity.</w:t>
            </w:r>
          </w:p>
        </w:tc>
        <w:tc>
          <w:tcPr>
            <w:tcW w:w="0" w:type="dxa"/>
            <w:vAlign w:val="bottom"/>
          </w:tcPr>
          <w:p>
            <w:pPr>
              <w:spacing w:after="0"/>
              <w:rPr>
                <w:sz w:val="1"/>
                <w:szCs w:val="1"/>
                <w:color w:val="auto"/>
              </w:rPr>
            </w:pPr>
          </w:p>
        </w:tc>
      </w:tr>
      <w:tr>
        <w:trPr>
          <w:trHeight w:val="391"/>
        </w:trPr>
        <w:tc>
          <w:tcPr>
            <w:tcW w:w="2180" w:type="dxa"/>
            <w:vAlign w:val="bottom"/>
          </w:tcPr>
          <w:p>
            <w:pPr>
              <w:spacing w:after="0"/>
              <w:rPr>
                <w:sz w:val="24"/>
                <w:szCs w:val="24"/>
                <w:color w:val="auto"/>
              </w:rPr>
            </w:pPr>
          </w:p>
        </w:tc>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Auditing the internal reorganization was especially challenging because of the complexity of the transaction and</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related accounting guidance and reporting considerations.</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the Company's</w:t>
      </w:r>
    </w:p>
    <w:p>
      <w:pPr>
        <w:sectPr>
          <w:pgSz w:w="11900" w:h="16838" w:orient="portrait"/>
          <w:cols w:equalWidth="0" w:num="1">
            <w:col w:w="10560"/>
          </w:cols>
          <w:pgMar w:left="340" w:top="1440" w:right="999" w:bottom="1440" w:gutter="0" w:footer="0" w:header="0"/>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Audit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controls related to the internal reorganization. This included, among others, testing management’s controls over the evaluation and application of accounting and reporting guidance in recording and reporting the financial statement impacts of the internal reorganization.</w:t>
      </w:r>
    </w:p>
    <w:p>
      <w:pPr>
        <w:spacing w:after="0" w:line="154" w:lineRule="exact"/>
        <w:rPr>
          <w:sz w:val="20"/>
          <w:szCs w:val="20"/>
          <w:color w:val="auto"/>
        </w:rPr>
      </w:pPr>
    </w:p>
    <w:p>
      <w:pPr>
        <w:sectPr>
          <w:pgSz w:w="11900" w:h="16838" w:orient="portrait"/>
          <w:cols w:equalWidth="0" w:num="2">
            <w:col w:w="1820" w:space="720"/>
            <w:col w:w="8020"/>
          </w:cols>
          <w:pgMar w:left="340" w:top="1440" w:right="999" w:bottom="1440" w:gutter="0" w:footer="0" w:header="0"/>
          <w:type w:val="continuous"/>
        </w:sectPr>
      </w:pPr>
    </w:p>
    <w:p>
      <w:pPr>
        <w:jc w:val="both"/>
        <w:ind w:left="2540"/>
        <w:spacing w:after="0" w:line="234" w:lineRule="auto"/>
        <w:rPr>
          <w:sz w:val="20"/>
          <w:szCs w:val="20"/>
          <w:color w:val="auto"/>
        </w:rPr>
      </w:pPr>
      <w:r>
        <w:rPr>
          <w:rFonts w:ascii="Times New Roman" w:cs="Times New Roman" w:eastAsia="Times New Roman" w:hAnsi="Times New Roman"/>
          <w:sz w:val="18"/>
          <w:szCs w:val="18"/>
          <w:color w:val="auto"/>
        </w:rPr>
        <w:t>To test the Company’s evaluation of and accounting and reporting for the internal reorganization, our procedures included, among others, obtaining and reading the amended and restated PWP OpCo limited partnership agreement, vesting acceleration agreements and other relevant documents, assessing settlement and acceleration provisions, considering management’s conclusions regarding the accounting and reporting, and evaluating the Company’s financial statement presentation and disclosures, including equity-based compensation expense and non-controlling interest classification and measurement.</w:t>
      </w:r>
    </w:p>
    <w:p>
      <w:pPr>
        <w:sectPr>
          <w:pgSz w:w="11900" w:h="16838" w:orient="portrait"/>
          <w:cols w:equalWidth="0" w:num="1">
            <w:col w:w="10560"/>
          </w:cols>
          <w:pgMar w:left="340" w:top="1440" w:right="99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187325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340" w:top="1440" w:right="999" w:bottom="1440" w:gutter="0" w:footer="0" w:header="0"/>
          <w:type w:val="continuous"/>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331,558</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lease assets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92,969</w:t>
            </w:r>
          </w:p>
        </w:tc>
        <w:tc>
          <w:tcPr>
            <w:tcW w:w="8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72"/>
        </w:trPr>
        <w:tc>
          <w:tcPr>
            <w:tcW w:w="7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c>
          <w:tcPr>
            <w:tcW w:w="80" w:type="dxa"/>
            <w:vAlign w:val="bottom"/>
          </w:tcPr>
          <w:p>
            <w:pPr>
              <w:spacing w:after="0"/>
              <w:rPr>
                <w:sz w:val="23"/>
                <w:szCs w:val="23"/>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325,225</w:t>
            </w:r>
          </w:p>
        </w:tc>
        <w:tc>
          <w:tcPr>
            <w:tcW w:w="8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233,927</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c>
          <w:tcPr>
            <w:tcW w:w="0" w:type="dxa"/>
            <w:vAlign w:val="bottom"/>
          </w:tcPr>
          <w:p>
            <w:pPr>
              <w:spacing w:after="0"/>
              <w:rPr>
                <w:sz w:val="1"/>
                <w:szCs w:val="1"/>
                <w:color w:val="auto"/>
              </w:rPr>
            </w:pPr>
          </w:p>
        </w:tc>
      </w:tr>
      <w:tr>
        <w:trPr>
          <w:trHeight w:val="27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8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0" w:type="dxa"/>
            <w:vAlign w:val="bottom"/>
          </w:tcPr>
          <w:p>
            <w:pPr>
              <w:spacing w:after="0"/>
              <w:rPr>
                <w:sz w:val="1"/>
                <w:szCs w:val="1"/>
                <w:color w:val="auto"/>
              </w:rPr>
            </w:pPr>
          </w:p>
        </w:tc>
      </w:tr>
      <w:tr>
        <w:trPr>
          <w:trHeight w:val="272"/>
        </w:trPr>
        <w:tc>
          <w:tcPr>
            <w:tcW w:w="7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646,986</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492,862</w:t>
            </w: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27,460,600 units at redemption value of $23.71 per unit as of</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651,140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Class A common stock, par value $0.0001 per share (1,500,000,000 shares authorized, 72,544,696 issued and</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59,181,721 outstanding at December 31, 2024; 1,500,000,000 shares authorized, 57,361,073 issued and</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44,642,849 outstanding at December 31, 2023)</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7"/>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27,460,600 issued and</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2024; 600,000,000 shares authorized, 41,589,339 issued and outstanding at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7"/>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2024 and December 31, 2023)</w:t>
            </w:r>
          </w:p>
        </w:tc>
        <w:tc>
          <w:tcPr>
            <w:tcW w:w="3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312,523</w:t>
            </w:r>
          </w:p>
        </w:tc>
        <w:tc>
          <w:tcPr>
            <w:tcW w:w="0" w:type="dxa"/>
            <w:vAlign w:val="bottom"/>
          </w:tcPr>
          <w:p>
            <w:pPr>
              <w:spacing w:after="0"/>
              <w:rPr>
                <w:sz w:val="1"/>
                <w:szCs w:val="1"/>
                <w:color w:val="auto"/>
              </w:rPr>
            </w:pPr>
          </w:p>
        </w:tc>
      </w:tr>
      <w:tr>
        <w:trPr>
          <w:trHeight w:val="225"/>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7"/>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 at cost (13,362,975 and 12,718,224 shares of Class A common stock at December 31, 2024</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(100,747)</w:t>
            </w:r>
          </w:p>
        </w:tc>
        <w:tc>
          <w:tcPr>
            <w:tcW w:w="0" w:type="dxa"/>
            <w:vAlign w:val="bottom"/>
          </w:tcPr>
          <w:p>
            <w:pPr>
              <w:spacing w:after="0"/>
              <w:rPr>
                <w:sz w:val="1"/>
                <w:szCs w:val="1"/>
                <w:color w:val="auto"/>
              </w:rPr>
            </w:pPr>
          </w:p>
        </w:tc>
      </w:tr>
      <w:tr>
        <w:trPr>
          <w:trHeight w:val="25"/>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(421,375)</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152,656</w:t>
            </w:r>
          </w:p>
        </w:tc>
        <w:tc>
          <w:tcPr>
            <w:tcW w:w="0" w:type="dxa"/>
            <w:vAlign w:val="bottom"/>
          </w:tcPr>
          <w:p>
            <w:pPr>
              <w:spacing w:after="0"/>
              <w:rPr>
                <w:sz w:val="1"/>
                <w:szCs w:val="1"/>
                <w:color w:val="auto"/>
              </w:rPr>
            </w:pPr>
          </w:p>
        </w:tc>
      </w:tr>
      <w:tr>
        <w:trPr>
          <w:trHeight w:val="272"/>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115,590</w:t>
            </w:r>
          </w:p>
        </w:tc>
        <w:tc>
          <w:tcPr>
            <w:tcW w:w="0" w:type="dxa"/>
            <w:vAlign w:val="bottom"/>
          </w:tcPr>
          <w:p>
            <w:pPr>
              <w:spacing w:after="0"/>
              <w:rPr>
                <w:sz w:val="1"/>
                <w:szCs w:val="1"/>
                <w:color w:val="auto"/>
              </w:rPr>
            </w:pPr>
          </w:p>
        </w:tc>
      </w:tr>
      <w:tr>
        <w:trPr>
          <w:trHeight w:val="271"/>
        </w:trPr>
        <w:tc>
          <w:tcPr>
            <w:tcW w:w="7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(421,375)</w:t>
            </w:r>
          </w:p>
        </w:tc>
        <w:tc>
          <w:tcPr>
            <w:tcW w:w="8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c>
          <w:tcPr>
            <w:tcW w:w="0" w:type="dxa"/>
            <w:vAlign w:val="bottom"/>
          </w:tcPr>
          <w:p>
            <w:pPr>
              <w:spacing w:after="0"/>
              <w:rPr>
                <w:sz w:val="1"/>
                <w:szCs w:val="1"/>
                <w:color w:val="auto"/>
              </w:rPr>
            </w:pPr>
          </w:p>
        </w:tc>
      </w:tr>
      <w:tr>
        <w:trPr>
          <w:trHeight w:val="271"/>
        </w:trPr>
        <w:tc>
          <w:tcPr>
            <w:tcW w:w="7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876,751</w:t>
            </w:r>
          </w:p>
        </w:tc>
        <w:tc>
          <w:tcPr>
            <w:tcW w:w="80" w:type="dxa"/>
            <w:vAlign w:val="bottom"/>
          </w:tcPr>
          <w:p>
            <w:pPr>
              <w:spacing w:after="0"/>
              <w:rPr>
                <w:sz w:val="23"/>
                <w:szCs w:val="23"/>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525,941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0" w:type="dxa"/>
            <w:vAlign w:val="bottom"/>
          </w:tcPr>
          <w:p>
            <w:pPr>
              <w:spacing w:after="0"/>
              <w:rPr>
                <w:sz w:val="1"/>
                <w:szCs w:val="1"/>
                <w:color w:val="auto"/>
              </w:rPr>
            </w:pPr>
          </w:p>
        </w:tc>
      </w:tr>
      <w:tr>
        <w:trPr>
          <w:trHeight w:val="278"/>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0" w:type="dxa"/>
            <w:vAlign w:val="bottom"/>
          </w:tcPr>
          <w:p>
            <w:pPr>
              <w:spacing w:after="0"/>
              <w:rPr>
                <w:sz w:val="1"/>
                <w:szCs w:val="1"/>
                <w:color w:val="auto"/>
              </w:rPr>
            </w:pPr>
          </w:p>
        </w:tc>
      </w:tr>
      <w:tr>
        <w:trPr>
          <w:trHeight w:val="27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72"/>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956,571</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0" w:type="dxa"/>
            <w:vAlign w:val="bottom"/>
          </w:tcPr>
          <w:p>
            <w:pPr>
              <w:spacing w:after="0"/>
              <w:rPr>
                <w:sz w:val="1"/>
                <w:szCs w:val="1"/>
                <w:color w:val="auto"/>
              </w:rPr>
            </w:pP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0" w:type="dxa"/>
            <w:vAlign w:val="bottom"/>
          </w:tcPr>
          <w:p>
            <w:pPr>
              <w:spacing w:after="0"/>
              <w:rPr>
                <w:sz w:val="1"/>
                <w:szCs w:val="1"/>
                <w:color w:val="auto"/>
              </w:rPr>
            </w:pPr>
          </w:p>
        </w:tc>
      </w:tr>
      <w:tr>
        <w:trPr>
          <w:trHeight w:val="272"/>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8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0" w:type="dxa"/>
            <w:vAlign w:val="bottom"/>
          </w:tcPr>
          <w:p>
            <w:pPr>
              <w:spacing w:after="0"/>
              <w:rPr>
                <w:sz w:val="1"/>
                <w:szCs w:val="1"/>
                <w:color w:val="auto"/>
              </w:rPr>
            </w:pP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0" w:type="dxa"/>
            <w:vAlign w:val="bottom"/>
          </w:tcPr>
          <w:p>
            <w:pPr>
              <w:spacing w:after="0"/>
              <w:rPr>
                <w:sz w:val="1"/>
                <w:szCs w:val="1"/>
                <w:color w:val="auto"/>
              </w:rPr>
            </w:pPr>
          </w:p>
        </w:tc>
      </w:tr>
      <w:tr>
        <w:trPr>
          <w:trHeight w:val="278"/>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0" w:type="dxa"/>
            <w:vAlign w:val="bottom"/>
          </w:tcPr>
          <w:p>
            <w:pPr>
              <w:spacing w:after="0"/>
              <w:rPr>
                <w:sz w:val="1"/>
                <w:szCs w:val="1"/>
                <w:color w:val="auto"/>
              </w:rPr>
            </w:pPr>
          </w:p>
        </w:tc>
      </w:tr>
      <w:tr>
        <w:trPr>
          <w:trHeight w:val="278"/>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0" w:type="dxa"/>
            <w:vAlign w:val="bottom"/>
          </w:tcPr>
          <w:p>
            <w:pPr>
              <w:spacing w:after="0"/>
              <w:rPr>
                <w:sz w:val="1"/>
                <w:szCs w:val="1"/>
                <w:color w:val="auto"/>
              </w:rPr>
            </w:pPr>
          </w:p>
        </w:tc>
      </w:tr>
      <w:tr>
        <w:trPr>
          <w:trHeight w:val="29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43,273,939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86,779,052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9" w:right="379"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46"/>
        </w:trPr>
        <w:tc>
          <w:tcPr>
            <w:tcW w:w="6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
        </w:trPr>
        <w:tc>
          <w:tcPr>
            <w:tcW w:w="6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7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(91,878)</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r>
      <w:tr>
        <w:trPr>
          <w:trHeight w:val="278"/>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(54,515)</w:t>
            </w:r>
          </w:p>
        </w:tc>
      </w:tr>
      <w:tr>
        <w:trPr>
          <w:trHeight w:val="29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and Redeemable Non-Controlling Interests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3"/>
                <w:szCs w:val="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0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6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vMerge w:val="continue"/>
          </w:tcPr>
          <w:p>
            <w:pPr>
              <w:spacing w:after="0"/>
              <w:rPr>
                <w:sz w:val="12"/>
                <w:szCs w:val="12"/>
                <w:color w:val="auto"/>
              </w:rPr>
            </w:pPr>
          </w:p>
        </w:tc>
        <w:tc>
          <w:tcPr>
            <w:tcW w:w="7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1060" w:type="dxa"/>
            <w:vAlign w:val="bottom"/>
            <w:gridSpan w:val="3"/>
          </w:tcPr>
          <w:p>
            <w:pPr>
              <w:jc w:val="right"/>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86"/>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43,649,319</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50,154,199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158,131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156,420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PWP Incentive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1,426,073</w:t>
            </w:r>
          </w:p>
        </w:tc>
        <w:tc>
          <w:tcPr>
            <w:tcW w:w="8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Awards</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PWP Incentive Plan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gain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with</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corresponding 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for cash</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using 2022 Offering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(Note 10—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Redeemable Non-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3,502,033</w:t>
            </w:r>
          </w:p>
        </w:tc>
        <w:tc>
          <w:tcPr>
            <w:tcW w:w="80" w:type="dxa"/>
            <w:vAlign w:val="bottom"/>
          </w:tcPr>
          <w:p>
            <w:pPr>
              <w:spacing w:after="0"/>
              <w:rPr>
                <w:sz w:val="16"/>
                <w:szCs w:val="16"/>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(3,498,534)</w:t>
            </w:r>
          </w:p>
        </w:tc>
        <w:tc>
          <w:tcPr>
            <w:tcW w:w="8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Controlling Interests)</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corresponding Class B</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for Class</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common stock (Note</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10—Stockholders’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and Redeemable</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2,093,874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(2,091,788)</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exchange for</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1,565,948</w:t>
            </w:r>
          </w:p>
        </w:tc>
        <w:tc>
          <w:tcPr>
            <w:tcW w:w="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(9,544,016)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(68,687)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ownership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52,237,247</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44,563,877</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(10,492,286)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(80,067)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242,129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260,140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partners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PWP Incentive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2,146,320</w:t>
            </w:r>
          </w:p>
        </w:tc>
        <w:tc>
          <w:tcPr>
            <w:tcW w:w="8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Awards</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PWP Incentive Plan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gain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OpCo Units and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corresponding Class B</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common stock for Class</w:t>
      </w:r>
    </w:p>
    <w:p>
      <w:pPr>
        <w:sectPr>
          <w:pgSz w:w="11900" w:h="16838" w:orient="portrait"/>
          <w:cols w:equalWidth="0" w:num="1">
            <w:col w:w="11240"/>
          </w:cols>
          <w:pgMar w:left="320" w:top="119" w:right="3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10—Stockholders’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and Redeemable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2,977,506</w:t>
            </w:r>
          </w:p>
        </w:tc>
        <w:tc>
          <w:tcPr>
            <w:tcW w:w="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(2,974,538)</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(2,376,683)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ownership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57,361,073</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41,589,339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(12,718,224)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(100,747)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(4,480)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115,590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268,246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the Merger</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related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transactions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(6,149,211)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(109,674)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97,496</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Reclassification of</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liability-classified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equity-based awards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Equity-based awards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115,558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60,794</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partners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(19,638)</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vested PWP Incentive</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Plan Awards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4,654,302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355,249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Withholding tax</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payments on vested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PWP Incentive Plan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Awards and equity-</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classified ACUs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Dividends declared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($0.28 per share of</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Class A common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translation gain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Class 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stock in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public offering (Note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10—Stockholders’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 and</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corresponding Class B</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common stock for cash</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(Note 10—</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Redeemable Non-</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Controlling Interests)</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(3,204,979)</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(57,105)</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Exchange of PWP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OpCo Units and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corresponding Class B</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stock for</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Class A common 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 10—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Redeemable Non-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Controlling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4,779,321</w:t>
            </w:r>
          </w:p>
        </w:tc>
        <w:tc>
          <w:tcPr>
            <w:tcW w:w="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(4,774,549)</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Treasury stock</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ownership</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Changes in redemption</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value of redeemable</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(426,573)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588,172</w:t>
            </w:r>
          </w:p>
        </w:tc>
        <w:tc>
          <w:tcPr>
            <w:tcW w:w="0" w:type="dxa"/>
            <w:vAlign w:val="bottom"/>
          </w:tcPr>
          <w:p>
            <w:pPr>
              <w:spacing w:after="0"/>
              <w:rPr>
                <w:sz w:val="1"/>
                <w:szCs w:val="1"/>
                <w:color w:val="auto"/>
              </w:rPr>
            </w:pPr>
          </w:p>
        </w:tc>
      </w:tr>
      <w:tr>
        <w:trPr>
          <w:trHeight w:val="210"/>
        </w:trPr>
        <w:tc>
          <w:tcPr>
            <w:tcW w:w="1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vMerge w:val="continue"/>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72,544,696</w:t>
            </w:r>
          </w:p>
        </w:tc>
        <w:tc>
          <w:tcPr>
            <w:tcW w:w="80" w:type="dxa"/>
            <w:vAlign w:val="bottom"/>
          </w:tcPr>
          <w:p>
            <w:pPr>
              <w:spacing w:after="0"/>
              <w:rPr>
                <w:sz w:val="15"/>
                <w:szCs w:val="15"/>
                <w:color w:val="auto"/>
              </w:rPr>
            </w:pPr>
          </w:p>
        </w:tc>
        <w:tc>
          <w:tcPr>
            <w:tcW w:w="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27,460,600</w:t>
            </w:r>
          </w:p>
        </w:tc>
        <w:tc>
          <w:tcPr>
            <w:tcW w:w="80" w:type="dxa"/>
            <w:vAlign w:val="bottom"/>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(13,362,975)</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 (111,484)</w:t>
            </w: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5"/>
                <w:szCs w:val="15"/>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(303,708)</w:t>
            </w:r>
          </w:p>
        </w:tc>
        <w:tc>
          <w:tcPr>
            <w:tcW w:w="8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(6,193)</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(421,375)</w:t>
            </w:r>
          </w:p>
        </w:tc>
        <w:tc>
          <w:tcPr>
            <w:tcW w:w="8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651,140</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236" w:right="339" w:bottom="1440" w:gutter="0" w:footer="0" w:header="0"/>
        </w:sectPr>
      </w:pP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8"/>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2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(31,747)</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156,420</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(15,806)</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214"/>
        </w:trPr>
        <w:tc>
          <w:tcPr>
            <w:tcW w:w="6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(24,339)</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(14,440)</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(97,135)</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w:t>
            </w:r>
          </w:p>
        </w:tc>
        <w:tc>
          <w:tcPr>
            <w:tcW w:w="0" w:type="dxa"/>
            <w:vAlign w:val="bottom"/>
          </w:tcPr>
          <w:p>
            <w:pPr>
              <w:spacing w:after="0"/>
              <w:rPr>
                <w:sz w:val="1"/>
                <w:szCs w:val="1"/>
                <w:color w:val="auto"/>
              </w:rPr>
            </w:pPr>
          </w:p>
        </w:tc>
      </w:tr>
      <w:tr>
        <w:trPr>
          <w:trHeight w:val="214"/>
        </w:trPr>
        <w:tc>
          <w:tcPr>
            <w:tcW w:w="6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c>
          <w:tcPr>
            <w:tcW w:w="0" w:type="dxa"/>
            <w:vAlign w:val="bottom"/>
          </w:tcPr>
          <w:p>
            <w:pPr>
              <w:spacing w:after="0"/>
              <w:rPr>
                <w:sz w:val="1"/>
                <w:szCs w:val="1"/>
                <w:color w:val="auto"/>
              </w:rPr>
            </w:pPr>
          </w:p>
        </w:tc>
      </w:tr>
      <w:tr>
        <w:trPr>
          <w:trHeight w:val="172"/>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(26,560)</w:t>
            </w:r>
          </w:p>
        </w:tc>
        <w:tc>
          <w:tcPr>
            <w:tcW w:w="0" w:type="dxa"/>
            <w:vAlign w:val="bottom"/>
          </w:tcPr>
          <w:p>
            <w:pPr>
              <w:spacing w:after="0"/>
              <w:rPr>
                <w:sz w:val="1"/>
                <w:szCs w:val="1"/>
                <w:color w:val="auto"/>
              </w:rPr>
            </w:pPr>
          </w:p>
        </w:tc>
      </w:tr>
      <w:tr>
        <w:trPr>
          <w:trHeight w:val="214"/>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(139,171)</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(166,231)</w:t>
            </w:r>
          </w:p>
        </w:tc>
        <w:tc>
          <w:tcPr>
            <w:tcW w:w="0" w:type="dxa"/>
            <w:vAlign w:val="bottom"/>
          </w:tcPr>
          <w:p>
            <w:pPr>
              <w:spacing w:after="0"/>
              <w:rPr>
                <w:sz w:val="1"/>
                <w:szCs w:val="1"/>
                <w:color w:val="auto"/>
              </w:rPr>
            </w:pPr>
          </w:p>
        </w:tc>
      </w:tr>
      <w:tr>
        <w:trPr>
          <w:trHeight w:val="172"/>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offering costs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35,208</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 and equity-classified ACUs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0" w:type="dxa"/>
            <w:vAlign w:val="bottom"/>
          </w:tcPr>
          <w:p>
            <w:pPr>
              <w:spacing w:after="0"/>
              <w:rPr>
                <w:sz w:val="1"/>
                <w:szCs w:val="1"/>
                <w:color w:val="auto"/>
              </w:rPr>
            </w:pPr>
          </w:p>
        </w:tc>
      </w:tr>
      <w:tr>
        <w:trPr>
          <w:trHeight w:val="191"/>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(68,452)</w:t>
            </w: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pursuant to tax receivable agreement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8"/>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(136,768)</w:t>
            </w:r>
          </w:p>
        </w:tc>
        <w:tc>
          <w:tcPr>
            <w:tcW w:w="0" w:type="dxa"/>
            <w:vAlign w:val="bottom"/>
          </w:tcPr>
          <w:p>
            <w:pPr>
              <w:spacing w:after="0"/>
              <w:rPr>
                <w:sz w:val="1"/>
                <w:szCs w:val="1"/>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(330,609)</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0" w:type="dxa"/>
            <w:vAlign w:val="bottom"/>
          </w:tcPr>
          <w:p>
            <w:pPr>
              <w:spacing w:after="0"/>
              <w:rPr>
                <w:sz w:val="1"/>
                <w:szCs w:val="1"/>
                <w:color w:val="auto"/>
              </w:rPr>
            </w:pPr>
          </w:p>
        </w:tc>
      </w:tr>
      <w:tr>
        <w:trPr>
          <w:trHeight w:val="24"/>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arising from obtaining right-of-use lease assets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131,232</w:t>
            </w:r>
          </w:p>
        </w:tc>
        <w:tc>
          <w:tcPr>
            <w:tcW w:w="0" w:type="dxa"/>
            <w:vAlign w:val="bottom"/>
          </w:tcPr>
          <w:p>
            <w:pPr>
              <w:spacing w:after="0"/>
              <w:rPr>
                <w:sz w:val="1"/>
                <w:szCs w:val="1"/>
                <w:color w:val="auto"/>
              </w:rPr>
            </w:pPr>
          </w:p>
        </w:tc>
      </w:tr>
      <w:tr>
        <w:trPr>
          <w:trHeight w:val="225"/>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distributions to partners</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0" w:type="dxa"/>
            <w:vAlign w:val="bottom"/>
          </w:tcPr>
          <w:p>
            <w:pPr>
              <w:spacing w:after="0"/>
              <w:rPr>
                <w:sz w:val="1"/>
                <w:szCs w:val="1"/>
                <w:color w:val="auto"/>
              </w:rPr>
            </w:pPr>
          </w:p>
        </w:tc>
      </w:tr>
      <w:tr>
        <w:trPr>
          <w:trHeight w:val="172"/>
        </w:trPr>
        <w:tc>
          <w:tcPr>
            <w:tcW w:w="6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Accrued dividend equivalents and dividend equivalent units on unvested PWP</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Plan Awards</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paydown of Partner promissory notes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72"/>
        </w:trPr>
        <w:tc>
          <w:tcPr>
            <w:tcW w:w="6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Deferred tax effect resulting from changes in ownership and exchanges of PWP</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OpCo Units, net of amounts payable under tax receivable agreement</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treasury stock purchases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5"/>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liability-classified equity-based awards</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60" w:top="119" w:right="3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Perella Weinberg Partners and its consolidated subsidiaries, including PWP Holdings LP (“PWP OpCo”) (collectively, “PWP” and the “Company”), is a</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capital placement, as well as specialized underwriting and research services primarily for the energy and related industries.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a Business Combination Agreement that resulted in PWP OpCo becoming jointly-owned by Perella Weinberg Partners, PWP Professional Partners LP (together with its successors (including pursuant to the Division and</w:t>
      </w:r>
    </w:p>
    <w:p>
      <w:pPr>
        <w:jc w:val="both"/>
        <w:spacing w:after="0" w:line="222" w:lineRule="auto"/>
        <w:rPr>
          <w:sz w:val="20"/>
          <w:szCs w:val="20"/>
          <w:color w:val="auto"/>
        </w:rPr>
      </w:pPr>
      <w:r>
        <w:rPr>
          <w:rFonts w:ascii="Times New Roman" w:cs="Times New Roman" w:eastAsia="Times New Roman" w:hAnsi="Times New Roman"/>
          <w:sz w:val="18"/>
          <w:szCs w:val="18"/>
          <w:color w:val="auto"/>
        </w:rPr>
        <w:t>Merger (each as defined below)) and assigns, as applicable, “Professional Partners”) and certain existing partners of PWP OpCo as part of an umbrella limited partnership C-corporation (Up-C) structure (the “Business Combination”).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December 31, 2023, as part of an internal reorganization, Professional Partners was divided into three partnerships pursuant to a plan of division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Professionals LP.</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April 1, 2024, as part of this internal reorganization, AdCo Professionals merged with and into PWP OpCo (the “Merger”). At the time of the Merger,</w:t>
      </w:r>
    </w:p>
    <w:p>
      <w:pPr>
        <w:jc w:val="both"/>
        <w:ind w:firstLine="6"/>
        <w:spacing w:after="0" w:line="211"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10—Stockholders’ Equity and Redeemable Non-Controlling Interests and Note 11—Equity-Based Compensation for additional information on the Merger and related transactions.</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318"/>
        <w:spacing w:after="0" w:line="219"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w:t>
      </w:r>
    </w:p>
    <w:p>
      <w:pPr>
        <w:jc w:val="both"/>
        <w:spacing w:after="0" w:line="235" w:lineRule="auto"/>
        <w:rPr>
          <w:sz w:val="20"/>
          <w:szCs w:val="20"/>
          <w:color w:val="auto"/>
        </w:rPr>
      </w:pPr>
      <w:r>
        <w:rPr>
          <w:rFonts w:ascii="Times New Roman" w:cs="Times New Roman" w:eastAsia="Times New Roman" w:hAnsi="Times New Roman"/>
          <w:sz w:val="17"/>
          <w:szCs w:val="17"/>
          <w:color w:val="auto"/>
        </w:rPr>
        <w:t>compensation, expected insurance reimbursements related to litigation costs, evaluation of goodwill and intangible assets, fair value measurement of financial instruments, and other matters that affect the reported amounts and disclosures of contingencies in the consolidated financial statements and notes thereto.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December 31, 2024 and 2023, the Company had restricted cash of $1.2 million and $2.9 million,</w:t>
      </w:r>
    </w:p>
    <w:p>
      <w:pPr>
        <w:jc w:val="both"/>
        <w:spacing w:after="0" w:line="216" w:lineRule="auto"/>
        <w:rPr>
          <w:sz w:val="20"/>
          <w:szCs w:val="20"/>
          <w:color w:val="auto"/>
        </w:rPr>
      </w:pPr>
      <w:r>
        <w:rPr>
          <w:rFonts w:ascii="Times New Roman" w:cs="Times New Roman" w:eastAsia="Times New Roman" w:hAnsi="Times New Roman"/>
          <w:sz w:val="17"/>
          <w:szCs w:val="17"/>
          <w:color w:val="auto"/>
        </w:rPr>
        <w:t>respectively, maintained as collateral for letters of credit related to certain office leases. As of December 31, 2024, the company held cash equivalents of $20.2 million, which included investments in U.S. Treasury securities with an original maturity from the date of purchase of three months or less. The Company held no cash equivalents as of December 31, 2023. The sum of Cash and cash equivalents and Restricted cash on the Consolidated Statements of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corresponds to the total cash, cash equivalents, and restricted cash presented on the Consolidated Statements of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Short-Term Marketable Debt Securities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invests in short-term marketable debt securities to manage excess liquidity. In general, these investments are recorded on the Consolidated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 As of December 31, 2024 and 2023, Investments in short-term marketable debt securities on the Consolidated Statements of Financial Condition consist solely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Treasury securities held by a consolidated broker-dealer subsidiary. The investments are carried at fair value as is required for broker-dealers.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Accounts receivable are presented net of allowance for credit losses based on the Company’s assessment of collectability. The Company regularly reviews</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its accounts receivable for collectability and an allowance is recognized for expected credit losses, if required. The Company maintains an allowance for credit 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Company’s historical credit loss experience and taking into consideration current market conditions and supportable forecasts that affect the collectability of the reported amount. The Company updates its expected credit loss rates periodically and maintains a quarterly allowance review process to consider current factors that would require an adjustment to the credit loss allowance. Changes to expected credit losses during the period are included in General,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administrative and other expenses on the Consolidated Statements of Operations. After concluding that a reserved accounts receivable is no longer collectible, the Company reduces both the gross receivable and the allowance for credit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w:t>
      </w:r>
    </w:p>
    <w:p>
      <w:pPr>
        <w:jc w:val="both"/>
        <w:spacing w:after="0" w:line="222" w:lineRule="auto"/>
        <w:rPr>
          <w:sz w:val="20"/>
          <w:szCs w:val="20"/>
          <w:color w:val="auto"/>
        </w:rPr>
      </w:pPr>
      <w:r>
        <w:rPr>
          <w:rFonts w:ascii="Times New Roman" w:cs="Times New Roman" w:eastAsia="Times New Roman" w:hAnsi="Times New Roman"/>
          <w:sz w:val="18"/>
          <w:szCs w:val="18"/>
          <w:color w:val="auto"/>
        </w:rPr>
        <w:t>for leasehold improvements; and (iii) three years for software development costs. The Company evaluates fixed assets for impairment whenever events or changes in circumstances indicate that an asset’s carrying value may not be fully recovered.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Goodwill is recorded for the excess of the fair value of consideration transferred over the fair value of identifiable net assets, including other intangibles,</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tests intangible assets for impairment whenever events or circumstances indicate that the carrying amount of such assets may not be recoverable.</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Consolidated Statements of Financial Condition and</w:t>
      </w:r>
    </w:p>
    <w:p>
      <w:pPr>
        <w:jc w:val="both"/>
        <w:spacing w:after="0" w:line="214" w:lineRule="auto"/>
        <w:rPr>
          <w:sz w:val="20"/>
          <w:szCs w:val="20"/>
          <w:color w:val="auto"/>
        </w:rPr>
      </w:pPr>
      <w:r>
        <w:rPr>
          <w:rFonts w:ascii="Times New Roman" w:cs="Times New Roman" w:eastAsia="Times New Roman" w:hAnsi="Times New Roman"/>
          <w:sz w:val="18"/>
          <w:szCs w:val="18"/>
          <w:color w:val="auto"/>
        </w:rPr>
        <w:t>represent upfront payments for various services, including subscriptions, cloud computing arrangements, software licenses and insurance, which are amortized over the related service period or policy term. Income tax receivables and expected insurance reimbursements related to litigation costs are other key components of Prepaid expenses and other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Certain non-U.S. lease payments are variable as they are subject to change based on the prevailing applicable index. The Company does not recognize right-of-use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corresponding lease obligation uses one single combined component. Lease expense is recognized on a straight-line basis over the lease term. The Company subleased certain portions its office space through October 2023 and such income was recognized on a straight-line basis over the term of the lease.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implicit discount rates used to determine the present value of the Company’s leases are not readily determinable; thus, the Company uses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incremental borrowing rate to determine the present value of its lease payments. The determination of an appropriate incremental borrowing rate requires significant assumptions and judgement and is calculated based on multiple factors, including current market conditions, the Company’s credit rating, the terms of the Company’s recent debt issuances and/or current revolving credit facilities, and the expected lease term. The Company estimates the expected lease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terms by assuming the exercise of renewal options and extensions where a significant penalty could be incurred and such renewal or extension is at the sole discretion of the Company. Certain lease agreements are secured by security deposits, which are reflected in Prepaid expenses and other assets on the Consolidated Statements of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w:t>
      </w:r>
    </w:p>
    <w:p>
      <w:pPr>
        <w:spacing w:after="0" w:line="213" w:lineRule="auto"/>
        <w:rPr>
          <w:sz w:val="20"/>
          <w:szCs w:val="20"/>
          <w:color w:val="auto"/>
        </w:rPr>
      </w:pPr>
      <w:r>
        <w:rPr>
          <w:rFonts w:ascii="Times New Roman" w:cs="Times New Roman" w:eastAsia="Times New Roman" w:hAnsi="Times New Roman"/>
          <w:sz w:val="17"/>
          <w:szCs w:val="17"/>
          <w:color w:val="auto"/>
        </w:rPr>
        <w:t>Company is deemed to realize as a result of (a) each exchange of interests in PWP OpCo for cash or stock of the Company and certain other transactions and</w:t>
      </w:r>
    </w:p>
    <w:p>
      <w:pPr>
        <w:jc w:val="both"/>
        <w:ind w:firstLine="6"/>
        <w:spacing w:after="0" w:line="235" w:lineRule="auto"/>
        <w:tabs>
          <w:tab w:leader="none" w:pos="2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1"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spacing w:after="0" w:line="1" w:lineRule="exact"/>
        <w:rPr>
          <w:sz w:val="20"/>
          <w:szCs w:val="20"/>
          <w:color w:val="auto"/>
        </w:rPr>
      </w:pPr>
    </w:p>
    <w:p>
      <w:pPr>
        <w:jc w:val="both"/>
        <w:ind w:firstLine="6"/>
        <w:spacing w:after="0" w:line="214"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2024 and December 31, 2023, the net assets of PWP OpCo were $197.6 million and $249.6 million, respectively. As of December 31, 2024 and December 31, 2023, the Company did not consolidate any VIEs other than PWP OpCo.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The Company’s financial instruments are generally recorded at fair value or at amounts that approximate fair value. The carrying values of cash, restricted cash, accounts receivable, amounts due from related parties, accounts payable and certain accrued liabilities approximate their fair values due to the short-term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these items.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records loss contingencies if (i) information available prior to issuance of the consolidated financial statements indicates that it is probable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Equity-Based Compensation for further information.</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a result of the Merger, Non-controlling interests presented within equity on the Consolidated Statements of Financial Condition were reclassified to Redeemable non-controlling interests within temporary equity. Redeemable non-controlling interests are recorded at the higher of: (i) their redemption value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 of the reporting date, which corresponds to the price of the Company’s Class A common stock, or (ii) their measurement pursuant to Accounting Standards Codification (“ASC” or the “Codification”) Topic 810, Consolidation. Changes in the current redemption value are recorded to Additional paid-in capital, or Retained earnings (deficit) to the extent there is insufficient Additional paid-in capital, immediately as they occur. When the Company has an unconditional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obligation to purchase the Redeemable non-controlling interests for cash, the mandatorily redeemable interests are reclassified from temporary equity to a liability with changes in fair value recorded to Other income (expense) on the Consolidated Statements of Operations. As of December 31, 2024, there were no non-controlling interests considered mandatorily redeemable.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treasury stock at cost as a separate component of equity. The Company may re-issue treasury stock using the first-in-first-out method.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underwriting</w:t>
      </w:r>
    </w:p>
    <w:p>
      <w:pPr>
        <w:jc w:val="both"/>
        <w:spacing w:after="0" w:line="222" w:lineRule="auto"/>
        <w:rPr>
          <w:sz w:val="20"/>
          <w:szCs w:val="20"/>
          <w:color w:val="auto"/>
        </w:rPr>
      </w:pPr>
      <w:r>
        <w:rPr>
          <w:rFonts w:ascii="Times New Roman" w:cs="Times New Roman" w:eastAsia="Times New Roman" w:hAnsi="Times New Roman"/>
          <w:sz w:val="18"/>
          <w:szCs w:val="18"/>
          <w:color w:val="auto"/>
        </w:rPr>
        <w:t>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193"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Company provides transaction-related advisory services to its clients to assist with corporate finance activities that include, but are not limited to,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and/or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involve material amounts. Due to this constraint, a significant portion of revenue recognized for advisory services in any given period often relates to services performed in prior periods. In some cases, a portion of the variable fees received may be deferred and recognized as a contract liability based on an estimate of the services remaining to be completed, if any (e.g., when announcement fees are earned but additional services are expected to be provided between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transaction announcement and transaction close).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 Certain fixed fees specified in the Company’s contracts, which may include upfront fees and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w:t>
      </w:r>
    </w:p>
    <w:p>
      <w:pPr>
        <w:jc w:val="both"/>
        <w:spacing w:after="0" w:line="214" w:lineRule="auto"/>
        <w:rPr>
          <w:sz w:val="20"/>
          <w:szCs w:val="20"/>
          <w:color w:val="auto"/>
        </w:rPr>
      </w:pPr>
      <w:r>
        <w:rPr>
          <w:rFonts w:ascii="Times New Roman" w:cs="Times New Roman" w:eastAsia="Times New Roman" w:hAnsi="Times New Roman"/>
          <w:sz w:val="18"/>
          <w:szCs w:val="18"/>
          <w:color w:val="auto"/>
        </w:rPr>
        <w:t>Company typically charges a separate, fixed fee associated with fairness opinion services that represents the standalone selling price of the fairness opinion services. The fee is recognized at the point in time that the fairness opinion is delivered at which time the client receives the benefit of the fairness opinion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Underwriting Services</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associated equity and commodity markets. The Company’s research clients continuously benefit from the research provided throughout arrangements between the Company and such clients, and, accordingly, over time revenue</w:t>
      </w:r>
    </w:p>
    <w:p>
      <w:pPr>
        <w:spacing w:after="0"/>
        <w:rPr>
          <w:sz w:val="20"/>
          <w:szCs w:val="20"/>
          <w:color w:val="auto"/>
        </w:rPr>
      </w:pPr>
      <w:r>
        <w:rPr>
          <w:rFonts w:ascii="Times New Roman" w:cs="Times New Roman" w:eastAsia="Times New Roman" w:hAnsi="Times New Roman"/>
          <w:sz w:val="18"/>
          <w:szCs w:val="18"/>
          <w:color w:val="auto"/>
        </w:rPr>
        <w:t>recognition matches the transfer of such benefits. Research clients compensate the Company via direct payment or commission sharing agreements.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w:t>
      </w:r>
    </w:p>
    <w:p>
      <w:pPr>
        <w:jc w:val="both"/>
        <w:spacing w:after="0" w:line="222" w:lineRule="auto"/>
        <w:rPr>
          <w:sz w:val="20"/>
          <w:szCs w:val="20"/>
          <w:color w:val="auto"/>
        </w:rPr>
      </w:pPr>
      <w:r>
        <w:rPr>
          <w:rFonts w:ascii="Times New Roman" w:cs="Times New Roman" w:eastAsia="Times New Roman" w:hAnsi="Times New Roman"/>
          <w:sz w:val="18"/>
          <w:szCs w:val="18"/>
          <w:color w:val="auto"/>
        </w:rPr>
        <w:t>accounted for as a single performance obligation. The Company recognizes underwriting revenue at a point in time, typically on the pricing date of the offering.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193" w:lineRule="exact"/>
        <w:rPr>
          <w:sz w:val="20"/>
          <w:szCs w:val="20"/>
          <w:color w:val="auto"/>
        </w:rPr>
      </w:pPr>
    </w:p>
    <w:p>
      <w:pPr>
        <w:jc w:val="both"/>
        <w:ind w:firstLine="318"/>
        <w:spacing w:after="0" w:line="216"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 recognized over time and recorded within Revenues on the Consolidated Statements of Operations.</w:t>
      </w:r>
    </w:p>
    <w:p>
      <w:pPr>
        <w:spacing w:after="0" w:line="169"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w:t>
      </w:r>
    </w:p>
    <w:p>
      <w:pPr>
        <w:spacing w:after="0"/>
        <w:rPr>
          <w:sz w:val="20"/>
          <w:szCs w:val="20"/>
          <w:color w:val="auto"/>
        </w:rPr>
      </w:pPr>
      <w:r>
        <w:rPr>
          <w:rFonts w:ascii="Times New Roman" w:cs="Times New Roman" w:eastAsia="Times New Roman" w:hAnsi="Times New Roman"/>
          <w:sz w:val="18"/>
          <w:szCs w:val="18"/>
          <w:color w:val="auto"/>
        </w:rPr>
        <w:t>are complete (e.g., receipt of certain announcement, retainer or upfront fees before the performance obligation has been fully satisfied).</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w:t>
      </w:r>
    </w:p>
    <w:p>
      <w:pPr>
        <w:jc w:val="both"/>
        <w:spacing w:after="0" w:line="204" w:lineRule="auto"/>
        <w:rPr>
          <w:sz w:val="20"/>
          <w:szCs w:val="20"/>
          <w:color w:val="auto"/>
        </w:rPr>
      </w:pPr>
      <w:r>
        <w:rPr>
          <w:rFonts w:ascii="Times New Roman" w:cs="Times New Roman" w:eastAsia="Times New Roman" w:hAnsi="Times New Roman"/>
          <w:sz w:val="18"/>
          <w:szCs w:val="18"/>
          <w:color w:val="auto"/>
        </w:rPr>
        <w:t>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Consolidated Statements of Operations and equity-based compensation expense for non-employees is included in Professional fees on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typically earns interest on cash at banks and short-term investments, which is recorded on an accrual basis. The Company earned $10.3</w:t>
      </w:r>
    </w:p>
    <w:p>
      <w:pPr>
        <w:jc w:val="both"/>
        <w:spacing w:after="0" w:line="222" w:lineRule="auto"/>
        <w:rPr>
          <w:sz w:val="20"/>
          <w:szCs w:val="20"/>
          <w:color w:val="auto"/>
        </w:rPr>
      </w:pPr>
      <w:r>
        <w:rPr>
          <w:rFonts w:ascii="Times New Roman" w:cs="Times New Roman" w:eastAsia="Times New Roman" w:hAnsi="Times New Roman"/>
          <w:sz w:val="18"/>
          <w:szCs w:val="18"/>
          <w:color w:val="auto"/>
        </w:rPr>
        <w:t>million, $7.4 million, and $2.3 million of interest income, inclusive of net unrealized gains (losses) on U.S. Treasury securities, during the years ended December 31, 2024, 2023, and 2022, respectively, which is presented within Other income (expense)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the normal course of business, the Company and its subsidiaries may enter into transactions denominated in a non-functional currency. The Company recognized net foreign exchange gains (losses) arising from such transactions of $1.3 million, $(3.3) million, and $6.8 million during the years ended December 31, 2024, 2023, and 2022, respectively, which are included in Other income (expense) on the Consolidated Statements of Operations. In addition,</w:t>
      </w:r>
    </w:p>
    <w:p>
      <w:pPr>
        <w:jc w:val="both"/>
        <w:spacing w:after="0" w:line="204" w:lineRule="auto"/>
        <w:rPr>
          <w:sz w:val="20"/>
          <w:szCs w:val="20"/>
          <w:color w:val="auto"/>
        </w:rPr>
      </w:pPr>
      <w:r>
        <w:rPr>
          <w:rFonts w:ascii="Times New Roman" w:cs="Times New Roman" w:eastAsia="Times New Roman" w:hAnsi="Times New Roman"/>
          <w:sz w:val="18"/>
          <w:szCs w:val="18"/>
          <w:color w:val="auto"/>
        </w:rPr>
        <w:t>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component of Accumulated other comprehensive income (loss) on the Consolidated Statements of Changes in Equity and Redeemable Non-Controlling Interests.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or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expense (benefit) in the period when the change is enacted. Deferred tax assets are reduced by a valuation allowance when it is more-likely-than-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taxable temporary differences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planning strategies.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expense (benefit)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treasury stock method and if-converted method, as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The Company’s Other comprehensive income (loss) is composed of foreign currency translation gains and losses.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—Effective for the year ended December 31, 2024, the Company retrospectively adopted Accounting Standards Update 2023-07,</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i w:val="1"/>
          <w:iCs w:val="1"/>
          <w:color w:val="auto"/>
        </w:rPr>
        <w:t xml:space="preserve">Improvements to Reportable Segment Disclosures </w:t>
      </w:r>
      <w:r>
        <w:rPr>
          <w:rFonts w:ascii="Times New Roman" w:cs="Times New Roman" w:eastAsia="Times New Roman" w:hAnsi="Times New Roman"/>
          <w:sz w:val="17"/>
          <w:szCs w:val="17"/>
          <w:color w:val="auto"/>
        </w:rPr>
        <w:t>(“ASU 2023-07”), which amends the guidance in ASC Topic 280, Segment Reporting (“ASC 280”).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2023-07 requires enhanced disclosures about reportable segments on an annual and interim basis and clarifies that an entity with a single reportable segment is subject to all existing and amended disclosure requirements in ASC 280. Refer to Note 17—Segment and Geographic Information for the Company’s segment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—In December 2023, the Financial Accounting Standards Board (“FASB”) issued Accounting Standards Update 2023-09,</w:t>
      </w:r>
      <w:r>
        <w:rPr>
          <w:rFonts w:ascii="Times New Roman" w:cs="Times New Roman" w:eastAsia="Times New Roman" w:hAnsi="Times New Roman"/>
          <w:sz w:val="17"/>
          <w:szCs w:val="17"/>
          <w:i w:val="1"/>
          <w:iCs w:val="1"/>
          <w:color w:val="auto"/>
        </w:rPr>
        <w:t xml:space="preserve"> Improvements to</w:t>
      </w:r>
    </w:p>
    <w:p>
      <w:pPr>
        <w:spacing w:after="0" w:line="1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i w:val="1"/>
          <w:iCs w:val="1"/>
          <w:color w:val="auto"/>
        </w:rPr>
        <w:t xml:space="preserve">Income Tax Disclosures </w:t>
      </w:r>
      <w:r>
        <w:rPr>
          <w:rFonts w:ascii="Times New Roman" w:cs="Times New Roman" w:eastAsia="Times New Roman" w:hAnsi="Times New Roman"/>
          <w:sz w:val="17"/>
          <w:szCs w:val="17"/>
          <w:color w:val="auto"/>
        </w:rPr>
        <w:t>(“ASU 2023-09”), which amends the guidance in ASC Topic 740, Income Taxes (“ASC 740”), to improve the transparency of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disclosures by requiring (1) consistent categories and greater disaggregation of information in the rate reconciliation and (2) income taxes paid disaggregated by jurisdiction. The amendments in ASU 2023-09 are effective for the Company beginning with the annual period ended December 31, 2025.</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amendments are to be applied prospectively with both retrospective application and early adoption permitted. The Company does not expect the adoption of ASU 2023-09 to have a material impact on the consolidated financial statements.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—In November 2024, the FASB issued Accounting Standards Update 2024-03,</w:t>
      </w:r>
      <w:r>
        <w:rPr>
          <w:rFonts w:ascii="Times New Roman" w:cs="Times New Roman" w:eastAsia="Times New Roman" w:hAnsi="Times New Roman"/>
          <w:sz w:val="18"/>
          <w:szCs w:val="18"/>
          <w:i w:val="1"/>
          <w:iCs w:val="1"/>
          <w:color w:val="auto"/>
        </w:rPr>
        <w:t xml:space="preserve"> Disaggregation of Income Statement Expenses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(“ASU 2024-03”), which amends the guidance in ASC Topic 220, Income Statement—Reporting Comprehensive Income (“ASC 220”),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are to be applied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prospectively with both retrospective application and early adoption permitted. The Company does not expect the adoption of ASU 2024-03 to have a material impact on the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848,302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33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Reimbursable expenses billed to clients were $7.4 million, $6.2 million, and $3.2 million for the years ended December 31,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of December 31, 2024, the aggregate amount of the transaction price, as defined in the Codification, allocated to performance obligations yet to be satisfied was $0.5 million and the Company generally expects to recognize this revenue within the next twelve months. Such amounts primarily relate to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2024 and 2023, the Company recorded $0.6 million and $0.9 million, respectively, for contract liabilities which are presented within Accounts payable, accrued expenses and other liabilities on the Consolidated Statements of Financial Condition. The Company recognized previously deferred revenue of $0.7 million, $4.6 million, and $5.6 million for the years ended December 31, 2024, 2023, and 2022, respectively, which was primarily</w:t>
      </w:r>
    </w:p>
    <w:p>
      <w:pPr>
        <w:spacing w:after="0"/>
        <w:rPr>
          <w:sz w:val="20"/>
          <w:szCs w:val="20"/>
          <w:color w:val="auto"/>
        </w:rPr>
      </w:pPr>
      <w:r>
        <w:rPr>
          <w:rFonts w:ascii="Times New Roman" w:cs="Times New Roman" w:eastAsia="Times New Roman" w:hAnsi="Times New Roman"/>
          <w:sz w:val="18"/>
          <w:szCs w:val="18"/>
          <w:color w:val="auto"/>
        </w:rPr>
        <w:t>related to transaction-related advisory services that are recognized over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and 2023, $13.3 million and $7.1 million, respectively, of accrued revenue was included in Accounts receivable, net of</w:t>
      </w:r>
    </w:p>
    <w:p>
      <w:pPr>
        <w:jc w:val="both"/>
        <w:spacing w:after="0" w:line="216" w:lineRule="auto"/>
        <w:rPr>
          <w:sz w:val="20"/>
          <w:szCs w:val="20"/>
          <w:color w:val="auto"/>
        </w:rPr>
      </w:pPr>
      <w:r>
        <w:rPr>
          <w:rFonts w:ascii="Times New Roman" w:cs="Times New Roman" w:eastAsia="Times New Roman" w:hAnsi="Times New Roman"/>
          <w:sz w:val="17"/>
          <w:szCs w:val="17"/>
          <w:color w:val="auto"/>
        </w:rPr>
        <w:t>allowance on the Consolidated Statements of Financial Condition. These amounts have been recognized as revenue in accordance with the Company’s revenue recognition policies but remained unbilled at the end of the period. As of December 31, 2024, certain accounts receivable in the aggregate amount of $23.9 million were individually greater than 10% of the Company’s gross accounts receivable and were concentrated with two clients. Of that amount, all was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subsequently received after year end. As of December 31, 2023, certain accounts receivable in the aggregate amount of $17.3 million were individually greater than 10% of the Company’s gross accounts receivable and were concentrated with two clients. Of that amount, all was subsequently received after year end.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 for credit losses activity for the years ended December 31, 2024, 2023, and 2022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5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40" w:type="dxa"/>
            <w:vAlign w:val="bottom"/>
          </w:tcPr>
          <w:p>
            <w:pPr>
              <w:spacing w:after="0"/>
              <w:rPr>
                <w:sz w:val="19"/>
                <w:szCs w:val="19"/>
                <w:color w:val="auto"/>
              </w:rPr>
            </w:pP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4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5"/>
        </w:trPr>
        <w:tc>
          <w:tcPr>
            <w:tcW w:w="46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leases office space and equipment under operating lease agreements. During the year ended December 31, 2022, the Company entered into</w:t>
      </w:r>
    </w:p>
    <w:p>
      <w:pPr>
        <w:spacing w:after="0" w:line="1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certain significant lease agreements and amendments related to its New York, Los Angeles, and London office leases, which resulted in a combined $128.6 million increase to Lease liabilities and a corresponding increase to Right-of-use lease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information related to the Company’s operating leases: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9"/>
        </w:trPr>
        <w:tc>
          <w:tcPr>
            <w:tcW w:w="6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6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5"/>
              </w:rPr>
              <w:t>4.7 %</w:t>
            </w:r>
          </w:p>
        </w:tc>
      </w:tr>
      <w:tr>
        <w:trPr>
          <w:trHeight w:val="23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13.3 years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14.3 years</w:t>
            </w:r>
          </w:p>
        </w:tc>
      </w:tr>
      <w:tr>
        <w:trPr>
          <w:trHeight w:val="537"/>
        </w:trPr>
        <w:tc>
          <w:tcPr>
            <w:tcW w:w="6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20" w:type="dxa"/>
            <w:vAlign w:val="bottom"/>
          </w:tcPr>
          <w:p>
            <w:pPr>
              <w:spacing w:after="0"/>
              <w:rPr>
                <w:sz w:val="19"/>
                <w:szCs w:val="19"/>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Pr>
          <w:p>
            <w:pPr>
              <w:spacing w:after="0"/>
              <w:rPr>
                <w:sz w:val="19"/>
                <w:szCs w:val="19"/>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10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(682)</w:t>
            </w:r>
          </w:p>
        </w:tc>
        <w:tc>
          <w:tcPr>
            <w:tcW w:w="20" w:type="dxa"/>
            <w:vAlign w:val="bottom"/>
          </w:tcPr>
          <w:p>
            <w:pPr>
              <w:spacing w:after="0"/>
              <w:rPr>
                <w:sz w:val="19"/>
                <w:szCs w:val="19"/>
                <w:color w:val="auto"/>
              </w:rPr>
            </w:pP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00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21,747</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20" w:type="dxa"/>
            <w:vAlign w:val="bottom"/>
          </w:tcPr>
          <w:p>
            <w:pPr>
              <w:spacing w:after="0"/>
              <w:rPr>
                <w:sz w:val="19"/>
                <w:szCs w:val="19"/>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8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(inflows) on operating leases</w:t>
            </w:r>
            <w:r>
              <w:rPr>
                <w:rFonts w:ascii="Times New Roman" w:cs="Times New Roman" w:eastAsia="Times New Roman" w:hAnsi="Times New Roman"/>
                <w:sz w:val="22"/>
                <w:szCs w:val="22"/>
                <w:color w:val="auto"/>
                <w:vertAlign w:val="superscript"/>
              </w:rPr>
              <w:t>(1)</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(4,536)</w:t>
            </w:r>
          </w:p>
        </w:tc>
        <w:tc>
          <w:tcPr>
            <w:tcW w:w="20" w:type="dxa"/>
            <w:vAlign w:val="bottom"/>
          </w:tcPr>
          <w:p>
            <w:pPr>
              <w:spacing w:after="0"/>
              <w:rPr>
                <w:sz w:val="24"/>
                <w:szCs w:val="24"/>
                <w:color w:val="auto"/>
              </w:rPr>
            </w:pPr>
          </w:p>
        </w:tc>
        <w:tc>
          <w:tcPr>
            <w:tcW w:w="4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20" w:type="dxa"/>
            <w:vAlign w:val="bottom"/>
          </w:tcPr>
          <w:p>
            <w:pPr>
              <w:spacing w:after="0"/>
              <w:rPr>
                <w:sz w:val="24"/>
                <w:szCs w:val="24"/>
                <w:color w:val="auto"/>
              </w:rPr>
            </w:pPr>
          </w:p>
        </w:tc>
      </w:tr>
      <w:tr>
        <w:trPr>
          <w:trHeight w:val="175"/>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December 31, 2024, the maturities of undiscounted operating lease liabilities of the Company are as follows: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Operating Leases</w:t>
            </w:r>
          </w:p>
        </w:tc>
      </w:tr>
      <w:tr>
        <w:trPr>
          <w:trHeight w:val="219"/>
        </w:trPr>
        <w:tc>
          <w:tcPr>
            <w:tcW w:w="9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w:t>
            </w:r>
          </w:p>
        </w:tc>
      </w:tr>
      <w:tr>
        <w:trPr>
          <w:trHeight w:val="225"/>
        </w:trPr>
        <w:tc>
          <w:tcPr>
            <w:tcW w:w="9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r>
      <w:tr>
        <w:trPr>
          <w:trHeight w:val="225"/>
        </w:trPr>
        <w:tc>
          <w:tcPr>
            <w:tcW w:w="9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r>
      <w:tr>
        <w:trPr>
          <w:trHeight w:val="225"/>
        </w:trPr>
        <w:tc>
          <w:tcPr>
            <w:tcW w:w="9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r>
      <w:tr>
        <w:trPr>
          <w:trHeight w:val="225"/>
        </w:trPr>
        <w:tc>
          <w:tcPr>
            <w:tcW w:w="9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r>
      <w:tr>
        <w:trPr>
          <w:trHeight w:val="225"/>
        </w:trPr>
        <w:tc>
          <w:tcPr>
            <w:tcW w:w="9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156,685</w:t>
            </w:r>
          </w:p>
        </w:tc>
      </w:tr>
      <w:tr>
        <w:trPr>
          <w:trHeight w:val="27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255,749</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(68,400)</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In connection with a business combination in 2016, the Company recorded goodwill in the amount of $34.4 million. Based on the Company’s quantitative assessment for impairment, no goodwill impairment was recorded during the years ended December 31,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detail of the Company’s intangible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80" w:type="dxa"/>
            <w:vAlign w:val="bottom"/>
          </w:tcPr>
          <w:p>
            <w:pPr>
              <w:jc w:val="center"/>
              <w:ind w:right="112"/>
              <w:spacing w:after="0" w:line="172"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2"/>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4"/>
                <w:szCs w:val="14"/>
                <w:color w:val="auto"/>
              </w:rPr>
            </w:pPr>
          </w:p>
        </w:tc>
        <w:tc>
          <w:tcPr>
            <w:tcW w:w="1380" w:type="dxa"/>
            <w:vAlign w:val="bottom"/>
          </w:tcPr>
          <w:p>
            <w:pPr>
              <w:jc w:val="center"/>
              <w:ind w:right="112"/>
              <w:spacing w:after="0" w:line="165"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0" w:type="dxa"/>
            <w:vAlign w:val="bottom"/>
          </w:tcPr>
          <w:p>
            <w:pPr>
              <w:spacing w:after="0"/>
              <w:rPr>
                <w:sz w:val="20"/>
                <w:szCs w:val="20"/>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intangible assets are being amortized over an average useful life of 10 years and resulted in amortization expense of $6.6 million for each of the years ended December 31, 2024, 2023, and 2022, all of which is included in Depreciation and amortization on the Consolidated Statements of Operations. Amortization of intangible assets held at December 31, 2024 is expected to be $6.6 million and $6.0 million for the years ending December 31, 2025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respectively. These intangible assets will be fully amortized by November 30,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None of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SEC regulated subsidiaries hold funds or securities for, or owe money or securities to, clients or carry accounts of or for clients, and as such are all exempt from the SEC Customer Protection Rule (Rule 15c3-3). As of December 31, 2024 and 2023, all regulated subsidiaries had capital in excess of their applicable minimum capital requirements. As a result of the minimum capital requirements and various regulations on these broker dealers, a portion of the capital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subsidiary of the Company is restricted and may be unavailable to pay its creditors.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December 31, 2024 and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8"/>
        </w:trPr>
        <w:tc>
          <w:tcPr>
            <w:tcW w:w="7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w:t>
            </w: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related to fixed assets was $13.7 million, $7.8 million, and $3.1 million for the years ended December 31, 2024, 2023, and 2022,</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respectively. Amortization expense related to software costs was $0.1 million, $0.3 million, and $1.0 million for the years ended December 31, 2024, 2023, and 2022, respectively.</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40" w:firstLine="318"/>
        <w:spacing w:after="0" w:line="453"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disposed of certain technology equipment, substantially all of which were fully depreciated. </w:t>
      </w:r>
      <w:r>
        <w:rPr>
          <w:rFonts w:ascii="Times New Roman" w:cs="Times New Roman" w:eastAsia="Times New Roman" w:hAnsi="Times New Roman"/>
          <w:sz w:val="18"/>
          <w:szCs w:val="18"/>
          <w:b w:val="1"/>
          <w:bCs w:val="1"/>
          <w:color w:val="auto"/>
        </w:rPr>
        <w:t>Note 8—Income Taxes</w:t>
      </w: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Company’s operations are generally composed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w:t>
      </w:r>
    </w:p>
    <w:p>
      <w:pPr>
        <w:spacing w:after="0" w:line="199" w:lineRule="auto"/>
        <w:rPr>
          <w:sz w:val="20"/>
          <w:szCs w:val="20"/>
          <w:color w:val="auto"/>
        </w:rPr>
      </w:pPr>
      <w:r>
        <w:rPr>
          <w:rFonts w:ascii="Times New Roman" w:cs="Times New Roman" w:eastAsia="Times New Roman" w:hAnsi="Times New Roman"/>
          <w:sz w:val="18"/>
          <w:szCs w:val="18"/>
          <w:color w:val="auto"/>
        </w:rPr>
        <w:t>consolidated financial statements and allocated between the Company and the non-controlling interest holders. In addition, the Company is subject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federal, state and local income tax on its allocable share of results of operations from PWP OpCo.</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(loss) before income taxes is associated with activities in domestic and international jurisdictions,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The components of Income tax expense (benefit) consist of the following:</w:t>
            </w:r>
          </w:p>
        </w:tc>
        <w:tc>
          <w:tcPr>
            <w:tcW w:w="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income tax</w:t>
            </w:r>
          </w:p>
        </w:tc>
        <w:tc>
          <w:tcPr>
            <w:tcW w:w="9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income tax</w:t>
            </w:r>
          </w:p>
        </w:tc>
        <w:tc>
          <w:tcPr>
            <w:tcW w:w="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income tax</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income tax</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5"/>
        </w:trPr>
        <w:tc>
          <w:tcPr>
            <w:tcW w:w="56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w:t>
      </w:r>
    </w:p>
    <w:p>
      <w:pPr>
        <w:spacing w:after="0" w:line="22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 at the federal statutory rate</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U.S. corporate income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5"/>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taxes, net of federal benefit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federal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5"/>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7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8"/>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5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The Company’s overall effective income tax rate is dependent on many factors, including the amount of income subject to tax. Consequently, the effective income tax rate can vary from period to period.</w:t>
      </w:r>
    </w:p>
    <w:p>
      <w:pPr>
        <w:spacing w:after="0" w:line="166"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53" w:lineRule="exact"/>
        <w:rPr>
          <w:sz w:val="20"/>
          <w:szCs w:val="20"/>
          <w:color w:val="auto"/>
        </w:rPr>
      </w:pPr>
    </w:p>
    <w:p>
      <w:pPr>
        <w:ind w:right="20" w:firstLine="318"/>
        <w:spacing w:after="0" w:line="243"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151" w:lineRule="exact"/>
        <w:rPr>
          <w:sz w:val="20"/>
          <w:szCs w:val="20"/>
          <w:color w:val="auto"/>
        </w:rPr>
      </w:pPr>
    </w:p>
    <w:p>
      <w:pPr>
        <w:ind w:right="540" w:firstLine="318"/>
        <w:spacing w:after="0" w:line="234"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on the Company’s Consolidated Statements of Financial Condition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Step-up in tax basis in PWP OpCo assets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85,709</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5"/>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Anticipatory foreign tax credit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0" w:type="dxa"/>
            <w:vAlign w:val="bottom"/>
          </w:tcPr>
          <w:p>
            <w:pPr>
              <w:spacing w:after="0"/>
              <w:rPr>
                <w:sz w:val="1"/>
                <w:szCs w:val="1"/>
                <w:color w:val="auto"/>
              </w:rPr>
            </w:pPr>
          </w:p>
        </w:tc>
      </w:tr>
      <w:tr>
        <w:trPr>
          <w:trHeight w:val="218"/>
        </w:trPr>
        <w:tc>
          <w:tcPr>
            <w:tcW w:w="796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Deferred tax asset, net</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netting requirements of ASC 740, $0.6 million and $0.7 million of deferred tax liabilities are presented within Accounts payable, accrued expenses and other liabilities on the Consolidated Statements of Financial Condition as of December 31, 2024 and 2023.</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evaluates the realizability of deferred tax assets on a jurisdictional basis at each reporting date. ASC Topic 740 requires that a valuation allowance be established when it is more likely than not that all or a portion of the deferred tax assets will not be realized. As of December 31, 2024 and 2023,</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Company recognized a full valuation allowance of $2.0 million and $1.5 million, respectively, related to tax credits and capital losses that the Company does not expect to realize.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as of December 31, 2024 will be recovered in the future based on all available positive and negative evidence.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For the years ended December 31, 2024, 2023, and 2022, the Company recorded an increase to the deferred tax asset of $42.3 million, $9.9 million, and $9.5 million, respectively, related to the step-up in tax basis of PWP OpCo assets in connection with the exchanges of PWP OpCo units for cash or stock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during the year. In connection with the step-up in tax basis generated from the exchanges, the Company increased the Amount due pursuant to tax receivable agreement on the Consolidated Statements of Financial Condition by $35.7 million, $8.4 million, and $8.9 million for the years ended December 31, 2024, 2023, and 2022, respectively. The remaining tax benefit is allocable to the Company and is recorded within additional paid-in-capital.</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2024, 2023, and 2022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0"/>
        </w:trPr>
        <w:tc>
          <w:tcPr>
            <w:tcW w:w="6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classifies interest relating to tax matters and tax penalties as components of Income tax expense (benefit) on its Consolidated Statements of</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Operations. As of December 31, 2024, 2023, and 2022, there were $1.0 million, $2.8 million, and $4.7 million, respectively, of unrecognized tax benefits that, if recognized, would affect the effective income tax rate. For the years ended December 31, 2024, 2023, and 2022, $0.3 million, $0.4 million, and $0.2 million, respectively, of interest and penalties were recognized with respect to unrecognized tax benefits.</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local and foreign jurisdictions. As of December 31, 2024, the Company is not subject to examination by the tax authorities in these jurisdictions for years before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2024 and 2023, the Company had no outstanding debt. The Company has a revolving credit facility (the “Revolving Credit Facility”) through an amended and restated credit agreement with Cadence Bank, N.A. (“Cadence Bank”), dated November 30, 2016 (as amended, the “Credit Agreement”), with an available line of credit of $50.0 million, with up to $20.0 million of available incremental revolving commitments, and a maturity date</w:t>
      </w:r>
    </w:p>
    <w:p>
      <w:pPr>
        <w:jc w:val="both"/>
        <w:spacing w:after="0" w:line="216" w:lineRule="auto"/>
        <w:rPr>
          <w:sz w:val="20"/>
          <w:szCs w:val="20"/>
          <w:color w:val="auto"/>
        </w:rPr>
      </w:pPr>
      <w:r>
        <w:rPr>
          <w:rFonts w:ascii="Times New Roman" w:cs="Times New Roman" w:eastAsia="Times New Roman" w:hAnsi="Times New Roman"/>
          <w:sz w:val="17"/>
          <w:szCs w:val="17"/>
          <w:color w:val="auto"/>
        </w:rPr>
        <w:t>of July 1, 2025. Effective December 31, 2024, the maturity date was extended to July 1, 2028.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Facility was immaterial for the years ended December 31, 2024, 2023, and 2022 and is included within Other income (expense) on the Consolidated Statements of Operations.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600"/>
        <w:spacing w:after="0" w:line="454" w:lineRule="auto"/>
        <w:rPr>
          <w:sz w:val="20"/>
          <w:szCs w:val="20"/>
          <w:color w:val="auto"/>
        </w:rPr>
      </w:pPr>
      <w:r>
        <w:rPr>
          <w:rFonts w:ascii="Times New Roman" w:cs="Times New Roman" w:eastAsia="Times New Roman" w:hAnsi="Times New Roman"/>
          <w:sz w:val="18"/>
          <w:szCs w:val="18"/>
          <w:b w:val="1"/>
          <w:bCs w:val="1"/>
          <w:color w:val="auto"/>
        </w:rPr>
        <w:t xml:space="preserve">Note 10—Stockholders’ Equity and Redeemable Non-Controlling Interests </w:t>
      </w:r>
      <w:r>
        <w:rPr>
          <w:rFonts w:ascii="Times New Roman" w:cs="Times New Roman" w:eastAsia="Times New Roman" w:hAnsi="Times New Roman"/>
          <w:sz w:val="18"/>
          <w:szCs w:val="18"/>
          <w:b w:val="1"/>
          <w:bCs w:val="1"/>
          <w:i w:val="1"/>
          <w:iCs w:val="1"/>
          <w:color w:val="auto"/>
        </w:rPr>
        <w:t>Common Stock and Preferred Stock</w:t>
      </w:r>
    </w:p>
    <w:p>
      <w:pPr>
        <w:spacing w:after="0" w:line="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Holders of Class A common stock are entitled to one vote for each share on all matters submitted to the stockholders for their vote or approval. Prior to December 31, 2024, the Company had two classes of Class B common stock: Class B-1 common stock and Class B-2 common stock, the latter of which is no longer outstanding as of December 31, 2024. Each share of Class B-1 common stock, held by VoteCo Professionals subsequent to the Division, is entitled to</w:t>
      </w:r>
    </w:p>
    <w:p>
      <w:pPr>
        <w:jc w:val="both"/>
        <w:spacing w:after="0" w:line="216" w:lineRule="auto"/>
        <w:rPr>
          <w:sz w:val="20"/>
          <w:szCs w:val="20"/>
          <w:color w:val="auto"/>
        </w:rPr>
      </w:pPr>
      <w:r>
        <w:rPr>
          <w:rFonts w:ascii="Times New Roman" w:cs="Times New Roman" w:eastAsia="Times New Roman" w:hAnsi="Times New Roman"/>
          <w:sz w:val="17"/>
          <w:szCs w:val="17"/>
          <w:color w:val="auto"/>
        </w:rPr>
        <w:t>ten votes per share for so long as Professional Partners or its Limited Partners as of the date of Closing or its or their respective successors or assigns maintain, directly or indirectly, ownership of PWP OpCo Units that represent at least ten percent (10%) of the Company’s issued and outstanding Class A common stock (calculated, without duplication, on the basis that all issued and outstanding PWP OpCo Units not held by the Company or its subsidiaries had been exchanged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Class A common stock) (the “Class B Condition”). After the Class B Condition ceases to be satisfied, each share of Class B-1 common stock is entitled to one vote.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w:t>
      </w:r>
    </w:p>
    <w:p>
      <w:pPr>
        <w:jc w:val="both"/>
        <w:spacing w:after="0" w:line="214" w:lineRule="auto"/>
        <w:rPr>
          <w:sz w:val="20"/>
          <w:szCs w:val="20"/>
          <w:color w:val="auto"/>
        </w:rPr>
      </w:pPr>
      <w:r>
        <w:rPr>
          <w:rFonts w:ascii="Times New Roman" w:cs="Times New Roman" w:eastAsia="Times New Roman" w:hAnsi="Times New Roman"/>
          <w:sz w:val="18"/>
          <w:szCs w:val="18"/>
          <w:color w:val="auto"/>
        </w:rPr>
        <w:t>million after deducting underwriting discounts and offering costs. During the year ended December 31, 2022, an exchange was settled through a follow-on public offering of 3,502,033 shares of Class A common stock (the “2022 Offering”) at a price of $10.75 per share for net proceeds of $35.2 million after deducting underwriting discounts and offering costs.</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and outstanding, but the Board of Directors maintains the right to establish preferred stock in the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Holders of Class A and Class B common stock are entitled to receive ratably, in proportion to the number of shares held, dividends and other distributions when declared, with holders of Class B common stock entitled to receive an amount equal to such dividends or other distributions as would be made on 0.001 shares of Class A common stock. During the years ended December 31, 2024 and 2023, the Company’s Board of Directors declared cash dividends of $0.28</w:t>
      </w:r>
    </w:p>
    <w:p>
      <w:pPr>
        <w:jc w:val="both"/>
        <w:spacing w:after="0" w:line="214" w:lineRule="auto"/>
        <w:rPr>
          <w:sz w:val="20"/>
          <w:szCs w:val="20"/>
          <w:color w:val="auto"/>
        </w:rPr>
      </w:pPr>
      <w:r>
        <w:rPr>
          <w:rFonts w:ascii="Times New Roman" w:cs="Times New Roman" w:eastAsia="Times New Roman" w:hAnsi="Times New Roman"/>
          <w:sz w:val="18"/>
          <w:szCs w:val="18"/>
          <w:color w:val="auto"/>
        </w:rPr>
        <w:t>per share of Class A common stock totaling $22.6 million and $19.3 million, respectively, including dividends paid, accrued dividend equivalents, and dividend equivalent units on unvested PWP Incentive Plan Awards (as defined in Note 11—Equity-Based Compensation). Dividends on Class B common stock (equal to the amount of dividends declared on 0.001 shares of Class A common stock) are included in the aforementioned total dividends declared.</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accordance with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 million. Since inception</w:t>
      </w:r>
    </w:p>
    <w:p>
      <w:pPr>
        <w:jc w:val="both"/>
        <w:spacing w:after="0" w:line="214" w:lineRule="auto"/>
        <w:rPr>
          <w:sz w:val="20"/>
          <w:szCs w:val="20"/>
          <w:color w:val="auto"/>
        </w:rPr>
      </w:pPr>
      <w:r>
        <w:rPr>
          <w:rFonts w:ascii="Times New Roman" w:cs="Times New Roman" w:eastAsia="Times New Roman" w:hAnsi="Times New Roman"/>
          <w:sz w:val="18"/>
          <w:szCs w:val="18"/>
          <w:color w:val="auto"/>
        </w:rPr>
        <w:t>of the share repurchase program, 12,920,699 shares have been purchased at an average price per share of $8.22 through December 31, 2024 for a total purchase price of $106.2 million. Prior to the implementation of the stock repurchase program, on August 9, 2021, the Company repurchased 1,000,000 founder shares at a purchase price of $12.00 per share for a total purchase price of $12.0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81"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As a result of the Merger, the Non-controlling interests on the Consolidated Statements of Financial Condition were reclassified to Redeemable non-controlling interests within temporary equity. Redeemable non-controlling interests are presented at their redemption value as of the reporting date and represent the ownership interests in PWP OpCo held by holders other than Perella Weinberg Partners. As of December 31, 2024, the current and former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partners collectively own 27,460,600 PWP OpCo Units, which represents a 31.7% non-controlling ownership interest in PWP OpCo.</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Stockholders Agreement between PWP and Professional Partners (the “Stockholders Agreement”) allows Professional Partners (including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fully exchanged for Class A common stock) represent at least five percent of the Company’s outstanding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PWP OpCo Unitholders (other than the Company) may exchange their units for (i) shares of Class A common stock on a one-for-one basis or (ii) cash</w:t>
      </w:r>
    </w:p>
    <w:p>
      <w:pPr>
        <w:jc w:val="both"/>
        <w:spacing w:after="0" w:line="216" w:lineRule="auto"/>
        <w:rPr>
          <w:sz w:val="20"/>
          <w:szCs w:val="20"/>
          <w:color w:val="auto"/>
        </w:rPr>
      </w:pPr>
      <w:r>
        <w:rPr>
          <w:rFonts w:ascii="Times New Roman" w:cs="Times New Roman" w:eastAsia="Times New Roman" w:hAnsi="Times New Roman"/>
          <w:sz w:val="17"/>
          <w:szCs w:val="17"/>
          <w:color w:val="auto"/>
        </w:rPr>
        <w:t>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For the years ended December 31, 2024, 2023, and 2022, the Company settled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exchanges of certain PWP OpCo Units and certain shares of Class B common stock for 4,779,321, 2,977,506, and 2,093,874 shares of Class A common stock, respectively. Separately, during the year ended December 31, 2024, the Company elected to settle exchanges of 3,204,979 PWP OpCo Units and corresponding shares of Class B common stock at an average price of $20.98 per PWP OpCo Unit for $63.4 million in cash as well as the non-cash settlement</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certain partner promissory notes (refer to Note 15—Related Party Transactions for more information). Furthermore, during the year ended December 31, 2022, an exchange of 3,498,534 PWP OpCo Units and corresponding shares of Class B common stock was settled in cash with proceeds from the 2022 Offering. To the extent an exchange creates a step-up in tax basis, the Company records an increase in Deferred tax assets, net, Amounts due pursuant to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agreement, and Additional paid-in-capital.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Exchange Offer</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August 23, 2022, the Company concluded an offer to holders of its then-outstanding warrants which provided the opportunity to receive shares of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Company’s Class A common stock in exchange for warrants tendered. This offer coincided with a solicitation of consents from holders of the public warrants to amend the warrant agreement (together, the “Warrant Exchange Offer”). As a result of the Warrant Exchange Offer, all public and private warrants were exchanged, collectively, for 1,565,948 shares of the Company’s Class A common stock, with a minimal cash settlement in lieu of partial shares. No public or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private warrants remained outstanding after the Warrant Exchange Offer. The Company incurred $1.3 million of costs directly related to the Warrant Exchange Offer, which were recorded in Professional fees on the Consolidated Statements of Operations. Prior to the Warrant Exchange Offer, the warrants were recognized as liabilities with changes in fair value presented within Change in fair value of warrant liabilities on the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w:t>
      </w:r>
    </w:p>
    <w:p>
      <w:pPr>
        <w:jc w:val="both"/>
        <w:spacing w:after="0" w:line="215" w:lineRule="auto"/>
        <w:rPr>
          <w:sz w:val="20"/>
          <w:szCs w:val="20"/>
          <w:color w:val="auto"/>
        </w:rPr>
      </w:pPr>
      <w:r>
        <w:rPr>
          <w:rFonts w:ascii="Times New Roman" w:cs="Times New Roman" w:eastAsia="Times New Roman" w:hAnsi="Times New Roman"/>
          <w:sz w:val="17"/>
          <w:szCs w:val="17"/>
          <w:color w:val="auto"/>
        </w:rPr>
        <w:t>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 As of December 31, 2024, 9,515,113 total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reserved and available for future issuance.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connection with the Business Combination, the Company granted awards in the form of (a) RSUs that vest upon the achievement of service conditions (“Transaction RSUs”) and (b) PSUs that only vest upon the achievement of both service and market conditions, including certain long-term incentive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management (“Transaction PSUs”).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Transaction RSUs and Transaction PSUs during the year ended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Transaction RSUs</w:t>
            </w:r>
          </w:p>
        </w:tc>
        <w:tc>
          <w:tcPr>
            <w:tcW w:w="3280" w:type="dxa"/>
            <w:vAlign w:val="bottom"/>
            <w:gridSpan w:val="4"/>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Transaction PSUs</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92"/>
              <w:spacing w:after="0" w:line="179"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25"/>
        </w:trPr>
        <w:tc>
          <w:tcPr>
            <w:tcW w:w="46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1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10,400,155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9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7,365,964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Business Combination, grants of Transaction RSUs and Transaction PSUs include only dividend equivalent units that have been awarded in the form of additional units that were granted from the General Share Reserve.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Transaction RSUs generally vest in equal annual installments over the requisite service period of three to five years from the date of grant. The total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fair value of Transaction RSUs that vested during the years ended December 31, 2024, 2023, and 2022 was $32.0 million, $10.9 million, and $16.2 million, respectively. As of December 31, 2024, total unrecognized compensation expense related to unvested Transaction RSUs was $6.1 million, which is expected to be recognized over a weighted average period of 1.3 years.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service condition requirement with respect to the Transaction PSUs is generally satisfied over three to five years from the date of grant. The market condition requirement is satisfied in various increments upon the shares of Class A common stock achieving closing prices ranging from $12.00 to $30.00. As of December 31, 2024, the price targets ranging from $12.00 and $20.00 were satisfied.</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total fair value of Transaction PSUs that vested during the year ended December 31, 2024 was $61.8 million, and was nominal for the years ended 2023 and 2022. During the year ended December 31, 2023, the Company modified certain Transaction PSUs held by one employee to remove the market conditions, which resulted in a modification of the awards under ASC Topic 718, Compensation—Stock Compensation. Incremental compensation cost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$10.2 million related to the modification will be recognized over the remaining requisite service period. As of December 31, 2024, total unrecognized compensation expense related to unvested Transaction PSUs was $17.4 million, which is expected to be recognized over a weighted average period of 1.5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17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w:t>
      </w:r>
    </w:p>
    <w:p>
      <w:pPr>
        <w:spacing w:after="0"/>
        <w:rPr>
          <w:sz w:val="20"/>
          <w:szCs w:val="20"/>
          <w:color w:val="auto"/>
        </w:rPr>
      </w:pPr>
      <w:r>
        <w:rPr>
          <w:rFonts w:ascii="Times New Roman" w:cs="Times New Roman" w:eastAsia="Times New Roman" w:hAnsi="Times New Roman"/>
          <w:sz w:val="18"/>
          <w:szCs w:val="18"/>
          <w:color w:val="auto"/>
        </w:rPr>
        <w:t>PSUs”).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General RSUs and General PSUs during the year ended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326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General RSUs</w:t>
            </w:r>
          </w:p>
        </w:tc>
        <w:tc>
          <w:tcPr>
            <w:tcW w:w="3160" w:type="dxa"/>
            <w:vAlign w:val="bottom"/>
            <w:gridSpan w:val="4"/>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General PSUs</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72"/>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1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12,246,942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7,049,087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(4,390,855)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14,684,610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General RSUs that were granted from the General Share Reserve.</w:t>
      </w:r>
    </w:p>
    <w:p>
      <w:pPr>
        <w:spacing w:after="0" w:line="20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General RSUs vest over a requisite service period, which is generally one to three years from the date of grant. The weighted-average grant date fair value of the General RSUs granted during the years ended December 31, 2023 and 2022 was $10.23 and $9.82 per award, respectively, which was based on the PWP stock price on the date of grant. The total fair value of General RSUs that vested during the years ended December 31, 2024, 2023, and 2022 was $62.0</w:t>
      </w:r>
    </w:p>
    <w:p>
      <w:pPr>
        <w:jc w:val="both"/>
        <w:spacing w:after="0" w:line="222" w:lineRule="auto"/>
        <w:rPr>
          <w:sz w:val="20"/>
          <w:szCs w:val="20"/>
          <w:color w:val="auto"/>
        </w:rPr>
      </w:pPr>
      <w:r>
        <w:rPr>
          <w:rFonts w:ascii="Times New Roman" w:cs="Times New Roman" w:eastAsia="Times New Roman" w:hAnsi="Times New Roman"/>
          <w:sz w:val="18"/>
          <w:szCs w:val="18"/>
          <w:color w:val="auto"/>
        </w:rPr>
        <w:t>million, $28.9 million, and $6.5 million, respectively. As of December 31, 2024, total unrecognized compensation expense related to unvested General RSUs was $95.6 million, which is expected to be recognized over a weighted average period of 1.8 years.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2023, the Company made a grant of General PSUs with a service condition requirement satisfied over three to five</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years from the date of grant and a market condition requirement satisfied in various increments upon the shares of Class A common stock achieving closing prices ranging from $15.00 to $30.00. No General PSUs vested during the years ended December 31, 2024 and 2023. As of December 31, 2024, the $15.00 and $20.00 price targets were met for the General PSUs. As of December 31, 2024, total unrecognized compensation expense related to unvested General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PSUs was $3.0 million, which is expected to be recognized over a weighted average period of 2.4 years. The Company estimated the fair value of the General PSUs on the grant date using a Monte-Carlo simulation valuation model with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5"/>
        </w:trPr>
        <w:tc>
          <w:tcPr>
            <w:tcW w:w="6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Volatility factor</w:t>
            </w:r>
            <w:r>
              <w:rPr>
                <w:rFonts w:ascii="Times New Roman" w:cs="Times New Roman" w:eastAsia="Times New Roman" w:hAnsi="Times New Roman"/>
                <w:sz w:val="22"/>
                <w:szCs w:val="22"/>
                <w:color w:val="auto"/>
                <w:vertAlign w:val="superscript"/>
              </w:rPr>
              <w:t>(1)</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OCUs, VCUs, and/or ACUs. The</w:t>
      </w:r>
    </w:p>
    <w:p>
      <w:pPr>
        <w:jc w:val="both"/>
        <w:spacing w:after="0" w:line="204" w:lineRule="auto"/>
        <w:rPr>
          <w:sz w:val="20"/>
          <w:szCs w:val="20"/>
          <w:color w:val="auto"/>
        </w:rPr>
      </w:pPr>
      <w:r>
        <w:rPr>
          <w:rFonts w:ascii="Times New Roman" w:cs="Times New Roman" w:eastAsia="Times New Roman" w:hAnsi="Times New Roman"/>
          <w:sz w:val="18"/>
          <w:szCs w:val="18"/>
          <w:color w:val="auto"/>
        </w:rPr>
        <w:t>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referenced below, and are eligible for the same exchange rights as other PWP OpCo Units, subject to certain lock-up periods. Refer to Note 10—Stockholders’ Equity and Redeemable Non-Controlling Interests for more information on exchange rights.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Professional Partners Awards (the</w:t>
      </w:r>
    </w:p>
    <w:p>
      <w:pPr>
        <w:jc w:val="both"/>
        <w:spacing w:after="0" w:line="204" w:lineRule="auto"/>
        <w:rPr>
          <w:sz w:val="20"/>
          <w:szCs w:val="20"/>
          <w:color w:val="auto"/>
        </w:rPr>
      </w:pPr>
      <w:r>
        <w:rPr>
          <w:rFonts w:ascii="Times New Roman" w:cs="Times New Roman" w:eastAsia="Times New Roman" w:hAnsi="Times New Roman"/>
          <w:sz w:val="18"/>
          <w:szCs w:val="18"/>
          <w:color w:val="auto"/>
        </w:rPr>
        <w:t>“Accelerated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estimated tax liability. The principal purpose of the Vesting Acceleration was to facilitate the payment of taxes associated with ACU vesting to align with the treatment of vested restricted stock units of the Company.</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year ended</w:t>
      </w:r>
    </w:p>
    <w:p>
      <w:pPr>
        <w:jc w:val="both"/>
        <w:spacing w:after="0" w:line="222" w:lineRule="auto"/>
        <w:rPr>
          <w:sz w:val="20"/>
          <w:szCs w:val="20"/>
          <w:color w:val="auto"/>
        </w:rPr>
      </w:pPr>
      <w:r>
        <w:rPr>
          <w:rFonts w:ascii="Times New Roman" w:cs="Times New Roman" w:eastAsia="Times New Roman" w:hAnsi="Times New Roman"/>
          <w:sz w:val="18"/>
          <w:szCs w:val="18"/>
          <w:color w:val="auto"/>
        </w:rPr>
        <w:t>December 31, 2024, the Company recorded $130.3 million of equity-based compensation expense related to the acceleration of the Professional Partners Awards. Of that amount, $69.5 million was related to liability-classified awards.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Vesting Acceleration, the Company paid or accrued a combined $86.6 million in settlement of 6,149,211 ACUs and corresponding</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Consolidated Statement of Cash Flows for the year ended December 31, 2024. As of December 31, 2024,</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$10.3 million of withholding taxes payable is included in Accounts payable, accrued expenses and other liabilities on the Consolidated Statement of Financial Condition.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Prior to the Merger, all of the compensation expense and corresponding capital contribution associated with the Legacy Awards and Professional Partners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Awards were allocated to Non-controlling interests on the Consolidated Statements of Operations and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Consolidated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52"/>
        </w:trPr>
        <w:tc>
          <w:tcPr>
            <w:tcW w:w="6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114,058</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104,159</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Awards</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Partners Awards (equity-classified)</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Partners Awards (liability-classified)</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79"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From time to time, the Company has offered various deferred compensation plans to certain employees. As of December 31, 2024 and 2023, no deferred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compensation liabilities remained outstanding. During the years ended December 31, 2023 and 2022, $2.9 million and $8.5 million, respectively, was settled, of which $1.5 million and $2.6 million, respectively, was settled through a reduction of certain partners’ outstanding promissory notes and interest receivable. Refer to Note 15—Related Party Transactions for more information. There were no forfeitures during the years ended December 31, 2024, 2023, and 2022.</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Compensation expense related to deferred compensation plans is presented within Compensation and benefits on the Consolidated Statements of Operations and was nominal for the years ended December 31, 2024, 2023, and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$7.0 million, $6.7 million, and $5.8 million for the years ended December 31, 2024,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2022, respectively, and are included in Compensation and benefits on the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second quarter of 2023, the Company began a review of the business, which resulted in headcount reductions in order to improve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compensation alignment and to provide greater flexibility to advance strategic opportunities (the “Business Realignment”). In conjunction with the Business Realignment and for the years ended December 31, 2024 and 2023, the Company incurred expenses related to separation and transition benefits of $1.8 million and $22.2 million, respectively, and the acceleration of equity-based compensation amortization (net of forfeitures) of $1.5 million and $15.1 million,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respectively. Such amounts are presented in Compensation and benefits and Equity-based compensation on the Consolidated Statements of Operations, respectively. All of the expected Business Realignment costs were incurred as of March 31, 2024.</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Activity within Accrued compensation and benefits on the Consolidated Statements of Financial Condition related to the Business Realignment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35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expenses</w:t>
            </w:r>
          </w:p>
        </w:tc>
        <w:tc>
          <w:tcPr>
            <w:tcW w:w="4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44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0" w:type="dxa"/>
            <w:vAlign w:val="bottom"/>
          </w:tcPr>
          <w:p>
            <w:pPr>
              <w:spacing w:after="0"/>
              <w:rPr>
                <w:sz w:val="1"/>
                <w:szCs w:val="1"/>
                <w:color w:val="auto"/>
              </w:rPr>
            </w:pPr>
          </w:p>
        </w:tc>
      </w:tr>
      <w:tr>
        <w:trPr>
          <w:trHeight w:val="25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5"/>
        </w:trPr>
        <w:tc>
          <w:tcPr>
            <w:tcW w:w="35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1992"/>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35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5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99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0" w:type="dxa"/>
            <w:vAlign w:val="bottom"/>
          </w:tcPr>
          <w:p>
            <w:pPr>
              <w:spacing w:after="0"/>
              <w:rPr>
                <w:sz w:val="1"/>
                <w:szCs w:val="1"/>
                <w:color w:val="auto"/>
              </w:rPr>
            </w:pPr>
          </w:p>
        </w:tc>
      </w:tr>
      <w:tr>
        <w:trPr>
          <w:trHeight w:val="278"/>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4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0" w:type="dxa"/>
            <w:vAlign w:val="bottom"/>
          </w:tcPr>
          <w:p>
            <w:pPr>
              <w:spacing w:after="0"/>
              <w:rPr>
                <w:sz w:val="1"/>
                <w:szCs w:val="1"/>
                <w:color w:val="auto"/>
              </w:rPr>
            </w:pPr>
          </w:p>
        </w:tc>
      </w:tr>
      <w:tr>
        <w:trPr>
          <w:trHeight w:val="297"/>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43,273,939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0" w:type="dxa"/>
            <w:vAlign w:val="bottom"/>
          </w:tcPr>
          <w:p>
            <w:pPr>
              <w:spacing w:after="0"/>
              <w:rPr>
                <w:sz w:val="1"/>
                <w:szCs w:val="1"/>
                <w:color w:val="auto"/>
              </w:rPr>
            </w:pPr>
          </w:p>
        </w:tc>
      </w:tr>
      <w:tr>
        <w:trPr>
          <w:trHeight w:val="172"/>
        </w:trPr>
        <w:tc>
          <w:tcPr>
            <w:tcW w:w="620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w:t>
            </w:r>
          </w:p>
        </w:tc>
        <w:tc>
          <w:tcPr>
            <w:tcW w:w="46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43,505,113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45,917,992</w:t>
            </w:r>
          </w:p>
        </w:tc>
        <w:tc>
          <w:tcPr>
            <w:tcW w:w="0" w:type="dxa"/>
            <w:vAlign w:val="bottom"/>
          </w:tcPr>
          <w:p>
            <w:pPr>
              <w:spacing w:after="0"/>
              <w:rPr>
                <w:sz w:val="1"/>
                <w:szCs w:val="1"/>
                <w:color w:val="auto"/>
              </w:rPr>
            </w:pPr>
          </w:p>
        </w:tc>
      </w:tr>
      <w:tr>
        <w:trPr>
          <w:trHeight w:val="235"/>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OpCo Units</w:t>
            </w:r>
          </w:p>
        </w:tc>
        <w:tc>
          <w:tcPr>
            <w:tcW w:w="4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53,187,995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86,779,052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5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w:t>
      </w:r>
    </w:p>
    <w:p>
      <w:pPr>
        <w:jc w:val="both"/>
        <w:spacing w:after="0" w:line="214" w:lineRule="auto"/>
        <w:rPr>
          <w:sz w:val="20"/>
          <w:szCs w:val="20"/>
          <w:color w:val="auto"/>
        </w:rPr>
      </w:pPr>
      <w:r>
        <w:rPr>
          <w:rFonts w:ascii="Times New Roman" w:cs="Times New Roman" w:eastAsia="Times New Roman" w:hAnsi="Times New Roman"/>
          <w:sz w:val="18"/>
          <w:szCs w:val="18"/>
          <w:color w:val="auto"/>
        </w:rPr>
        <w:t>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720" w:type="dxa"/>
            <w:vAlign w:val="bottom"/>
            <w:tcBorders>
              <w:bottom w:val="single" w:sz="8" w:color="auto"/>
            </w:tcBorders>
            <w:gridSpan w:val="5"/>
          </w:tcPr>
          <w:p>
            <w:pPr>
              <w:ind w:left="1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8"/>
        </w:trPr>
        <w:tc>
          <w:tcPr>
            <w:tcW w:w="62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2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2"/>
                <w:szCs w:val="22"/>
                <w:color w:val="auto"/>
                <w:vertAlign w:val="superscript"/>
              </w:rPr>
              <w:t>(1)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OpCo Units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34,588,419</w:t>
            </w:r>
          </w:p>
        </w:tc>
        <w:tc>
          <w:tcPr>
            <w:tcW w:w="80" w:type="dxa"/>
            <w:vAlign w:val="bottom"/>
          </w:tcPr>
          <w:p>
            <w:pPr>
              <w:spacing w:after="0"/>
              <w:rPr>
                <w:sz w:val="24"/>
                <w:szCs w:val="24"/>
                <w:color w:val="auto"/>
              </w:rPr>
            </w:pPr>
          </w:p>
        </w:tc>
        <w:tc>
          <w:tcPr>
            <w:tcW w:w="2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10,941,161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369,413</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45,529,580</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369,413</w:t>
            </w:r>
          </w:p>
        </w:tc>
      </w:tr>
      <w:tr>
        <w:trPr>
          <w:trHeight w:val="20"/>
        </w:trPr>
        <w:tc>
          <w:tcPr>
            <w:tcW w:w="6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65" w:lineRule="auto"/>
        <w:tabs>
          <w:tab w:leader="none" w:pos="34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Warrant Exchange Offer on August 23, 2022, the warrants were out-of-the-money which resulted in no potentially dilutive shares under the treasury stock method. For the years ended December 31, 2024 and 2023, the warrants were not outstanding, and thus they are not applicable. Refer to Note 10—Stockholders’ Equity and Redeemable Non-Controlling Interests for further information regarding the Warrant Exchange Offer.</w:t>
      </w: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Fair value is generally based on quoted prices; however, if quoted market prices are not available, fair value is determined based on other relevant factors,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91" w:lineRule="exact"/>
        <w:rPr>
          <w:sz w:val="20"/>
          <w:szCs w:val="20"/>
          <w:color w:val="auto"/>
        </w:rPr>
      </w:pPr>
    </w:p>
    <w:p>
      <w:pPr>
        <w:ind w:left="640" w:right="280"/>
        <w:spacing w:after="0" w:line="234"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53" w:lineRule="exact"/>
        <w:rPr>
          <w:sz w:val="20"/>
          <w:szCs w:val="20"/>
          <w:color w:val="auto"/>
        </w:rPr>
      </w:pPr>
    </w:p>
    <w:p>
      <w:pPr>
        <w:ind w:left="640" w:right="480"/>
        <w:spacing w:after="0" w:line="243"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51"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w:t>
      </w:r>
    </w:p>
    <w:p>
      <w:pPr>
        <w:spacing w:after="0" w:line="222" w:lineRule="auto"/>
        <w:rPr>
          <w:sz w:val="20"/>
          <w:szCs w:val="20"/>
          <w:color w:val="auto"/>
        </w:rPr>
      </w:pPr>
      <w:r>
        <w:rPr>
          <w:rFonts w:ascii="Times New Roman" w:cs="Times New Roman" w:eastAsia="Times New Roman" w:hAnsi="Times New Roman"/>
          <w:sz w:val="18"/>
          <w:szCs w:val="18"/>
          <w:color w:val="auto"/>
        </w:rPr>
        <w:t>measurement. The Company’s assessment of the significance of a particular input to the fair value measurement in its entirety requires judgment and considers factors specific to the instrument.</w:t>
      </w:r>
    </w:p>
    <w:p>
      <w:pPr>
        <w:spacing w:after="0" w:line="154"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As of December 31, 2024 and 2023, the fair values of cash, restricted cash, accounts receivable, due from related parties, accounts payable and certain accrued liabilities approximate their carrying amounts due to the short-term nature of these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December 31,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32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640" w:type="dxa"/>
            <w:vAlign w:val="bottom"/>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0" w:type="dxa"/>
            <w:vAlign w:val="bottom"/>
          </w:tcPr>
          <w:p>
            <w:pPr>
              <w:spacing w:after="0"/>
              <w:rPr>
                <w:sz w:val="1"/>
                <w:szCs w:val="1"/>
                <w:color w:val="auto"/>
              </w:rPr>
            </w:pPr>
          </w:p>
        </w:tc>
      </w:tr>
      <w:tr>
        <w:trPr>
          <w:trHeight w:val="556"/>
        </w:trPr>
        <w:tc>
          <w:tcPr>
            <w:tcW w:w="4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640" w:type="dxa"/>
            <w:vAlign w:val="bottom"/>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each of the years ended December 31, 2024 and 2023.</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of December 31, 2024 and 2023, the Company held investments in U.S. Treasury securities with original maturities greater than three months from the date of purchase, which are presented at fair value as Investments in short-term marketable debt securities on the Consolidated Statements of Financial</w:t>
      </w:r>
    </w:p>
    <w:p>
      <w:pPr>
        <w:jc w:val="both"/>
        <w:spacing w:after="0" w:line="204" w:lineRule="auto"/>
        <w:rPr>
          <w:sz w:val="20"/>
          <w:szCs w:val="20"/>
          <w:color w:val="auto"/>
        </w:rPr>
      </w:pPr>
      <w:r>
        <w:rPr>
          <w:rFonts w:ascii="Times New Roman" w:cs="Times New Roman" w:eastAsia="Times New Roman" w:hAnsi="Times New Roman"/>
          <w:sz w:val="18"/>
          <w:szCs w:val="18"/>
          <w:color w:val="auto"/>
        </w:rPr>
        <w:t>Condition. These investments had an aggregate cost basis of $74.9 million and $89.3 million as of December 31, 2024 and 2023, respectively. As of December 31, 2024, the Company also held $20.2 million of investments in U.S. Treasury securities with original maturities of three months or less from the date of purchase, which are presented within Cash and cash equivalents on the Consolidated Statements of Financial Condition. The Company had $1.5</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million, $2.7 million, and $1.4 million of interest income and net unrealized gains (losses) on these investments for the years ended December 31, 2024, 2023, and 2022, respectively, which is included in Other income (expense) on the Consolidated Statements of Operations.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December 13, 2022, the Company wrote off its equity method investment in PFAC Holdings I LLC (“PFAC Holdings”), an indirect parent of PWP</w:t>
      </w:r>
    </w:p>
    <w:p>
      <w:pPr>
        <w:jc w:val="both"/>
        <w:spacing w:after="0" w:line="214" w:lineRule="auto"/>
        <w:rPr>
          <w:sz w:val="20"/>
          <w:szCs w:val="20"/>
          <w:color w:val="auto"/>
        </w:rPr>
      </w:pPr>
      <w:r>
        <w:rPr>
          <w:rFonts w:ascii="Times New Roman" w:cs="Times New Roman" w:eastAsia="Times New Roman" w:hAnsi="Times New Roman"/>
          <w:sz w:val="18"/>
          <w:szCs w:val="18"/>
          <w:color w:val="auto"/>
        </w:rPr>
        <w:t>Forward Acquisition Corp. I (“PFAC”), a special purpose acquisition company. During the year ended December 31, 2022, the Company recorded a $1.3 million net loss from its share of PFAC earnings net of the investment write off. This amount is reported in Other income (expense) on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February 28, 2019, a reorganization of the existing investment banking advisory and asset management businesses of PWP Holdings LP was effected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which resulted in the spin-off of its asset management business (the “Separation”). PWP Holdings LP was divided into (i) PWP OpCo, which holds the advisory business and (ii) PWP Capital Holdings LP (“Capital Holdings”), which holds the asset management business. In connection with the Separation, the Company entered into a transition services agreement (the “TSA”) with Capital Holdings under which the Company agreed to provide certain administrative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services to Capital Holdings. The TSA was terminated as of January 1, 2024. The Company also subleased certain portions of its office space to Capital Holdings through October 2023. Income earned from Capital Holdings related to the TSA and the sublease is presented within Related party income on the Consolidated Statements of Operations. Amounts due from Capital Holdings are reflected in Due from related parties on the Consolidated Statements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as of December 31, 2023, with no amounts due as of December 31, 2024.</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Separately,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future are recognized by Capital Holdings. All compensation related to services these employees provide to the Company are included in Compensation and benefits on the Consolidated Statements of Operations.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Investor</w:t>
      </w:r>
    </w:p>
    <w:p>
      <w:pPr>
        <w:spacing w:after="0" w:line="10"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w:t>
      </w:r>
    </w:p>
    <w:p>
      <w:pPr>
        <w:spacing w:after="0" w:line="1" w:lineRule="exact"/>
        <w:rPr>
          <w:sz w:val="20"/>
          <w:szCs w:val="20"/>
          <w:color w:val="auto"/>
        </w:rPr>
      </w:pPr>
    </w:p>
    <w:p>
      <w:pPr>
        <w:jc w:val="both"/>
        <w:ind w:firstLine="6"/>
        <w:spacing w:after="0" w:line="214"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the tax receivable agreement. As of December 31, 2024, the Company had an amount due of $65.5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4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00" w:type="dxa"/>
            <w:vAlign w:val="bottom"/>
          </w:tcPr>
          <w:p>
            <w:pPr>
              <w:spacing w:after="0"/>
              <w:rPr>
                <w:sz w:val="21"/>
                <w:szCs w:val="21"/>
                <w:color w:val="auto"/>
              </w:rPr>
            </w:pPr>
          </w:p>
        </w:tc>
        <w:tc>
          <w:tcPr>
            <w:tcW w:w="2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Tax Receivable Agreement</w:t>
            </w:r>
          </w:p>
        </w:tc>
      </w:tr>
      <w:tr>
        <w:trPr>
          <w:trHeight w:val="25"/>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78"/>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78"/>
        </w:trPr>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53"/>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w:t>
            </w:r>
          </w:p>
        </w:tc>
      </w:tr>
      <w:tr>
        <w:trPr>
          <w:trHeight w:val="26"/>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9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Consolidated Statements of Financial Condition in the amounts of $0.1 million and $2.1 million as of December 31, 2024 and 2023, respectively.</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From time to time, PWP OpCo and certain of its subsidiaries have agreed to provide loans to certain partners. As of December 31, 2024 and 2023, $0.6 million and $3.5 million, respectively, of outstanding loans to certain partners and related interest receivable are recognized in Due from related parties on the Consolidated Statements of Financial Condition.</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During the year ended December 31, 2024, $1.1 million of principal and interest related to these Partner Promissory Notes and other partner loans was repaid with cash and an additional $3.9 million was effectively repaid through the cancellation of PWP OpCo units held by such partners. During the years ended December 31, 2023 and 2022, $1.5 million and $2.6 million, respectively, was effectively repaid by foregoing the amount due to such partners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compensation agreements.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Merger on April 1, 2024 was effected to simplify the structure for the partners in Professional Partners with respect to their indirect interests in PWP</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Prior to the Merger, the Company’s U.K. subsidiary, Perella Weinberg UK Limited, as well as Professional Partners and certain partners (including one partner who serves as a Company director and president) were party to a reimbursement agreement, pursuant to which such partners directed Professional Partners to pay distributions related to certain of their Professional Partners Awards first to a subsidiary of the Company, so that the subsidiary could make</w:t>
      </w:r>
    </w:p>
    <w:p>
      <w:pPr>
        <w:spacing w:after="0"/>
        <w:rPr>
          <w:sz w:val="20"/>
          <w:szCs w:val="20"/>
          <w:color w:val="auto"/>
        </w:rPr>
      </w:pPr>
      <w:r>
        <w:rPr>
          <w:rFonts w:ascii="Times New Roman" w:cs="Times New Roman" w:eastAsia="Times New Roman" w:hAnsi="Times New Roman"/>
          <w:sz w:val="18"/>
          <w:szCs w:val="18"/>
          <w:color w:val="auto"/>
        </w:rPr>
        <w:t>employment income tax payments on such distributions to the appropriate non-U.S. authorities.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December 31, 2024 and 2023, the Company expects no claims or losses pursuant to these contracts; therefore, no liability has been recorded related to these indemnification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w:t>
      </w:r>
    </w:p>
    <w:p>
      <w:pPr>
        <w:jc w:val="both"/>
        <w:spacing w:after="0" w:line="214" w:lineRule="auto"/>
        <w:rPr>
          <w:sz w:val="20"/>
          <w:szCs w:val="20"/>
          <w:color w:val="auto"/>
        </w:rPr>
      </w:pPr>
      <w:r>
        <w:rPr>
          <w:rFonts w:ascii="Times New Roman" w:cs="Times New Roman" w:eastAsia="Times New Roman" w:hAnsi="Times New Roman"/>
          <w:sz w:val="18"/>
          <w:szCs w:val="18"/>
          <w:color w:val="auto"/>
        </w:rPr>
        <w:t>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2024 and 2023 and for the years ended December 31, 2024, 2023, and 2022.</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2015, the Company filed a complaint against three former partners and one former employee which alleges they entered into a scheme while at PWP to lift out the Company’s restructuring group to form a new competing firm that they were secretly forming in breach of their contractual and fiduciary duties. The complaint contains 14 causes of action and seeks declaratory relief as well as damages. Trial started on January 24, 2025 and is scheduled to end on</w:t>
      </w: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incurred $10.2 million, $2.1 million, and $0.6 million, respectively, in legal and professional fees, net of expected insurance reimbursement, related to this litigation. These litigation costs are included in Professional fees on the</w:t>
      </w: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and Geographic Information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a global independent advisory firm, the Company provides a range of advisory services depending on the needs of its clients, including advice related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value of advice to clients by drawing upon the diversified expertise and broad relationships of its senior professionals. As such, the Company is managed on a consolidated basis, which results in one reportable segment: Advisory.</w:t>
      </w:r>
    </w:p>
    <w:p>
      <w:pPr>
        <w:spacing w:after="0" w:line="15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w:t>
      </w:r>
    </w:p>
    <w:p>
      <w:pPr>
        <w:jc w:val="both"/>
        <w:spacing w:after="0" w:line="204" w:lineRule="auto"/>
        <w:rPr>
          <w:sz w:val="20"/>
          <w:szCs w:val="20"/>
          <w:color w:val="auto"/>
        </w:rPr>
      </w:pPr>
      <w:r>
        <w:rPr>
          <w:rFonts w:ascii="Times New Roman" w:cs="Times New Roman" w:eastAsia="Times New Roman" w:hAnsi="Times New Roman"/>
          <w:sz w:val="18"/>
          <w:szCs w:val="18"/>
          <w:color w:val="auto"/>
        </w:rPr>
        <w:t>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budgeted expense information on a consolidated basis that aligns with the expense categories as presented on the Consolidated Statements of Operations.</w:t>
      </w: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18"/>
          <w:szCs w:val="18"/>
          <w:color w:val="auto"/>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w:t>
      </w:r>
    </w:p>
    <w:p>
      <w:pPr>
        <w:spacing w:after="0"/>
        <w:rPr>
          <w:sz w:val="20"/>
          <w:szCs w:val="20"/>
          <w:color w:val="auto"/>
        </w:rPr>
      </w:pPr>
      <w:r>
        <w:rPr>
          <w:rFonts w:ascii="Times New Roman" w:cs="Times New Roman" w:eastAsia="Times New Roman" w:hAnsi="Times New Roman"/>
          <w:sz w:val="18"/>
          <w:szCs w:val="18"/>
          <w:color w:val="auto"/>
        </w:rPr>
        <w:t>Significant Accounting Policies.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2024, revenues of $99.9 million from one individual client accounted for more than 10% of aggregate revenues.</w:t>
      </w:r>
    </w:p>
    <w:p>
      <w:pPr>
        <w:spacing w:after="0"/>
        <w:rPr>
          <w:sz w:val="20"/>
          <w:szCs w:val="20"/>
          <w:color w:val="auto"/>
        </w:rPr>
      </w:pPr>
      <w:r>
        <w:rPr>
          <w:rFonts w:ascii="Times New Roman" w:cs="Times New Roman" w:eastAsia="Times New Roman" w:hAnsi="Times New Roman"/>
          <w:sz w:val="18"/>
          <w:szCs w:val="18"/>
          <w:color w:val="auto"/>
        </w:rPr>
        <w:t>There was no individual client that accounted for more than 10% of aggregate revenues for the years ended December 31, 2023 and 2022.</w:t>
      </w:r>
    </w:p>
    <w:p>
      <w:pPr>
        <w:spacing w:after="0" w:line="171"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6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477,990</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153,517</w:t>
            </w:r>
          </w:p>
        </w:tc>
        <w:tc>
          <w:tcPr>
            <w:tcW w:w="0" w:type="dxa"/>
            <w:vAlign w:val="bottom"/>
          </w:tcPr>
          <w:p>
            <w:pPr>
              <w:spacing w:after="0"/>
              <w:rPr>
                <w:sz w:val="1"/>
                <w:szCs w:val="1"/>
                <w:color w:val="auto"/>
              </w:rPr>
            </w:pPr>
          </w:p>
        </w:tc>
      </w:tr>
      <w:tr>
        <w:trPr>
          <w:trHeight w:val="29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687,784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569,332</w:t>
            </w:r>
          </w:p>
        </w:tc>
        <w:tc>
          <w:tcPr>
            <w:tcW w:w="0" w:type="dxa"/>
            <w:vAlign w:val="bottom"/>
          </w:tcPr>
          <w:p>
            <w:pPr>
              <w:spacing w:after="0"/>
              <w:rPr>
                <w:sz w:val="1"/>
                <w:szCs w:val="1"/>
                <w:color w:val="auto"/>
              </w:rPr>
            </w:pPr>
          </w:p>
        </w:tc>
      </w:tr>
      <w:tr>
        <w:trPr>
          <w:trHeight w:val="253"/>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191,776</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876,751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For the years ended December 31, 2024, 2023, and 2022, no country other than the United States had revenues which individually represented more than 10% of the Company’s total revenues.</w:t>
      </w:r>
    </w:p>
    <w:p>
      <w:pPr>
        <w:spacing w:after="0" w:line="153"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For the years ended December 31, 2024, 2023, and 2022, the U.K. was the only country other than the United States that had assets which individually represented more than 10% of the Company’s total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consolidated financial statements.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On January 1, 2025, the total shares reserved and available for future issuance under the PWP Incentive Plan increased to 12,996,348 in accordance with the terms of such plan, and on February 14, 2025, the Company granted 5,083,129 RSUs to certain employees and executive officers pursuant to such plan.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February 5, 2025, the Company’s Board of Directors declared a cash dividend of $0.07 per outstanding share of Class A common stock. This dividend</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will be paid on March 10, 2025 to Class A common stockholders of record on February 18, 2025.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6"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w:t>
      </w:r>
    </w:p>
    <w:p>
      <w:pPr>
        <w:jc w:val="both"/>
        <w:spacing w:after="0" w:line="214" w:lineRule="auto"/>
        <w:rPr>
          <w:sz w:val="20"/>
          <w:szCs w:val="20"/>
          <w:color w:val="auto"/>
        </w:rPr>
      </w:pPr>
      <w:r>
        <w:rPr>
          <w:rFonts w:ascii="Times New Roman" w:cs="Times New Roman" w:eastAsia="Times New Roman" w:hAnsi="Times New Roman"/>
          <w:sz w:val="18"/>
          <w:szCs w:val="18"/>
          <w:color w:val="auto"/>
        </w:rPr>
        <w:t>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2024. Based on that evaluation, our principal executive officer and principal financial officer concluded that our disclosure controls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conditions, the effectiveness of internal control over financial reporting may vary over time.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 xml:space="preserve">Management has assessed the effectiveness of its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Control-Integrated Framework (2013) issued by the Committee of Sponsoring Organizations of the Treadway Commission</w:t>
      </w:r>
      <w:r>
        <w:rPr>
          <w:rFonts w:ascii="Times New Roman" w:cs="Times New Roman" w:eastAsia="Times New Roman" w:hAnsi="Times New Roman"/>
          <w:sz w:val="17"/>
          <w:szCs w:val="17"/>
          <w:color w:val="auto"/>
        </w:rPr>
        <w:t>. Based on that assessment,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management believes that, as of December 31, 2024, the Company’s internal control over financial reporting was effective. The Company’s independent registered public accounting firm has issued an audit report on the effectiveness of the Company’s internal control over financial reporting. That report is included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2024 that materially affected, or are reasonably likely to materially affect,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62" w:lineRule="exact"/>
        <w:rPr>
          <w:sz w:val="20"/>
          <w:szCs w:val="20"/>
          <w:color w:val="auto"/>
        </w:rPr>
      </w:pPr>
    </w:p>
    <w:p>
      <w:pPr>
        <w:ind w:right="3240" w:firstLine="3566"/>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Perella Weinberg Partners</w:t>
      </w: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We have audited Perella Weinberg Partners' internal control over financial reporting as of December 31, 2024, based on criteria established in Internal Control —Integrated Framework issued by the Committee of Sponsoring Organizations of the Treadway Commission (2013 framework) (the COSO criteria). In our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opinion, Perella Weinberg Partners (the Company) maintained, in all material respects, effective internal control over financial reporting as of December 31, 2024, based on the COSO criteria.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w:t>
      </w:r>
    </w:p>
    <w:p>
      <w:pPr>
        <w:jc w:val="both"/>
        <w:spacing w:after="0" w:line="214" w:lineRule="auto"/>
        <w:rPr>
          <w:sz w:val="20"/>
          <w:szCs w:val="20"/>
          <w:color w:val="auto"/>
        </w:rPr>
      </w:pPr>
      <w:r>
        <w:rPr>
          <w:rFonts w:ascii="Times New Roman" w:cs="Times New Roman" w:eastAsia="Times New Roman" w:hAnsi="Times New Roman"/>
          <w:sz w:val="18"/>
          <w:szCs w:val="18"/>
          <w:color w:val="auto"/>
        </w:rPr>
        <w:t>statements of financial condition of the Company as of December 31, 2024 and 2023, the related consolidated statements of operations, comprehensive income (loss), changes in equity and redeemable non-controlling interests and cash flows for each of the three years in the period ended December 31, 2024, and the related notes, and our report dated February 27, 2025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jc w:val="both"/>
        <w:spacing w:after="0" w:line="214"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w:t>
      </w:r>
    </w:p>
    <w:p>
      <w:pPr>
        <w:jc w:val="both"/>
        <w:spacing w:after="0" w:line="222" w:lineRule="auto"/>
        <w:rPr>
          <w:sz w:val="20"/>
          <w:szCs w:val="20"/>
          <w:color w:val="auto"/>
        </w:rPr>
      </w:pPr>
      <w:r>
        <w:rPr>
          <w:rFonts w:ascii="Times New Roman" w:cs="Times New Roman" w:eastAsia="Times New Roman" w:hAnsi="Times New Roman"/>
          <w:sz w:val="18"/>
          <w:szCs w:val="18"/>
          <w:color w:val="auto"/>
        </w:rPr>
        <w:t>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w:t>
      </w:r>
    </w:p>
    <w:p>
      <w:pPr>
        <w:jc w:val="both"/>
        <w:spacing w:after="0" w:line="216" w:lineRule="auto"/>
        <w:rPr>
          <w:sz w:val="20"/>
          <w:szCs w:val="20"/>
          <w:color w:val="auto"/>
        </w:rPr>
      </w:pPr>
      <w:r>
        <w:rPr>
          <w:rFonts w:ascii="Times New Roman" w:cs="Times New Roman" w:eastAsia="Times New Roman" w:hAnsi="Times New Roman"/>
          <w:sz w:val="17"/>
          <w:szCs w:val="17"/>
          <w:color w:val="auto"/>
        </w:rPr>
        <w:t>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policies or procedures may deteriorate.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9" w:lineRule="auto"/>
        <w:rPr>
          <w:sz w:val="20"/>
          <w:szCs w:val="20"/>
          <w:color w:val="auto"/>
        </w:rPr>
      </w:pPr>
      <w:r>
        <w:rPr>
          <w:rFonts w:ascii="Times New Roman" w:cs="Times New Roman" w:eastAsia="Times New Roman" w:hAnsi="Times New Roman"/>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modified, or terminated a “Rule 10b5-1 trading arrangement” or “non-Rule 10b5-1 trading arrangement,” as each term is defined in Item 408(a)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information regarding directors and executive officers set forth under the caption “Proposal 1—Election of Directors” and “Executive Officers” in our definitive proxy statement to be filed in connection with our 2025 Annual Meeting of Stockholders (the “Proxy Statement”) is incorporated herein by reference.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post our Code of Business Conduct and Ethics on our corporate website at www.pwpartners.com under the “Investor Relations/Corporate</w:t>
      </w:r>
    </w:p>
    <w:p>
      <w:pPr>
        <w:jc w:val="both"/>
        <w:spacing w:after="0" w:line="214" w:lineRule="auto"/>
        <w:rPr>
          <w:sz w:val="20"/>
          <w:szCs w:val="20"/>
          <w:color w:val="auto"/>
        </w:rPr>
      </w:pPr>
      <w:r>
        <w:rPr>
          <w:rFonts w:ascii="Times New Roman" w:cs="Times New Roman" w:eastAsia="Times New Roman" w:hAnsi="Times New Roman"/>
          <w:sz w:val="18"/>
          <w:szCs w:val="18"/>
          <w:color w:val="auto"/>
        </w:rPr>
        <w:t>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filed with this Annual Report on Form 10-K as Exhibit</w:t>
      </w:r>
    </w:p>
    <w:p>
      <w:pPr>
        <w:spacing w:after="0"/>
        <w:rPr>
          <w:sz w:val="20"/>
          <w:szCs w:val="20"/>
          <w:color w:val="auto"/>
        </w:rPr>
      </w:pPr>
      <w:r>
        <w:rPr>
          <w:rFonts w:ascii="Times New Roman" w:cs="Times New Roman" w:eastAsia="Times New Roman" w:hAnsi="Times New Roman"/>
          <w:sz w:val="18"/>
          <w:szCs w:val="18"/>
          <w:color w:val="auto"/>
        </w:rPr>
        <w:t>19.1.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“Executive Compensation” and “Director Compensation” in the Proxy Statement.</w:t>
      </w:r>
    </w:p>
    <w:p>
      <w:pPr>
        <w:spacing w:after="0" w:line="15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captioned “Executive Compensation—Equity Compensation Plan Information” and “Stock Ownership of Certain Beneficial Owners and Management” in the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9" w:lineRule="exact"/>
        <w:rPr>
          <w:sz w:val="20"/>
          <w:szCs w:val="20"/>
          <w:color w:val="auto"/>
        </w:rPr>
      </w:pPr>
    </w:p>
    <w:p>
      <w:pPr>
        <w:ind w:right="900"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9"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captioned “Ratification of Independent Auditor Appointment” in the Proxy Statement.</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9" w:lineRule="exact"/>
        <w:rPr>
          <w:sz w:val="20"/>
          <w:szCs w:val="20"/>
          <w:color w:val="auto"/>
        </w:rPr>
      </w:pPr>
    </w:p>
    <w:p>
      <w:pPr>
        <w:ind w:left="240" w:hanging="234"/>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77" w:lineRule="exact"/>
        <w:rPr>
          <w:sz w:val="20"/>
          <w:szCs w:val="20"/>
          <w:color w:val="auto"/>
        </w:rPr>
      </w:pPr>
    </w:p>
    <w:p>
      <w:pPr>
        <w:ind w:right="320" w:firstLine="318"/>
        <w:spacing w:after="0" w:line="234"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of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7" w:lineRule="exact"/>
        <w:rPr>
          <w:sz w:val="20"/>
          <w:szCs w:val="20"/>
          <w:color w:val="auto"/>
        </w:rPr>
      </w:pPr>
    </w:p>
    <w:p>
      <w:pPr>
        <w:ind w:right="580" w:firstLine="318"/>
        <w:spacing w:after="0" w:line="234"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177"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website as </w:t>
      </w:r>
      <w:r>
        <w:rPr>
          <w:rFonts w:ascii="Times New Roman" w:cs="Times New Roman" w:eastAsia="Times New Roman" w:hAnsi="Times New Roman"/>
          <w:sz w:val="18"/>
          <w:szCs w:val="18"/>
          <w:b w:val="1"/>
          <w:bCs w:val="1"/>
          <w:color w:val="auto"/>
        </w:rPr>
        <w:t>www.sec.gov.</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360" w:type="dxa"/>
            <w:vAlign w:val="bottom"/>
            <w:gridSpan w:val="17"/>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72"/>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Restated Certificate of Incorporation of Perella Weinberg Partners (incorporated by reference to Exhibit 3.1 to Amendment No. 1</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to the Company's Registration Statement on Form S-1 filed with the SEC on January 13, 2022 (File No. 333-261785)).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25"/>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Bylaws of Perella Weinberg Partners (incorporated by reference to Exhibit 3.2 to the Company’s Current</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Report on Form 8-K, filed with the SEC on June 30, 2021).</w:t>
              </w:r>
            </w:hyperlink>
          </w:p>
        </w:tc>
        <w:tc>
          <w:tcPr>
            <w:tcW w:w="488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24"/>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Specimen Class A Common Stock Certificate (incorporated by reference to Exhibit 4.1 to the Company’s Current Report on Form</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8-K, filed with the SEC on June 30, 2021).</w:t>
              </w:r>
            </w:hyperlink>
          </w:p>
        </w:tc>
        <w:tc>
          <w:tcPr>
            <w:tcW w:w="61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25"/>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Employment Agreement, effective as of January 1, 2023, by and between Perella Weinberg Partners, PWP Employer LP and Peter</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 Weinberg (incorporated by reference to Exhibit 10.1 to the Company's Annual Report on Form 10-K filed with the SEC on</w:t>
              </w:r>
            </w:hyperlink>
          </w:p>
        </w:tc>
        <w:tc>
          <w:tcPr>
            <w:tcW w:w="340" w:type="dxa"/>
            <w:vAlign w:val="bottom"/>
            <w:gridSpan w:val="2"/>
          </w:tcPr>
          <w:p>
            <w:pPr>
              <w:spacing w:after="0"/>
              <w:rPr>
                <w:sz w:val="13"/>
                <w:szCs w:val="13"/>
                <w:color w:val="auto"/>
              </w:rPr>
            </w:pPr>
          </w:p>
        </w:tc>
      </w:tr>
      <w:tr>
        <w:trPr>
          <w:trHeight w:val="165"/>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tcBorders>
            <w:gridSpan w:val="10"/>
          </w:tcPr>
          <w:p>
            <w:pPr>
              <w:spacing w:after="0" w:line="165"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21"/>
          </w:tcPr>
          <w:p>
            <w:pPr>
              <w:spacing w:after="0" w:line="152"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Andrew Bednar (incorporated by reference to Exhibit 10.2 to the Company's Annual Report on Form 10-K filed with the SEC on</w:t>
              </w:r>
            </w:hyperlink>
          </w:p>
        </w:tc>
      </w:tr>
      <w:tr>
        <w:trPr>
          <w:trHeight w:val="165"/>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r>
      <w:tr>
        <w:trPr>
          <w:trHeight w:val="20"/>
        </w:trPr>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21"/>
          </w:tcPr>
          <w:p>
            <w:pPr>
              <w:spacing w:after="0" w:line="152"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Dietrich Becker (incorporated by reference to Exhibit 10.3 to the Company's Annual Report on Form 10-K filed with the SEC on</w:t>
              </w:r>
            </w:hyperlink>
          </w:p>
        </w:tc>
      </w:tr>
      <w:tr>
        <w:trPr>
          <w:trHeight w:val="166"/>
        </w:trPr>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15"/>
          </w:tcPr>
          <w:p>
            <w:pPr>
              <w:spacing w:after="0" w:line="165"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380" w:type="dxa"/>
            <w:vAlign w:val="bottom"/>
            <w:gridSpan w:val="4"/>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11"/>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Director Restricted Stock Unit Award Agreement (One-Time Award) (incorporated by reference to Exhibit 10.4 of the</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Company's Quarterly Report on Form 10-Q filed with the SEC on November 5, 2021).</w:t>
              </w:r>
            </w:hyperlink>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24"/>
        </w:trPr>
        <w:tc>
          <w:tcPr>
            <w:tcW w:w="3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Director Restricted Stock Unit Award Agreement (Annual Base Retainer Award) (incorporated by reference to Exhibit</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r>
                <w:rPr>
                  <w:rFonts w:ascii="Times New Roman" w:cs="Times New Roman" w:eastAsia="Times New Roman" w:hAnsi="Times New Roman"/>
                  <w:sz w:val="17"/>
                  <w:szCs w:val="17"/>
                  <w:color w:val="0000FF"/>
                </w:rPr>
                <w:t xml:space="preserve"> of the Company's Quarterly Report on Form 10-Q filed with the SEC on November 5, 2021).</w:t>
              </w:r>
            </w:hyperlink>
          </w:p>
        </w:tc>
        <w:tc>
          <w:tcPr>
            <w:tcW w:w="200" w:type="dxa"/>
            <w:vAlign w:val="bottom"/>
            <w:gridSpan w:val="5"/>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24"/>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152"/>
        </w:trPr>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reference to Exhibit 10.3 to the Company's Current Report on Form 8-K, filed with the SEC on June 30, 2021).</w:t>
              </w:r>
            </w:hyperlink>
          </w:p>
        </w:tc>
        <w:tc>
          <w:tcPr>
            <w:tcW w:w="380" w:type="dxa"/>
            <w:vAlign w:val="bottom"/>
            <w:gridSpan w:val="4"/>
          </w:tcPr>
          <w:p>
            <w:pPr>
              <w:spacing w:after="0"/>
              <w:rPr>
                <w:sz w:val="13"/>
                <w:szCs w:val="13"/>
                <w:color w:val="auto"/>
              </w:rPr>
            </w:pPr>
          </w:p>
        </w:tc>
      </w:tr>
      <w:tr>
        <w:trPr>
          <w:trHeight w:val="829"/>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top w:val="single" w:sz="8" w:color="0000FF"/>
            </w:tcBorders>
            <w:gridSpan w:val="4"/>
          </w:tcPr>
          <w:p>
            <w:pPr>
              <w:ind w:left="4020"/>
              <w:spacing w:after="0"/>
              <w:rPr>
                <w:sz w:val="20"/>
                <w:szCs w:val="20"/>
                <w:color w:val="auto"/>
              </w:rPr>
            </w:pPr>
            <w:r>
              <w:rPr>
                <w:rFonts w:ascii="Times New Roman" w:cs="Times New Roman" w:eastAsia="Times New Roman" w:hAnsi="Times New Roman"/>
                <w:sz w:val="18"/>
                <w:szCs w:val="18"/>
                <w:color w:val="auto"/>
                <w:w w:val="88"/>
              </w:rPr>
              <w:t>79</w:t>
            </w:r>
          </w:p>
        </w:tc>
        <w:tc>
          <w:tcPr>
            <w:tcW w:w="19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Tax Receivable Agreement, dated June 24, 2021, by and between the Company, PWP Holdings LP, PWP Professional Partners LP</w:t>
              </w:r>
            </w:hyperlink>
          </w:p>
        </w:tc>
      </w:tr>
      <w:tr>
        <w:trPr>
          <w:trHeight w:val="152"/>
        </w:trPr>
        <w:tc>
          <w:tcPr>
            <w:tcW w:w="1680" w:type="dxa"/>
            <w:vAlign w:val="bottom"/>
          </w:tcPr>
          <w:p>
            <w:pPr>
              <w:spacing w:after="0"/>
              <w:rPr>
                <w:sz w:val="13"/>
                <w:szCs w:val="13"/>
                <w:color w:val="auto"/>
              </w:rPr>
            </w:pPr>
          </w:p>
        </w:tc>
        <w:tc>
          <w:tcPr>
            <w:tcW w:w="920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and certain partners party thereto (incorporated by reference to Exhibit 10.2 to the Company's Current Report on Form 8-K, filed</w:t>
              </w:r>
            </w:hyperlink>
          </w:p>
        </w:tc>
        <w:tc>
          <w:tcPr>
            <w:tcW w:w="360" w:type="dxa"/>
            <w:vAlign w:val="bottom"/>
          </w:tcPr>
          <w:p>
            <w:pPr>
              <w:spacing w:after="0"/>
              <w:rPr>
                <w:sz w:val="13"/>
                <w:szCs w:val="13"/>
                <w:color w:val="auto"/>
              </w:rPr>
            </w:pPr>
          </w:p>
        </w:tc>
      </w:tr>
      <w:tr>
        <w:trPr>
          <w:trHeight w:val="165"/>
        </w:trPr>
        <w:tc>
          <w:tcPr>
            <w:tcW w:w="1680" w:type="dxa"/>
            <w:vAlign w:val="bottom"/>
          </w:tcPr>
          <w:p>
            <w:pPr>
              <w:spacing w:after="0"/>
              <w:rPr>
                <w:sz w:val="14"/>
                <w:szCs w:val="14"/>
                <w:color w:val="auto"/>
              </w:rPr>
            </w:pPr>
          </w:p>
        </w:tc>
        <w:tc>
          <w:tcPr>
            <w:tcW w:w="9100" w:type="dxa"/>
            <w:vAlign w:val="bottom"/>
            <w:tcBorders>
              <w:top w:val="single" w:sz="8" w:color="0000FF"/>
            </w:tcBorders>
            <w:gridSpan w:val="32"/>
          </w:tcPr>
          <w:p>
            <w:pPr>
              <w:spacing w:after="0" w:line="165"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with the SEC on June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Third Amended and Restated Agreement of Limited Partnership of PWP Holdings LP, dated as of February 5, 2025, by and</w:t>
            </w:r>
          </w:p>
        </w:tc>
      </w:tr>
      <w:tr>
        <w:trPr>
          <w:trHeight w:val="152"/>
        </w:trPr>
        <w:tc>
          <w:tcPr>
            <w:tcW w:w="1680" w:type="dxa"/>
            <w:vAlign w:val="bottom"/>
          </w:tcPr>
          <w:p>
            <w:pPr>
              <w:spacing w:after="0"/>
              <w:rPr>
                <w:sz w:val="13"/>
                <w:szCs w:val="13"/>
                <w:color w:val="auto"/>
              </w:rPr>
            </w:pPr>
          </w:p>
        </w:tc>
        <w:tc>
          <w:tcPr>
            <w:tcW w:w="8740" w:type="dxa"/>
            <w:vAlign w:val="bottom"/>
            <w:tcBorders>
              <w:top w:val="single" w:sz="8" w:color="0000FF"/>
            </w:tcBorders>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among PWP GP LLC, the Company, and the other limited partners party thereto.</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Amended and Restated Limited Liability Company Agreement of PWP GP LLC, dated June 24, 2021 (incorporated by reference</w:t>
              </w:r>
            </w:hyperlink>
          </w:p>
        </w:tc>
      </w:tr>
      <w:tr>
        <w:trPr>
          <w:trHeight w:val="152"/>
        </w:trPr>
        <w:tc>
          <w:tcPr>
            <w:tcW w:w="1680" w:type="dxa"/>
            <w:vAlign w:val="bottom"/>
          </w:tcPr>
          <w:p>
            <w:pPr>
              <w:spacing w:after="0"/>
              <w:rPr>
                <w:sz w:val="13"/>
                <w:szCs w:val="13"/>
                <w:color w:val="auto"/>
              </w:rPr>
            </w:pPr>
          </w:p>
        </w:tc>
        <w:tc>
          <w:tcPr>
            <w:tcW w:w="912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to Exhibit 10.5 to the Company's Current Report on Form 8-K, filed with the SEC on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Perella Weinberg Partners 2021 Omnibus Incentive Plan (incorporated by reference to Exhibit 10.6 to the Company's Current</w:t>
              </w:r>
            </w:hyperlink>
          </w:p>
        </w:tc>
      </w:tr>
      <w:tr>
        <w:trPr>
          <w:trHeight w:val="152"/>
        </w:trPr>
        <w:tc>
          <w:tcPr>
            <w:tcW w:w="1680" w:type="dxa"/>
            <w:vAlign w:val="bottom"/>
          </w:tcPr>
          <w:p>
            <w:pPr>
              <w:spacing w:after="0"/>
              <w:rPr>
                <w:sz w:val="13"/>
                <w:szCs w:val="13"/>
                <w:color w:val="auto"/>
              </w:rPr>
            </w:pPr>
          </w:p>
        </w:tc>
        <w:tc>
          <w:tcPr>
            <w:tcW w:w="884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Report on Form 8-K, filed with the SEC on June 30, 2021)</w:t>
              </w:r>
              <w:r>
                <w:rPr>
                  <w:rFonts w:ascii="Times New Roman" w:cs="Times New Roman" w:eastAsia="Times New Roman" w:hAnsi="Times New Roman"/>
                  <w:sz w:val="17"/>
                  <w:szCs w:val="17"/>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French Sub-Plan Under the Perella Weinberg Partners 2021 Omnibus Equity Incentive Plan (incorporated by reference to Exhibit</w:t>
              </w:r>
            </w:hyperlink>
          </w:p>
        </w:tc>
      </w:tr>
      <w:tr>
        <w:trPr>
          <w:trHeight w:val="152"/>
        </w:trPr>
        <w:tc>
          <w:tcPr>
            <w:tcW w:w="168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to the Company's Current Report on Form 8-K, filed with the SEC on June 30, 2021).</w:t>
              </w:r>
            </w:hyperlink>
          </w:p>
        </w:tc>
        <w:tc>
          <w:tcPr>
            <w:tcW w:w="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Indemnification Agreement (incorporated by reference to Exhibit 10.8 to the Company's Current Report on Form 8-K,</w:t>
              </w:r>
            </w:hyperlink>
          </w:p>
        </w:tc>
      </w:tr>
      <w:tr>
        <w:trPr>
          <w:trHeight w:val="152"/>
        </w:trPr>
        <w:tc>
          <w:tcPr>
            <w:tcW w:w="168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filed with the SEC on June 30, 2021).</w:t>
              </w:r>
            </w:hyperlink>
          </w:p>
        </w:tc>
        <w:tc>
          <w:tcPr>
            <w:tcW w:w="6320" w:type="dxa"/>
            <w:vAlign w:val="bottom"/>
            <w:tcBorders>
              <w:top w:val="single" w:sz="8" w:color="0000FF"/>
            </w:tcBorders>
            <w:gridSpan w:val="2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8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Amendment Agreement, dated as of June 30, 2023, by and among Perella Weinberg Partners Group LP, as Borrower, and each</w:t>
              </w:r>
            </w:hyperlink>
          </w:p>
        </w:tc>
        <w:tc>
          <w:tcPr>
            <w:tcW w:w="620" w:type="dxa"/>
            <w:vAlign w:val="bottom"/>
            <w:gridSpan w:val="10"/>
          </w:tcPr>
          <w:p>
            <w:pPr>
              <w:spacing w:after="0"/>
              <w:rPr>
                <w:sz w:val="24"/>
                <w:szCs w:val="24"/>
                <w:color w:val="auto"/>
              </w:rPr>
            </w:pPr>
          </w:p>
        </w:tc>
      </w:tr>
      <w:tr>
        <w:trPr>
          <w:trHeight w:val="152"/>
        </w:trPr>
        <w:tc>
          <w:tcPr>
            <w:tcW w:w="1680" w:type="dxa"/>
            <w:vAlign w:val="bottom"/>
          </w:tcPr>
          <w:p>
            <w:pPr>
              <w:spacing w:after="0"/>
              <w:rPr>
                <w:sz w:val="13"/>
                <w:szCs w:val="13"/>
                <w:color w:val="auto"/>
              </w:rPr>
            </w:pPr>
          </w:p>
        </w:tc>
        <w:tc>
          <w:tcPr>
            <w:tcW w:w="9560" w:type="dxa"/>
            <w:vAlign w:val="bottom"/>
            <w:gridSpan w:val="38"/>
          </w:tcPr>
          <w:p>
            <w:pPr>
              <w:spacing w:after="0" w:line="152"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Lender under the Credit Agreement and Cadence Bank, as administrative agent (incorporated by reference to Exhibit 10.1 to the</w:t>
              </w:r>
            </w:hyperlink>
          </w:p>
        </w:tc>
      </w:tr>
      <w:tr>
        <w:trPr>
          <w:trHeight w:val="166"/>
        </w:trPr>
        <w:tc>
          <w:tcPr>
            <w:tcW w:w="1680" w:type="dxa"/>
            <w:vAlign w:val="bottom"/>
          </w:tcPr>
          <w:p>
            <w:pPr>
              <w:spacing w:after="0"/>
              <w:rPr>
                <w:sz w:val="14"/>
                <w:szCs w:val="14"/>
                <w:color w:val="auto"/>
              </w:rPr>
            </w:pPr>
          </w:p>
        </w:tc>
        <w:tc>
          <w:tcPr>
            <w:tcW w:w="5940" w:type="dxa"/>
            <w:vAlign w:val="bottom"/>
            <w:tcBorders>
              <w:top w:val="single" w:sz="8" w:color="0000FF"/>
              <w:bottom w:val="single" w:sz="8" w:color="0000FF"/>
            </w:tcBorders>
            <w:gridSpan w:val="14"/>
          </w:tcPr>
          <w:p>
            <w:pPr>
              <w:spacing w:after="0" w:line="165"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Company's Quarterly Report on Form 10-Q, filed with the SEC on August 4, 2023).</w:t>
              </w:r>
            </w:hyperlink>
          </w:p>
        </w:tc>
        <w:tc>
          <w:tcPr>
            <w:tcW w:w="3140" w:type="dxa"/>
            <w:vAlign w:val="bottom"/>
            <w:tcBorders>
              <w:top w:val="single" w:sz="8" w:color="0000FF"/>
            </w:tcBorders>
            <w:gridSpan w:val="1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380" w:type="dxa"/>
            <w:vAlign w:val="bottom"/>
            <w:gridSpan w:val="2"/>
          </w:tcPr>
          <w:p>
            <w:pPr>
              <w:spacing w:after="0"/>
              <w:rPr>
                <w:sz w:val="14"/>
                <w:szCs w:val="1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Amendment No. 4 to Credit Agreement, dated as of January 24, 2025, by and among Perella Weinberg Partners Group LP, PWP</w:t>
            </w:r>
          </w:p>
        </w:tc>
      </w:tr>
      <w:tr>
        <w:trPr>
          <w:trHeight w:val="152"/>
        </w:trPr>
        <w:tc>
          <w:tcPr>
            <w:tcW w:w="1680" w:type="dxa"/>
            <w:vAlign w:val="bottom"/>
          </w:tcPr>
          <w:p>
            <w:pPr>
              <w:spacing w:after="0"/>
              <w:rPr>
                <w:sz w:val="13"/>
                <w:szCs w:val="13"/>
                <w:color w:val="auto"/>
              </w:rPr>
            </w:pPr>
          </w:p>
        </w:tc>
        <w:tc>
          <w:tcPr>
            <w:tcW w:w="9060" w:type="dxa"/>
            <w:vAlign w:val="bottom"/>
            <w:tcBorders>
              <w:top w:val="single" w:sz="8" w:color="0000FF"/>
            </w:tcBorders>
            <w:gridSpan w:val="30"/>
          </w:tcPr>
          <w:p>
            <w:pPr>
              <w:spacing w:after="0" w:line="152" w:lineRule="exact"/>
              <w:rPr>
                <w:sz w:val="20"/>
                <w:szCs w:val="20"/>
                <w:color w:val="auto"/>
              </w:rPr>
            </w:pPr>
            <w:r>
              <w:rPr>
                <w:rFonts w:ascii="Times New Roman" w:cs="Times New Roman" w:eastAsia="Times New Roman" w:hAnsi="Times New Roman"/>
                <w:sz w:val="17"/>
                <w:szCs w:val="17"/>
                <w:color w:val="0000FF"/>
              </w:rPr>
              <w:t>Holdings LP, the subsidiary guarantors and lenders party thereto, and Cadence Bank, as administrative agent.</w:t>
            </w: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Management Performance Restricted Stock Unit Award Agreement (incorporated by reference to Exhibit 10.13 to the</w:t>
              </w:r>
            </w:hyperlink>
          </w:p>
        </w:tc>
      </w:tr>
      <w:tr>
        <w:trPr>
          <w:trHeight w:val="152"/>
        </w:trPr>
        <w:tc>
          <w:tcPr>
            <w:tcW w:w="168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Company's Quarterly Report on Form 10-Q, filed with the SEC on August 12, 2021).</w:t>
              </w:r>
            </w:hyperlink>
          </w:p>
        </w:tc>
        <w:tc>
          <w:tcPr>
            <w:tcW w:w="2900" w:type="dxa"/>
            <w:vAlign w:val="bottom"/>
            <w:tcBorders>
              <w:top w:val="single" w:sz="8" w:color="0000FF"/>
            </w:tcBorders>
            <w:gridSpan w:val="12"/>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34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Series A PI Unit Award Agreement (incorporated by reference to Exhibit 10.2 to the Company’s Quarterly Report on</w:t>
              </w:r>
            </w:hyperlink>
          </w:p>
        </w:tc>
      </w:tr>
      <w:tr>
        <w:trPr>
          <w:trHeight w:val="132"/>
        </w:trPr>
        <w:tc>
          <w:tcPr>
            <w:tcW w:w="1680" w:type="dxa"/>
            <w:vAlign w:val="bottom"/>
          </w:tcPr>
          <w:p>
            <w:pPr>
              <w:spacing w:after="0"/>
              <w:rPr>
                <w:sz w:val="11"/>
                <w:szCs w:val="11"/>
                <w:color w:val="auto"/>
              </w:rPr>
            </w:pPr>
          </w:p>
        </w:tc>
        <w:tc>
          <w:tcPr>
            <w:tcW w:w="3960" w:type="dxa"/>
            <w:vAlign w:val="bottom"/>
            <w:tcBorders>
              <w:top w:val="single" w:sz="8" w:color="0000FF"/>
              <w:bottom w:val="single" w:sz="8" w:color="0000FF"/>
            </w:tcBorders>
            <w:gridSpan w:val="8"/>
          </w:tcPr>
          <w:p>
            <w:pPr>
              <w:spacing w:after="0" w:line="133" w:lineRule="exact"/>
              <w:rPr>
                <w:rFonts w:ascii="Times New Roman" w:cs="Times New Roman" w:eastAsia="Times New Roman" w:hAnsi="Times New Roman"/>
                <w:sz w:val="15"/>
                <w:szCs w:val="15"/>
                <w:color w:val="0000FF"/>
              </w:rPr>
            </w:pPr>
            <w:hyperlink r:id="rId122">
              <w:r>
                <w:rPr>
                  <w:rFonts w:ascii="Times New Roman" w:cs="Times New Roman" w:eastAsia="Times New Roman" w:hAnsi="Times New Roman"/>
                  <w:sz w:val="15"/>
                  <w:szCs w:val="15"/>
                  <w:color w:val="0000FF"/>
                </w:rPr>
                <w:t>Form 10-Q, filed with the SEC on November 12, 2024).</w:t>
              </w:r>
            </w:hyperlink>
          </w:p>
        </w:tc>
        <w:tc>
          <w:tcPr>
            <w:tcW w:w="2760" w:type="dxa"/>
            <w:vAlign w:val="bottom"/>
            <w:tcBorders>
              <w:top w:val="single" w:sz="8" w:color="0000FF"/>
            </w:tcBorders>
            <w:gridSpan w:val="9"/>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19.1*</w:t>
            </w:r>
          </w:p>
        </w:tc>
        <w:tc>
          <w:tcPr>
            <w:tcW w:w="3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Perella Weinberg Partners Insider Trading Policy.</w:t>
            </w:r>
          </w:p>
        </w:tc>
        <w:tc>
          <w:tcPr>
            <w:tcW w:w="6060" w:type="dxa"/>
            <w:vAlign w:val="bottom"/>
            <w:gridSpan w:val="31"/>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r>
      <w:tr>
        <w:trPr>
          <w:trHeight w:val="20"/>
        </w:trPr>
        <w:tc>
          <w:tcPr>
            <w:tcW w:w="16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w:t>
            </w:r>
          </w:p>
        </w:tc>
        <w:tc>
          <w:tcPr>
            <w:tcW w:w="5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 registered accounting firm.</w:t>
            </w:r>
          </w:p>
        </w:tc>
        <w:tc>
          <w:tcPr>
            <w:tcW w:w="4440" w:type="dxa"/>
            <w:vAlign w:val="bottom"/>
            <w:gridSpan w:val="27"/>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Powers of Attorney (included on signature page).</w:t>
            </w:r>
          </w:p>
        </w:tc>
        <w:tc>
          <w:tcPr>
            <w:tcW w:w="6080" w:type="dxa"/>
            <w:vAlign w:val="bottom"/>
            <w:gridSpan w:val="32"/>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2"/>
        </w:trPr>
        <w:tc>
          <w:tcPr>
            <w:tcW w:w="168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7"/>
                <w:szCs w:val="17"/>
                <w:color w:val="0000FF"/>
              </w:rPr>
              <w:t>1934, as Adopted Pursuant to Section 302 of the Sarbanes-Oxley Act of 2002.</w:t>
            </w:r>
          </w:p>
        </w:tc>
        <w:tc>
          <w:tcPr>
            <w:tcW w:w="3280" w:type="dxa"/>
            <w:vAlign w:val="bottom"/>
            <w:tcBorders>
              <w:top w:val="single" w:sz="8" w:color="0000FF"/>
            </w:tcBorders>
            <w:gridSpan w:val="12"/>
          </w:tcPr>
          <w:p>
            <w:pPr>
              <w:spacing w:after="0"/>
              <w:rPr>
                <w:sz w:val="13"/>
                <w:szCs w:val="13"/>
                <w:color w:val="auto"/>
              </w:rPr>
            </w:pPr>
          </w:p>
        </w:tc>
        <w:tc>
          <w:tcPr>
            <w:tcW w:w="34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w:t>
            </w:r>
          </w:p>
        </w:tc>
      </w:tr>
      <w:tr>
        <w:trPr>
          <w:trHeight w:val="152"/>
        </w:trPr>
        <w:tc>
          <w:tcPr>
            <w:tcW w:w="168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302 of the Sarbanes-Oxley Act of 2002.</w:t>
            </w:r>
          </w:p>
        </w:tc>
        <w:tc>
          <w:tcPr>
            <w:tcW w:w="4100" w:type="dxa"/>
            <w:vAlign w:val="bottom"/>
            <w:tcBorders>
              <w:top w:val="single" w:sz="8" w:color="0000FF"/>
            </w:tcBorders>
            <w:gridSpan w:val="26"/>
          </w:tcPr>
          <w:p>
            <w:pPr>
              <w:spacing w:after="0"/>
              <w:rPr>
                <w:sz w:val="13"/>
                <w:szCs w:val="13"/>
                <w:color w:val="auto"/>
              </w:rPr>
            </w:pPr>
          </w:p>
        </w:tc>
        <w:tc>
          <w:tcPr>
            <w:tcW w:w="380" w:type="dxa"/>
            <w:vAlign w:val="bottom"/>
            <w:gridSpan w:val="2"/>
          </w:tcPr>
          <w:p>
            <w:pPr>
              <w:spacing w:after="0"/>
              <w:rPr>
                <w:sz w:val="13"/>
                <w:szCs w:val="13"/>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52"/>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620" w:type="dxa"/>
            <w:vAlign w:val="bottom"/>
            <w:tcBorders>
              <w:top w:val="single" w:sz="8" w:color="0000FF"/>
            </w:tcBorders>
            <w:gridSpan w:val="20"/>
          </w:tcPr>
          <w:p>
            <w:pPr>
              <w:spacing w:after="0"/>
              <w:rPr>
                <w:sz w:val="13"/>
                <w:szCs w:val="13"/>
                <w:color w:val="auto"/>
              </w:rPr>
            </w:pPr>
          </w:p>
        </w:tc>
        <w:tc>
          <w:tcPr>
            <w:tcW w:w="460" w:type="dxa"/>
            <w:vAlign w:val="bottom"/>
            <w:gridSpan w:val="12"/>
          </w:tcPr>
          <w:p>
            <w:pPr>
              <w:spacing w:after="0"/>
              <w:rPr>
                <w:sz w:val="13"/>
                <w:szCs w:val="13"/>
                <w:color w:val="auto"/>
              </w:rPr>
            </w:pPr>
          </w:p>
        </w:tc>
        <w:tc>
          <w:tcPr>
            <w:tcW w:w="420" w:type="dxa"/>
            <w:vAlign w:val="bottom"/>
            <w:gridSpan w:val="4"/>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52"/>
        </w:trPr>
        <w:tc>
          <w:tcPr>
            <w:tcW w:w="16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580" w:type="dxa"/>
            <w:vAlign w:val="bottom"/>
            <w:tcBorders>
              <w:top w:val="single" w:sz="8" w:color="0000FF"/>
            </w:tcBorders>
            <w:gridSpan w:val="19"/>
          </w:tcPr>
          <w:p>
            <w:pPr>
              <w:spacing w:after="0"/>
              <w:rPr>
                <w:sz w:val="13"/>
                <w:szCs w:val="13"/>
                <w:color w:val="auto"/>
              </w:rPr>
            </w:pPr>
          </w:p>
        </w:tc>
        <w:tc>
          <w:tcPr>
            <w:tcW w:w="500" w:type="dxa"/>
            <w:vAlign w:val="bottom"/>
            <w:gridSpan w:val="13"/>
          </w:tcPr>
          <w:p>
            <w:pPr>
              <w:spacing w:after="0"/>
              <w:rPr>
                <w:sz w:val="13"/>
                <w:szCs w:val="13"/>
                <w:color w:val="auto"/>
              </w:rPr>
            </w:pPr>
          </w:p>
        </w:tc>
        <w:tc>
          <w:tcPr>
            <w:tcW w:w="420" w:type="dxa"/>
            <w:vAlign w:val="bottom"/>
            <w:gridSpan w:val="4"/>
          </w:tcPr>
          <w:p>
            <w:pPr>
              <w:spacing w:after="0"/>
              <w:rPr>
                <w:sz w:val="13"/>
                <w:szCs w:val="13"/>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97.1</w:t>
            </w:r>
          </w:p>
        </w:tc>
        <w:tc>
          <w:tcPr>
            <w:tcW w:w="9560" w:type="dxa"/>
            <w:vAlign w:val="bottom"/>
            <w:gridSpan w:val="3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Perella Weinberg Partners Clawback Policy (incorporated by reference to Exhibit 97.1 to the Company’s Annual Report on Form</w:t>
              </w:r>
            </w:hyperlink>
          </w:p>
        </w:tc>
      </w:tr>
      <w:tr>
        <w:trPr>
          <w:trHeight w:val="152"/>
        </w:trPr>
        <w:tc>
          <w:tcPr>
            <w:tcW w:w="1680" w:type="dxa"/>
            <w:vAlign w:val="bottom"/>
          </w:tcPr>
          <w:p>
            <w:pPr>
              <w:spacing w:after="0"/>
              <w:rPr>
                <w:sz w:val="13"/>
                <w:szCs w:val="13"/>
                <w:color w:val="auto"/>
              </w:rPr>
            </w:pPr>
          </w:p>
        </w:tc>
        <w:tc>
          <w:tcPr>
            <w:tcW w:w="914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10-K, filed with the SEC on February 23, 2024).</w:t>
              </w:r>
            </w:hyperlink>
          </w:p>
        </w:tc>
        <w:tc>
          <w:tcPr>
            <w:tcW w:w="420" w:type="dxa"/>
            <w:vAlign w:val="bottom"/>
            <w:gridSpan w:val="4"/>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6140" w:type="dxa"/>
            <w:vAlign w:val="bottom"/>
            <w:gridSpan w:val="33"/>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1"/>
        </w:trPr>
        <w:tc>
          <w:tcPr>
            <w:tcW w:w="1680" w:type="dxa"/>
            <w:vAlign w:val="bottom"/>
          </w:tcPr>
          <w:p>
            <w:pPr>
              <w:spacing w:after="0"/>
              <w:rPr>
                <w:sz w:val="20"/>
                <w:szCs w:val="20"/>
                <w:color w:val="auto"/>
              </w:rPr>
            </w:pP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7"/>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689"/>
        </w:trPr>
        <w:tc>
          <w:tcPr>
            <w:tcW w:w="1680" w:type="dxa"/>
            <w:vAlign w:val="bottom"/>
          </w:tcPr>
          <w:p>
            <w:pPr>
              <w:spacing w:after="0"/>
              <w:rPr>
                <w:sz w:val="24"/>
                <w:szCs w:val="24"/>
                <w:color w:val="auto"/>
              </w:rPr>
            </w:pPr>
          </w:p>
        </w:tc>
        <w:tc>
          <w:tcPr>
            <w:tcW w:w="5080" w:type="dxa"/>
            <w:vAlign w:val="bottom"/>
            <w:gridSpan w:val="10"/>
          </w:tcPr>
          <w:p>
            <w:pPr>
              <w:ind w:left="40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0"/>
        </w:trPr>
        <w:tc>
          <w:tcPr>
            <w:tcW w:w="16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101.DEF*</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25"/>
        </w:trPr>
        <w:tc>
          <w:tcPr>
            <w:tcW w:w="18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101.LAB*</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8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101.PRE*</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80" w:type="dxa"/>
            <w:vAlign w:val="bottom"/>
          </w:tcPr>
          <w:p>
            <w:pPr>
              <w:spacing w:after="0"/>
              <w:rPr>
                <w:sz w:val="20"/>
                <w:szCs w:val="20"/>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Cover page Interactive Data File (formatted as Inline XBRL and contained in Exhibit 101)</w:t>
            </w:r>
          </w:p>
        </w:tc>
      </w:tr>
      <w:tr>
        <w:trPr>
          <w:trHeight w:val="228"/>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6540" w:type="dxa"/>
            <w:vAlign w:val="bottom"/>
          </w:tcPr>
          <w:p>
            <w:pPr>
              <w:spacing w:after="0"/>
              <w:rPr>
                <w:sz w:val="19"/>
                <w:szCs w:val="19"/>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Filed herewith.</w:t>
            </w:r>
          </w:p>
        </w:tc>
        <w:tc>
          <w:tcPr>
            <w:tcW w:w="6540" w:type="dxa"/>
            <w:vAlign w:val="bottom"/>
          </w:tcPr>
          <w:p>
            <w:pPr>
              <w:spacing w:after="0"/>
              <w:rPr>
                <w:sz w:val="14"/>
                <w:szCs w:val="14"/>
                <w:color w:val="auto"/>
              </w:rPr>
            </w:pPr>
          </w:p>
        </w:tc>
      </w:t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Furnished herewith.</w:t>
            </w:r>
          </w:p>
        </w:tc>
        <w:tc>
          <w:tcPr>
            <w:tcW w:w="6540" w:type="dxa"/>
            <w:vAlign w:val="bottom"/>
          </w:tcPr>
          <w:p>
            <w:pPr>
              <w:spacing w:after="0"/>
              <w:rPr>
                <w:sz w:val="15"/>
                <w:szCs w:val="15"/>
                <w:color w:val="auto"/>
              </w:rPr>
            </w:pPr>
          </w:p>
        </w:tc>
      </w:tr>
    </w:tbl>
    <w:p>
      <w:pPr>
        <w:spacing w:after="0" w:line="5" w:lineRule="exact"/>
        <w:rPr>
          <w:sz w:val="20"/>
          <w:szCs w:val="20"/>
          <w:color w:val="auto"/>
        </w:rPr>
      </w:pPr>
    </w:p>
    <w:p>
      <w:pPr>
        <w:ind w:left="240" w:hanging="234"/>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Indicates a management or compensatory plan.</w:t>
      </w:r>
    </w:p>
    <w:p>
      <w:pPr>
        <w:spacing w:after="0" w:line="4" w:lineRule="exact"/>
        <w:rPr>
          <w:sz w:val="20"/>
          <w:szCs w:val="20"/>
          <w:color w:val="auto"/>
        </w:rPr>
      </w:pPr>
    </w:p>
    <w:p>
      <w:pPr>
        <w:ind w:left="320" w:hanging="314"/>
        <w:spacing w:after="0" w:line="267"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4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2025</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BEDNAR</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Andrew Bednar</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27, 2025</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Alexandra Gottschalk</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indicated on February 27,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4"/>
        </w:trPr>
        <w:tc>
          <w:tcPr>
            <w:tcW w:w="5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41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BEDNAR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ALEXANDRA GOTTSCHALK</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Alexandra Gottschalk</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PETER A. WEINBERG</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Peter A. Weinberg</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JOSEPH R. PERELLA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Emeritus</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R. Perella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K. STEEL</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Vice 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K. Steel</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DIETRICH BECKER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ELIZABETH COGAN FASCITELLI</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Elizabeth Cogan Fascitelli</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KRISTIN W. MUGFORD</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Kristin W. Mugford</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JORMA OLLILA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Jorma Ollila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JANE C. SHERBURNE</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C. Sherburne</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843"/>
        </w:trPr>
        <w:tc>
          <w:tcPr>
            <w:tcW w:w="5460" w:type="dxa"/>
            <w:vAlign w:val="bottom"/>
          </w:tcPr>
          <w:p>
            <w:pPr>
              <w:spacing w:after="0"/>
              <w:rPr>
                <w:sz w:val="24"/>
                <w:szCs w:val="24"/>
                <w:color w:val="auto"/>
              </w:rPr>
            </w:pPr>
          </w:p>
        </w:tc>
        <w:tc>
          <w:tcPr>
            <w:tcW w:w="5780" w:type="dxa"/>
            <w:vAlign w:val="bottom"/>
            <w:gridSpan w:val="2"/>
          </w:tcPr>
          <w:p>
            <w:pPr>
              <w:jc w:val="right"/>
              <w:ind w:right="5273"/>
              <w:spacing w:after="0"/>
              <w:rPr>
                <w:sz w:val="20"/>
                <w:szCs w:val="20"/>
                <w:color w:val="auto"/>
              </w:rPr>
            </w:pPr>
            <w:r>
              <w:rPr>
                <w:rFonts w:ascii="Times New Roman" w:cs="Times New Roman" w:eastAsia="Times New Roman" w:hAnsi="Times New Roman"/>
                <w:sz w:val="18"/>
                <w:szCs w:val="18"/>
                <w:color w:val="auto"/>
              </w:rPr>
              <w:t>83</w:t>
            </w:r>
          </w:p>
        </w:tc>
      </w:tr>
    </w:tbl>
    <w:p>
      <w:pPr>
        <w:sectPr>
          <w:pgSz w:w="11900" w:h="16838" w:orient="portrait"/>
          <w:cols w:equalWidth="0" w:num="1">
            <w:col w:w="11240"/>
          </w:cols>
          <w:pgMar w:left="320" w:top="144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04" w:lineRule="auto"/>
        <w:rPr>
          <w:sz w:val="20"/>
          <w:szCs w:val="20"/>
          <w:color w:val="auto"/>
        </w:rPr>
      </w:pPr>
      <w:r>
        <w:rPr>
          <w:rFonts w:ascii="Times New Roman" w:cs="Times New Roman" w:eastAsia="Times New Roman" w:hAnsi="Times New Roman"/>
          <w:sz w:val="19"/>
          <w:szCs w:val="19"/>
          <w:b w:val="1"/>
          <w:bCs w:val="1"/>
          <w:color w:val="auto"/>
        </w:rPr>
        <w:t>DESCRIPTION OF REGISTRANT’S SECURITIES REGISTERED PURSUANT TO SECTION 12 OF THE SECURITIES EXCHANGE ACT OF 1934, AS AMENDED</w:t>
      </w:r>
    </w:p>
    <w:p>
      <w:pPr>
        <w:spacing w:after="0" w:line="151"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19"/>
          <w:szCs w:val="19"/>
          <w:i w:val="1"/>
          <w:iCs w:val="1"/>
          <w:color w:val="auto"/>
        </w:rPr>
        <w:t>The following description of the securities of Perella Weinberg Partners (the “</w:t>
      </w:r>
      <w:r>
        <w:rPr>
          <w:rFonts w:ascii="Times New Roman" w:cs="Times New Roman" w:eastAsia="Times New Roman" w:hAnsi="Times New Roman"/>
          <w:sz w:val="19"/>
          <w:szCs w:val="19"/>
          <w:i w:val="1"/>
          <w:iCs w:val="1"/>
          <w:u w:val="single" w:color="auto"/>
          <w:color w:val="auto"/>
        </w:rPr>
        <w:t>Company</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we</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us</w:t>
      </w:r>
      <w:r>
        <w:rPr>
          <w:rFonts w:ascii="Times New Roman" w:cs="Times New Roman" w:eastAsia="Times New Roman" w:hAnsi="Times New Roman"/>
          <w:sz w:val="19"/>
          <w:szCs w:val="19"/>
          <w:i w:val="1"/>
          <w:iCs w:val="1"/>
          <w:color w:val="auto"/>
        </w:rPr>
        <w:t>,” and “</w:t>
      </w:r>
      <w:r>
        <w:rPr>
          <w:rFonts w:ascii="Times New Roman" w:cs="Times New Roman" w:eastAsia="Times New Roman" w:hAnsi="Times New Roman"/>
          <w:sz w:val="19"/>
          <w:szCs w:val="19"/>
          <w:i w:val="1"/>
          <w:iCs w:val="1"/>
          <w:u w:val="single" w:color="auto"/>
          <w:color w:val="auto"/>
        </w:rPr>
        <w:t>our</w:t>
      </w:r>
      <w:r>
        <w:rPr>
          <w:rFonts w:ascii="Times New Roman" w:cs="Times New Roman" w:eastAsia="Times New Roman" w:hAnsi="Times New Roman"/>
          <w:sz w:val="19"/>
          <w:szCs w:val="19"/>
          <w:i w:val="1"/>
          <w:iCs w:val="1"/>
          <w:color w:val="auto"/>
        </w:rPr>
        <w:t>”) and certain provisions of our restated certificate of incorporation (the “</w:t>
      </w:r>
      <w:r>
        <w:rPr>
          <w:rFonts w:ascii="Times New Roman" w:cs="Times New Roman" w:eastAsia="Times New Roman" w:hAnsi="Times New Roman"/>
          <w:sz w:val="19"/>
          <w:szCs w:val="19"/>
          <w:i w:val="1"/>
          <w:iCs w:val="1"/>
          <w:u w:val="single" w:color="auto"/>
          <w:color w:val="auto"/>
        </w:rPr>
        <w:t>Restated Certificate of Incorporation</w:t>
      </w:r>
      <w:r>
        <w:rPr>
          <w:rFonts w:ascii="Times New Roman" w:cs="Times New Roman" w:eastAsia="Times New Roman" w:hAnsi="Times New Roman"/>
          <w:sz w:val="19"/>
          <w:szCs w:val="19"/>
          <w:i w:val="1"/>
          <w:iCs w:val="1"/>
          <w:color w:val="auto"/>
        </w:rPr>
        <w:t>”) and amended and restated bylaws (the “</w:t>
      </w:r>
      <w:r>
        <w:rPr>
          <w:rFonts w:ascii="Times New Roman" w:cs="Times New Roman" w:eastAsia="Times New Roman" w:hAnsi="Times New Roman"/>
          <w:sz w:val="19"/>
          <w:szCs w:val="19"/>
          <w:i w:val="1"/>
          <w:iCs w:val="1"/>
          <w:u w:val="single" w:color="auto"/>
          <w:color w:val="auto"/>
        </w:rPr>
        <w:t>Bylaws</w:t>
      </w:r>
      <w:r>
        <w:rPr>
          <w:rFonts w:ascii="Times New Roman" w:cs="Times New Roman" w:eastAsia="Times New Roman" w:hAnsi="Times New Roman"/>
          <w:sz w:val="19"/>
          <w:szCs w:val="19"/>
          <w:i w:val="1"/>
          <w:iCs w:val="1"/>
          <w:color w:val="auto"/>
        </w:rPr>
        <w:t>”) are summaries and are qualified in their entirety by reference to the full text of the Restated Certificate of Incorporation and Bylaws, copies of which have been filed with the Securities and Exchange Commission, and applicable provisions of the General Corporation Law of the State of Delaware (the “</w:t>
      </w:r>
      <w:r>
        <w:rPr>
          <w:rFonts w:ascii="Times New Roman" w:cs="Times New Roman" w:eastAsia="Times New Roman" w:hAnsi="Times New Roman"/>
          <w:sz w:val="19"/>
          <w:szCs w:val="19"/>
          <w:i w:val="1"/>
          <w:iCs w:val="1"/>
          <w:u w:val="single" w:color="auto"/>
          <w:color w:val="auto"/>
        </w:rPr>
        <w:t>DGCL</w:t>
      </w:r>
      <w:r>
        <w:rPr>
          <w:rFonts w:ascii="Times New Roman" w:cs="Times New Roman" w:eastAsia="Times New Roman" w:hAnsi="Times New Roman"/>
          <w:sz w:val="19"/>
          <w:szCs w:val="19"/>
          <w:i w:val="1"/>
          <w:iCs w:val="1"/>
          <w:color w:val="auto"/>
        </w:rPr>
        <w:t>”).</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9"/>
          <w:szCs w:val="19"/>
          <w:i w:val="1"/>
          <w:iCs w:val="1"/>
          <w:color w:val="auto"/>
        </w:rPr>
        <w:t>As of December 31, 2024, we had one class of securities registered under Section 12 of the Securities Exchange Act of 1934, as amended: Class A common stock, $0.0001 par value per share (“</w:t>
      </w:r>
      <w:r>
        <w:rPr>
          <w:rFonts w:ascii="Times New Roman" w:cs="Times New Roman" w:eastAsia="Times New Roman" w:hAnsi="Times New Roman"/>
          <w:sz w:val="19"/>
          <w:szCs w:val="19"/>
          <w:i w:val="1"/>
          <w:iCs w:val="1"/>
          <w:u w:val="single" w:color="auto"/>
          <w:color w:val="auto"/>
        </w:rPr>
        <w:t>Class A common stock</w:t>
      </w:r>
      <w:r>
        <w:rPr>
          <w:rFonts w:ascii="Times New Roman" w:cs="Times New Roman" w:eastAsia="Times New Roman" w:hAnsi="Times New Roman"/>
          <w:sz w:val="19"/>
          <w:szCs w:val="19"/>
          <w:i w:val="1"/>
          <w:iCs w:val="1"/>
          <w:color w:val="auto"/>
        </w:rPr>
        <w:t>”). All shares of our Class A common stock outstanding are fully paid and non-assessable.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and Outstanding Stock</w:t>
      </w:r>
    </w:p>
    <w:p>
      <w:pPr>
        <w:spacing w:after="0" w:line="2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Our authorized capital stock consists of 2,200,000,000 shares, consisting of (a) 2,100,000,000 shares of common stock including (i) 1,500,000,000 shares of Class A common stock, (ii) 300,000,000 shares of Class B-1 common stock, par value $0.0001 per share (the “</w:t>
      </w:r>
      <w:r>
        <w:rPr>
          <w:rFonts w:ascii="Times New Roman" w:cs="Times New Roman" w:eastAsia="Times New Roman" w:hAnsi="Times New Roman"/>
          <w:sz w:val="19"/>
          <w:szCs w:val="19"/>
          <w:u w:val="single" w:color="auto"/>
          <w:color w:val="auto"/>
        </w:rPr>
        <w:t>Class B-1 common stock</w:t>
      </w:r>
      <w:r>
        <w:rPr>
          <w:rFonts w:ascii="Times New Roman" w:cs="Times New Roman" w:eastAsia="Times New Roman" w:hAnsi="Times New Roman"/>
          <w:sz w:val="19"/>
          <w:szCs w:val="19"/>
          <w:color w:val="auto"/>
        </w:rPr>
        <w:t>”), and (iii) 300,000,000 shares of Class B-2 common stock, par value $0.0001 per share (the “</w:t>
      </w:r>
      <w:r>
        <w:rPr>
          <w:rFonts w:ascii="Times New Roman" w:cs="Times New Roman" w:eastAsia="Times New Roman" w:hAnsi="Times New Roman"/>
          <w:sz w:val="19"/>
          <w:szCs w:val="19"/>
          <w:u w:val="single" w:color="auto"/>
          <w:color w:val="auto"/>
        </w:rPr>
        <w:t>Class B-2 common stock</w:t>
      </w:r>
      <w:r>
        <w:rPr>
          <w:rFonts w:ascii="Times New Roman" w:cs="Times New Roman" w:eastAsia="Times New Roman" w:hAnsi="Times New Roman"/>
          <w:sz w:val="19"/>
          <w:szCs w:val="19"/>
          <w:color w:val="auto"/>
        </w:rPr>
        <w:t>” and together with the Class B-1 common stock, the “</w:t>
      </w: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and (b) 100,000,000 shares of preferred stock, par value $0.0001 per share. Unless our board of directors determines otherwise, we will issue all shares of our capital stock in uncertificated form.</w:t>
      </w:r>
    </w:p>
    <w:p>
      <w:pPr>
        <w:spacing w:after="0" w:line="1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As of February 24, 2025, our issued and outstanding share capital consisted of: (i) 59,532,352 shares of Class A common stock, (ii) 27,260,600 shares of Class B-1 common stock, (iii) no shares of Class B-2 common stock, and (iv) no shares of preferred stock. Such numbers do not include DTC participants or beneficial owners holding shares through nominee names.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3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9"/>
          <w:szCs w:val="19"/>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ectPr>
          <w:pgSz w:w="11900" w:h="16838" w:orient="portrait"/>
          <w:cols w:equalWidth="0" w:num="1">
            <w:col w:w="11240"/>
          </w:cols>
          <w:pgMar w:left="320" w:top="105" w:right="339" w:bottom="1440" w:gutter="0" w:footer="0" w:header="0"/>
        </w:sectPr>
      </w:pPr>
    </w:p>
    <w:bookmarkStart w:id="87" w:name="page88"/>
    <w:bookmarkEnd w:id="87"/>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9"/>
          <w:szCs w:val="19"/>
          <w:color w:val="auto"/>
        </w:rPr>
        <w:t>Upon the terms and subject to the conditions of the Amended and Restated Agreement of Limited Partnership of PWP Holdings LP (“</w:t>
      </w:r>
      <w:r>
        <w:rPr>
          <w:rFonts w:ascii="Times New Roman" w:cs="Times New Roman" w:eastAsia="Times New Roman" w:hAnsi="Times New Roman"/>
          <w:sz w:val="19"/>
          <w:szCs w:val="19"/>
          <w:u w:val="single" w:color="auto"/>
          <w:color w:val="auto"/>
        </w:rPr>
        <w:t>PWP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OpCo</w:t>
      </w:r>
      <w:r>
        <w:rPr>
          <w:rFonts w:ascii="Times New Roman" w:cs="Times New Roman" w:eastAsia="Times New Roman" w:hAnsi="Times New Roman"/>
          <w:sz w:val="19"/>
          <w:szCs w:val="19"/>
          <w:color w:val="auto"/>
        </w:rPr>
        <w:t>”),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Pursuant to the Sponsor Share Surrender and Share Restriction Agreement, dated as of December 29, 2020, among the Company, PWP OpCo, FinTech Investor Holdings IV, LLC, FinTech Masala Advisors, LLC (together with FinTech Investor Holdings IV, LLC, the “</w:t>
      </w:r>
      <w:r>
        <w:rPr>
          <w:rFonts w:ascii="Times New Roman" w:cs="Times New Roman" w:eastAsia="Times New Roman" w:hAnsi="Times New Roman"/>
          <w:sz w:val="19"/>
          <w:szCs w:val="19"/>
          <w:u w:val="single" w:color="auto"/>
          <w:color w:val="auto"/>
        </w:rPr>
        <w:t>Sponsor</w:t>
      </w:r>
      <w:r>
        <w:rPr>
          <w:rFonts w:ascii="Times New Roman" w:cs="Times New Roman" w:eastAsia="Times New Roman" w:hAnsi="Times New Roman"/>
          <w:sz w:val="19"/>
          <w:szCs w:val="19"/>
          <w:color w:val="auto"/>
        </w:rPr>
        <w:t>”) and the other parties thereto (as amended on May 4, 2021, the “</w:t>
      </w:r>
      <w:r>
        <w:rPr>
          <w:rFonts w:ascii="Times New Roman" w:cs="Times New Roman" w:eastAsia="Times New Roman" w:hAnsi="Times New Roman"/>
          <w:sz w:val="19"/>
          <w:szCs w:val="19"/>
          <w:u w:val="single" w:color="auto"/>
          <w:color w:val="auto"/>
        </w:rPr>
        <w:t>Sponsor Share Surrender and Share Restriction Agreement</w:t>
      </w:r>
      <w:r>
        <w:rPr>
          <w:rFonts w:ascii="Times New Roman" w:cs="Times New Roman" w:eastAsia="Times New Roman" w:hAnsi="Times New Roman"/>
          <w:sz w:val="19"/>
          <w:szCs w:val="19"/>
          <w:color w:val="auto"/>
        </w:rPr>
        <w:t>”), the founder shares (as defined below) owned by the Sponsor as of the Closing and certain shares of Class A common stock purchased by the Sponsor as part of private placement units in connection with FinTech Acquisition Corp. IV’s (“</w:t>
      </w:r>
      <w:r>
        <w:rPr>
          <w:rFonts w:ascii="Times New Roman" w:cs="Times New Roman" w:eastAsia="Times New Roman" w:hAnsi="Times New Roman"/>
          <w:sz w:val="19"/>
          <w:szCs w:val="19"/>
          <w:u w:val="single" w:color="auto"/>
          <w:color w:val="auto"/>
        </w:rPr>
        <w:t>FTIV</w:t>
      </w:r>
      <w:r>
        <w:rPr>
          <w:rFonts w:ascii="Times New Roman" w:cs="Times New Roman" w:eastAsia="Times New Roman" w:hAnsi="Times New Roman"/>
          <w:sz w:val="19"/>
          <w:szCs w:val="19"/>
          <w:color w:val="auto"/>
        </w:rPr>
        <w:t>”) initial public offering were subject to transfer restrictions for six months following the Closing, or until December 24, 2021, and certain of the founder shares owned by the Sponsor as of the Closing continue to be subject to transfer restrictions that lapse in tranches based on share price targets or the 10-year anniversary of the Closing, whichever occurs first.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24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Following the filing of our second amended and restated certificate of incorporation with the Secretary of State of the State of Delaware in connection with the closing of the business combination with FTIV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each share of Pre-Business Combination Class B common stock (as defined below) owned by the Sponsor prior to the Closing (each, a “</w:t>
      </w:r>
      <w:r>
        <w:rPr>
          <w:rFonts w:ascii="Times New Roman" w:cs="Times New Roman" w:eastAsia="Times New Roman" w:hAnsi="Times New Roman"/>
          <w:sz w:val="19"/>
          <w:szCs w:val="19"/>
          <w:u w:val="single" w:color="auto"/>
          <w:color w:val="auto"/>
        </w:rPr>
        <w:t>founder share</w:t>
      </w:r>
      <w:r>
        <w:rPr>
          <w:rFonts w:ascii="Times New Roman" w:cs="Times New Roman" w:eastAsia="Times New Roman" w:hAnsi="Times New Roman"/>
          <w:sz w:val="19"/>
          <w:szCs w:val="19"/>
          <w:color w:val="auto"/>
        </w:rPr>
        <w:t>”)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Times New Roman" w:cs="Times New Roman" w:eastAsia="Times New Roman" w:hAnsi="Times New Roman"/>
          <w:sz w:val="19"/>
          <w:szCs w:val="19"/>
          <w:u w:val="single" w:color="auto"/>
          <w:color w:val="auto"/>
        </w:rPr>
        <w:t>Pre-Business Combination Class B 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into one share of Class A common stock and the number of authorized shares of Pre-Business Combination Class B common stock was reduced to zero.</w:t>
      </w:r>
    </w:p>
    <w:p>
      <w:pPr>
        <w:sectPr>
          <w:pgSz w:w="11900" w:h="16838" w:orient="portrait"/>
          <w:cols w:equalWidth="0" w:num="1">
            <w:col w:w="11240"/>
          </w:cols>
          <w:pgMar w:left="320" w:top="1389" w:right="339" w:bottom="1440" w:gutter="0" w:footer="0" w:header="0"/>
        </w:sectPr>
      </w:pPr>
    </w:p>
    <w:bookmarkStart w:id="88" w:name="page89"/>
    <w:bookmarkEnd w:id="88"/>
    <w:p>
      <w:pPr>
        <w:jc w:val="both"/>
        <w:ind w:firstLine="318"/>
        <w:spacing w:after="0" w:line="241" w:lineRule="auto"/>
        <w:rPr>
          <w:sz w:val="20"/>
          <w:szCs w:val="20"/>
          <w:color w:val="auto"/>
        </w:rPr>
      </w:pPr>
      <w:r>
        <w:rPr>
          <w:rFonts w:ascii="Times New Roman" w:cs="Times New Roman" w:eastAsia="Times New Roman" w:hAnsi="Times New Roman"/>
          <w:sz w:val="19"/>
          <w:szCs w:val="19"/>
          <w:color w:val="auto"/>
        </w:rPr>
        <w:t>For so long as PWP Professional Partners LP (together with its successors and assigns, as applicable, “</w:t>
      </w:r>
      <w:r>
        <w:rPr>
          <w:rFonts w:ascii="Times New Roman" w:cs="Times New Roman" w:eastAsia="Times New Roman" w:hAnsi="Times New Roman"/>
          <w:sz w:val="19"/>
          <w:szCs w:val="19"/>
          <w:u w:val="single" w:color="auto"/>
          <w:color w:val="auto"/>
        </w:rPr>
        <w:t>Professional Partners</w:t>
      </w:r>
      <w:r>
        <w:rPr>
          <w:rFonts w:ascii="Times New Roman" w:cs="Times New Roman" w:eastAsia="Times New Roman" w:hAnsi="Times New Roman"/>
          <w:sz w:val="19"/>
          <w:szCs w:val="19"/>
          <w:color w:val="auto"/>
        </w:rPr>
        <w:t>”)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Class B Condition</w:t>
      </w:r>
      <w:r>
        <w:rPr>
          <w:rFonts w:ascii="Times New Roman" w:cs="Times New Roman" w:eastAsia="Times New Roman" w:hAnsi="Times New Roman"/>
          <w:sz w:val="19"/>
          <w:szCs w:val="19"/>
          <w:color w:val="auto"/>
        </w:rPr>
        <w:t>”),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13"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Holders of our Class B common stock do not have preemptive or subscription rights.</w:t>
      </w:r>
    </w:p>
    <w:p>
      <w:pPr>
        <w:spacing w:after="0" w:line="2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ectPr>
          <w:pgSz w:w="11900" w:h="16838" w:orient="portrait"/>
          <w:cols w:equalWidth="0" w:num="1">
            <w:col w:w="11240"/>
          </w:cols>
          <w:pgMar w:left="320" w:top="1389" w:right="339" w:bottom="1440" w:gutter="0" w:footer="0" w:header="0"/>
        </w:sectPr>
      </w:pPr>
    </w:p>
    <w:bookmarkStart w:id="89" w:name="page90"/>
    <w:bookmarkEnd w:id="89"/>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3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203"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voting powers, full or limited, or no voting powers of such class or series;</w:t>
      </w:r>
    </w:p>
    <w:p>
      <w:pPr>
        <w:spacing w:after="0" w:line="14" w:lineRule="exact"/>
        <w:rPr>
          <w:rFonts w:ascii="Arial" w:cs="Arial" w:eastAsia="Arial" w:hAnsi="Arial"/>
          <w:sz w:val="19"/>
          <w:szCs w:val="19"/>
          <w:color w:val="auto"/>
        </w:rPr>
      </w:pPr>
    </w:p>
    <w:p>
      <w:pPr>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designations, preferences and relative, participating, optional or other special rights and such qualifications, limitations or restrictions thereof, of such class or series;</w:t>
      </w:r>
    </w:p>
    <w:p>
      <w:pPr>
        <w:spacing w:after="0" w:line="1" w:lineRule="exact"/>
        <w:rPr>
          <w:rFonts w:ascii="Arial" w:cs="Arial" w:eastAsia="Arial" w:hAnsi="Arial"/>
          <w:sz w:val="19"/>
          <w:szCs w:val="19"/>
          <w:color w:val="auto"/>
        </w:rPr>
      </w:pPr>
    </w:p>
    <w:p>
      <w:pPr>
        <w:ind w:left="640" w:hanging="316"/>
        <w:spacing w:after="0" w:line="231" w:lineRule="auto"/>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redemption rights and price or prices, if any, for shares of such class or series;</w:t>
      </w:r>
    </w:p>
    <w:p>
      <w:pPr>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whether dividends, if any, will be cumulative or non-cumulative and the related dividend rates, conditions and times for payment and preferences of such class or series;</w:t>
      </w:r>
    </w:p>
    <w:p>
      <w:pPr>
        <w:spacing w:after="0" w:line="1" w:lineRule="exact"/>
        <w:rPr>
          <w:rFonts w:ascii="Arial" w:cs="Arial" w:eastAsia="Arial" w:hAnsi="Arial"/>
          <w:sz w:val="19"/>
          <w:szCs w:val="19"/>
          <w:color w:val="auto"/>
        </w:rPr>
      </w:pPr>
    </w:p>
    <w:p>
      <w:pPr>
        <w:ind w:left="640" w:hanging="316"/>
        <w:spacing w:after="0"/>
        <w:tabs>
          <w:tab w:leader="none" w:pos="64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the rights of such class or series upon our dissolution or upon any distribution of our assets; and</w:t>
      </w:r>
    </w:p>
    <w:p>
      <w:pPr>
        <w:spacing w:after="0" w:line="5" w:lineRule="exact"/>
        <w:rPr>
          <w:rFonts w:ascii="Arial" w:cs="Arial" w:eastAsia="Arial" w:hAnsi="Arial"/>
          <w:sz w:val="19"/>
          <w:szCs w:val="19"/>
          <w:color w:val="auto"/>
        </w:rPr>
      </w:pPr>
    </w:p>
    <w:p>
      <w:pPr>
        <w:jc w:val="both"/>
        <w:ind w:left="640" w:hanging="316"/>
        <w:spacing w:after="0" w:line="239" w:lineRule="auto"/>
        <w:tabs>
          <w:tab w:leader="none" w:pos="62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but Unissued Capital Stock</w:t>
      </w:r>
    </w:p>
    <w:p>
      <w:pPr>
        <w:spacing w:after="0" w:line="249"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20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9"/>
          <w:szCs w:val="19"/>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ectPr>
          <w:pgSz w:w="11900" w:h="16838" w:orient="portrait"/>
          <w:cols w:equalWidth="0" w:num="1">
            <w:col w:w="11240"/>
          </w:cols>
          <w:pgMar w:left="320" w:top="138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color w:val="auto"/>
        </w:rPr>
        <w:t>Corporate Opportunities</w:t>
      </w:r>
    </w:p>
    <w:p>
      <w:pPr>
        <w:spacing w:after="0" w:line="23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9"/>
          <w:szCs w:val="19"/>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Forum Selection Clause</w:t>
      </w:r>
    </w:p>
    <w:p>
      <w:pPr>
        <w:spacing w:after="0" w:line="249"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9"/>
          <w:szCs w:val="19"/>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ectPr>
          <w:pgSz w:w="11900" w:h="16838" w:orient="portrait"/>
          <w:cols w:equalWidth="0" w:num="1">
            <w:col w:w="11240"/>
          </w:cols>
          <w:pgMar w:left="320" w:top="138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auto"/>
        </w:rPr>
        <w:t>Anti-Takeover Effects of Provisions of Delaware Law, Our Restated Certificate of Incorporation and the Stockholders Agreement</w:t>
      </w:r>
    </w:p>
    <w:p>
      <w:pPr>
        <w:spacing w:after="0" w:line="2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9"/>
          <w:szCs w:val="19"/>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0" w:lineRule="exact"/>
        <w:rPr>
          <w:sz w:val="20"/>
          <w:szCs w:val="20"/>
          <w:color w:val="auto"/>
        </w:rPr>
      </w:pPr>
    </w:p>
    <w:p>
      <w:pPr>
        <w:spacing w:after="0" w:line="2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Our Restated Certificate of Incorporation provides that our board of directors will be divided into three classes that will be, as nearly as may be possible, of equal size. The initial terms of the Class I, Class II and Class III directors will initially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92"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95"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ectPr>
          <w:pgSz w:w="11900" w:h="16838" w:orient="portrait"/>
          <w:cols w:equalWidth="0" w:num="1">
            <w:col w:w="11240"/>
          </w:cols>
          <w:pgMar w:left="320" w:top="1385" w:right="339" w:bottom="1440" w:gutter="0" w:footer="0" w:header="0"/>
        </w:sectPr>
      </w:pPr>
    </w:p>
    <w:bookmarkStart w:id="92" w:name="page93"/>
    <w:bookmarkEnd w:id="92"/>
    <w:p>
      <w:pPr>
        <w:jc w:val="both"/>
        <w:ind w:firstLine="318"/>
        <w:spacing w:after="0" w:line="242" w:lineRule="auto"/>
        <w:rPr>
          <w:sz w:val="20"/>
          <w:szCs w:val="20"/>
          <w:color w:val="auto"/>
        </w:rPr>
      </w:pPr>
      <w:r>
        <w:rPr>
          <w:rFonts w:ascii="Times New Roman" w:cs="Times New Roman" w:eastAsia="Times New Roman" w:hAnsi="Times New Roman"/>
          <w:sz w:val="19"/>
          <w:szCs w:val="19"/>
          <w:color w:val="auto"/>
        </w:rPr>
        <w:t>In addition, in connection with the Closing, we entered into a stockholders agreement with Professional Partners (the “</w:t>
      </w:r>
      <w:r>
        <w:rPr>
          <w:rFonts w:ascii="Times New Roman" w:cs="Times New Roman" w:eastAsia="Times New Roman" w:hAnsi="Times New Roman"/>
          <w:sz w:val="19"/>
          <w:szCs w:val="19"/>
          <w:u w:val="single" w:color="auto"/>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Secondary Class B Condition</w:t>
      </w:r>
      <w:r>
        <w:rPr>
          <w:rFonts w:ascii="Times New Roman" w:cs="Times New Roman" w:eastAsia="Times New Roman" w:hAnsi="Times New Roman"/>
          <w:sz w:val="19"/>
          <w:szCs w:val="19"/>
          <w:color w:val="auto"/>
        </w:rPr>
        <w:t>”),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213"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9"/>
          <w:szCs w:val="19"/>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9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9"/>
          <w:szCs w:val="19"/>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of Directors and Officers</w:t>
      </w:r>
    </w:p>
    <w:p>
      <w:pPr>
        <w:spacing w:after="0" w:line="2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9"/>
          <w:szCs w:val="19"/>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ectPr>
          <w:pgSz w:w="11900" w:h="16838" w:orient="portrait"/>
          <w:cols w:equalWidth="0" w:num="1">
            <w:col w:w="11240"/>
          </w:cols>
          <w:pgMar w:left="320" w:top="1389" w:right="339" w:bottom="1440" w:gutter="0" w:footer="0" w:header="0"/>
        </w:sectPr>
      </w:pPr>
    </w:p>
    <w:bookmarkStart w:id="93" w:name="page94"/>
    <w:bookmarkEnd w:id="93"/>
    <w:p>
      <w:pPr>
        <w:jc w:val="both"/>
        <w:ind w:firstLine="318"/>
        <w:spacing w:after="0" w:line="259" w:lineRule="auto"/>
        <w:rPr>
          <w:sz w:val="20"/>
          <w:szCs w:val="20"/>
          <w:color w:val="auto"/>
        </w:rPr>
      </w:pPr>
      <w:r>
        <w:rPr>
          <w:rFonts w:ascii="Times New Roman" w:cs="Times New Roman" w:eastAsia="Times New Roman" w:hAnsi="Times New Roman"/>
          <w:sz w:val="19"/>
          <w:szCs w:val="19"/>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transfer agent for our Class A Common Stock is American Stock Transfer &amp; Trust Company, LLC.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Our Class A common stock is traded on The Nasdaq Global Select Market under the symbol “PWP.”</w:t>
      </w:r>
    </w:p>
    <w:p>
      <w:pPr>
        <w:sectPr>
          <w:pgSz w:w="11900" w:h="16838" w:orient="portrait"/>
          <w:cols w:equalWidth="0" w:num="1">
            <w:col w:w="11240"/>
          </w:cols>
          <w:pgMar w:left="320" w:top="138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THIRD AMENDED AND RESTATED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 OF LIMITED PARTNERSHIP</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PWP HOLDINGS LP</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214630</wp:posOffset>
            </wp:positionV>
            <wp:extent cx="1231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color w:val="auto"/>
        </w:rPr>
        <w:t>THE SECURITIES EVIDENCED HEREBY HAVE NOT BEEN REGISTERED UNDER THE SECURITIES ACT OF 1933, AS AMENDED (THE “SECURITIES ACT”),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 (II) THE TERMS AND CONDITIONS OF THIS THIRD AMENDED AND RESTATED AGREEMENT OF LIMITED PARTNERSHIP IN THE ABSENCE OF SUCH REGISTRATION, UNLESS THE TRANSFEROR DELIVERS TO THE PARTNERSHIP AN OPINION OF COUNSEL SATISFACTORY TO THE PARTNERSHIP, TO THE EFFECT THAT THE PROPOSED SALE, TRANSFER OR OTHER DISPOSITION MAY BE EFFECTED WITHOUT REGISTRATION UNDER THE SECURITIES ACT AND UNDER APPLICABLE STATE SECURITIES OR “BLUE SKY” LAWS.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February 5, 2025</w:t>
      </w:r>
    </w:p>
    <w:p>
      <w:pPr>
        <w:sectPr>
          <w:pgSz w:w="11900" w:h="16838" w:orient="portrait"/>
          <w:cols w:equalWidth="0" w:num="1">
            <w:col w:w="11240"/>
          </w:cols>
          <w:pgMar w:left="320" w:top="11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7"/>
        </w:trPr>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40" w:type="dxa"/>
            <w:vAlign w:val="bottom"/>
            <w:gridSpan w:val="10"/>
          </w:tcPr>
          <w:p>
            <w:pPr>
              <w:ind w:left="4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400" w:type="dxa"/>
            <w:vAlign w:val="bottom"/>
          </w:tcPr>
          <w:p>
            <w:pPr>
              <w:spacing w:after="0"/>
              <w:rPr>
                <w:sz w:val="22"/>
                <w:szCs w:val="22"/>
                <w:color w:val="auto"/>
              </w:rPr>
            </w:pPr>
          </w:p>
        </w:tc>
      </w:tr>
      <w:tr>
        <w:trPr>
          <w:trHeight w:val="472"/>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85"/>
        </w:trPr>
        <w:tc>
          <w:tcPr>
            <w:tcW w:w="4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28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7"/>
              </w:rPr>
              <w:t>ARTICLE II GENERAL PROVISIONS</w:t>
            </w:r>
          </w:p>
        </w:tc>
        <w:tc>
          <w:tcPr>
            <w:tcW w:w="7860" w:type="dxa"/>
            <w:vAlign w:val="bottom"/>
            <w:gridSpan w:val="25"/>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2.3</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Principal Place of Business; Other Places of 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2.4</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Designated Agent for Service of Process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2.5</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Term</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2.6</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No Concerted Action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2.7</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Statutory Compliance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2.8</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Business Purpose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2.9</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Powers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2.10</w:t>
            </w:r>
          </w:p>
        </w:tc>
        <w:tc>
          <w:tcPr>
            <w:tcW w:w="780" w:type="dxa"/>
            <w:vAlign w:val="bottom"/>
          </w:tcPr>
          <w:p>
            <w:pPr>
              <w:spacing w:after="0"/>
              <w:rPr>
                <w:sz w:val="23"/>
                <w:szCs w:val="23"/>
                <w:color w:val="auto"/>
              </w:rPr>
            </w:pP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Certificates; Filings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2.11</w:t>
            </w:r>
          </w:p>
        </w:tc>
        <w:tc>
          <w:tcPr>
            <w:tcW w:w="780" w:type="dxa"/>
            <w:vAlign w:val="bottom"/>
          </w:tcPr>
          <w:p>
            <w:pPr>
              <w:spacing w:after="0"/>
              <w:rPr>
                <w:sz w:val="23"/>
                <w:szCs w:val="23"/>
                <w:color w:val="auto"/>
              </w:rPr>
            </w:pP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Representations and Warranties by the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107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ARTICLE III CAPITAL CONTRIBUTIONS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2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Capital Contributions of the Partners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Issuances of Additional Partnership Interests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3.3</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Additional Funds and Capital Contributions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3"/>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3.4</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Equity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3.5</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Stock Incentive Plan or Other Plan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3.6</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No Interest; No Return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3.7</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VoteCo Common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3.8</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Conversion or Redemption of Preferred Shares and Common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3.9</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Other Contribution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107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ARTICLE IV DISTRIBUTIONS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Requirement and Characterization of Distributions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Tax Distributions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4.3</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Distributions in Kind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4.4</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Amounts Withheld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4.5</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Distributions upon Liquidation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4.6</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Revisions to Reflect Additional Partnership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gridSpan w:val="5"/>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4.7</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Restricted Distributions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4.8</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Calculation of Distributions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107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ARTICLE V ALLOCATIONS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2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Timing and Amount of Allocations of Net Income and Net Loss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80" w:type="dxa"/>
            <w:vAlign w:val="bottom"/>
            <w:tcBorders>
              <w:left w:val="single" w:sz="8" w:color="auto"/>
            </w:tcBorders>
            <w:gridSpan w:val="8"/>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General Allocations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5.3</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Additional Allocation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auto"/>
            </w:tcBorders>
            <w:gridSpan w:val="8"/>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5.4</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Tax Allocations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5.5</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Certain Accounting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40" w:type="dxa"/>
            <w:vAlign w:val="bottom"/>
            <w:tcBorders>
              <w:left w:val="single" w:sz="8" w:color="auto"/>
            </w:tcBorders>
            <w:gridSpan w:val="9"/>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107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ARTICLE VI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2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520" w:type="dxa"/>
            <w:vAlign w:val="bottom"/>
            <w:gridSpan w:val="13"/>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6.1</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520" w:type="dxa"/>
            <w:vAlign w:val="bottom"/>
            <w:gridSpan w:val="13"/>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6.2</w:t>
            </w:r>
          </w:p>
        </w:tc>
        <w:tc>
          <w:tcPr>
            <w:tcW w:w="8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385" w:right="399" w:bottom="5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120"/>
          </w:cols>
          <w:pgMar w:left="380" w:top="1385" w:right="399" w:bottom="568" w:gutter="0" w:footer="0" w:header="0"/>
          <w:type w:val="continuous"/>
        </w:sectPr>
      </w:pPr>
    </w:p>
    <w:bookmarkStart w:id="96" w:name="page97"/>
    <w:bookmarkEnd w:id="96"/>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6.3</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Outside Activities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6.4</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6.5</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Liability of the General Partner and the Special Limited Partner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6.6</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Indemnification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97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ARTICLE VII RIGHTS AND OBLIGATIONS OF LIMITED PARTNERS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1"/>
        </w:trPr>
        <w:tc>
          <w:tcPr>
            <w:tcW w:w="42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Section 7.1</w:t>
            </w:r>
          </w:p>
        </w:tc>
        <w:tc>
          <w:tcPr>
            <w:tcW w:w="3260" w:type="dxa"/>
            <w:vAlign w:val="bottom"/>
            <w:tcBorders>
              <w:top w:val="single" w:sz="8" w:color="auto"/>
            </w:tcBorders>
            <w:gridSpan w:val="29"/>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4420" w:type="dxa"/>
            <w:vAlign w:val="bottom"/>
            <w:gridSpan w:val="6"/>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7.2</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Rights of Limited Partners Relating to the Partnership</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7.3</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Partnership Right to Call Partnership Interests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7.4</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Drag-Along Rights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7.5</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Limitation of Liability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7.6</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Management of Business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7.7</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Outside Activities of Limited Partners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7.8</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Certificates Evidencing Partnership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7.9</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Vesting of Partnership Class A-2 Common Units and Partnership Class A-3 Common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7.10</w:t>
            </w:r>
          </w:p>
        </w:tc>
        <w:tc>
          <w:tcPr>
            <w:tcW w:w="740" w:type="dxa"/>
            <w:vAlign w:val="bottom"/>
          </w:tcPr>
          <w:p>
            <w:pPr>
              <w:spacing w:after="0"/>
              <w:rPr>
                <w:sz w:val="23"/>
                <w:szCs w:val="23"/>
                <w:color w:val="auto"/>
              </w:rPr>
            </w:pPr>
          </w:p>
        </w:tc>
        <w:tc>
          <w:tcPr>
            <w:tcW w:w="312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color w:val="auto"/>
                <w:w w:val="96"/>
              </w:rPr>
              <w:t>Termination of AdCo Professionals Partners</w:t>
            </w:r>
          </w:p>
        </w:tc>
        <w:tc>
          <w:tcPr>
            <w:tcW w:w="4560" w:type="dxa"/>
            <w:vAlign w:val="bottom"/>
            <w:gridSpan w:val="8"/>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2"/>
        </w:trPr>
        <w:tc>
          <w:tcPr>
            <w:tcW w:w="30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7"/>
              </w:rPr>
              <w:t>ARTICLE VIII BOOKS AND RECORDS</w:t>
            </w:r>
          </w:p>
        </w:tc>
        <w:tc>
          <w:tcPr>
            <w:tcW w:w="6700" w:type="dxa"/>
            <w:vAlign w:val="bottom"/>
            <w:gridSpan w:val="28"/>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8.2</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Inspection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5"/>
              </w:rPr>
              <w:t>ARTICLE IX TAX MATTERS</w:t>
            </w:r>
          </w:p>
        </w:tc>
        <w:tc>
          <w:tcPr>
            <w:tcW w:w="7500" w:type="dxa"/>
            <w:vAlign w:val="bottom"/>
            <w:gridSpan w:val="34"/>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9.2</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Tax Elections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9.3</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Partnership Representative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9.4</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Withholding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9.5</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Organizational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9.6</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PTET Election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97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ARTICLE X PARTNER TRANSFERS AND WITHDRAWALS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1"/>
        </w:trPr>
        <w:tc>
          <w:tcPr>
            <w:tcW w:w="4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10.1</w:t>
            </w:r>
          </w:p>
        </w:tc>
        <w:tc>
          <w:tcPr>
            <w:tcW w:w="740" w:type="dxa"/>
            <w:vAlign w:val="bottom"/>
            <w:tcBorders>
              <w:top w:val="single" w:sz="8" w:color="auto"/>
            </w:tcBorders>
          </w:tcPr>
          <w:p>
            <w:pPr>
              <w:spacing w:after="0"/>
              <w:rPr>
                <w:sz w:val="23"/>
                <w:szCs w:val="23"/>
                <w:color w:val="auto"/>
              </w:rPr>
            </w:pPr>
          </w:p>
        </w:tc>
        <w:tc>
          <w:tcPr>
            <w:tcW w:w="250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Transfer</w:t>
            </w:r>
          </w:p>
        </w:tc>
        <w:tc>
          <w:tcPr>
            <w:tcW w:w="5180" w:type="dxa"/>
            <w:vAlign w:val="bottom"/>
            <w:gridSpan w:val="14"/>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10.2</w:t>
            </w:r>
          </w:p>
        </w:tc>
        <w:tc>
          <w:tcPr>
            <w:tcW w:w="740" w:type="dxa"/>
            <w:vAlign w:val="bottom"/>
          </w:tcPr>
          <w:p>
            <w:pPr>
              <w:spacing w:after="0"/>
              <w:rPr>
                <w:sz w:val="23"/>
                <w:szCs w:val="23"/>
                <w:color w:val="auto"/>
              </w:rPr>
            </w:pPr>
          </w:p>
        </w:tc>
        <w:tc>
          <w:tcPr>
            <w:tcW w:w="348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w w:val="97"/>
              </w:rPr>
              <w:t>Transfer of General Partner’s Partnership Interest</w:t>
            </w:r>
          </w:p>
        </w:tc>
        <w:tc>
          <w:tcPr>
            <w:tcW w:w="4200" w:type="dxa"/>
            <w:vAlign w:val="bottom"/>
            <w:gridSpan w:val="5"/>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2"/>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10.3</w:t>
            </w:r>
          </w:p>
        </w:tc>
        <w:tc>
          <w:tcPr>
            <w:tcW w:w="740" w:type="dxa"/>
            <w:vAlign w:val="bottom"/>
          </w:tcPr>
          <w:p>
            <w:pPr>
              <w:spacing w:after="0"/>
              <w:rPr>
                <w:sz w:val="23"/>
                <w:szCs w:val="23"/>
                <w:color w:val="auto"/>
              </w:rPr>
            </w:pPr>
          </w:p>
        </w:tc>
        <w:tc>
          <w:tcPr>
            <w:tcW w:w="256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6"/>
              </w:rPr>
              <w:t>Limited Partners’ Rights to Transfer</w:t>
            </w:r>
          </w:p>
        </w:tc>
        <w:tc>
          <w:tcPr>
            <w:tcW w:w="5120" w:type="dxa"/>
            <w:vAlign w:val="bottom"/>
            <w:gridSpan w:val="13"/>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1"/>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10.4</w:t>
            </w:r>
          </w:p>
        </w:tc>
        <w:tc>
          <w:tcPr>
            <w:tcW w:w="740" w:type="dxa"/>
            <w:vAlign w:val="bottom"/>
          </w:tcPr>
          <w:p>
            <w:pPr>
              <w:spacing w:after="0"/>
              <w:rPr>
                <w:sz w:val="23"/>
                <w:szCs w:val="23"/>
                <w:color w:val="auto"/>
              </w:rPr>
            </w:pPr>
          </w:p>
        </w:tc>
        <w:tc>
          <w:tcPr>
            <w:tcW w:w="20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7"/>
              </w:rPr>
              <w:t>Substituted Limited Partners</w:t>
            </w:r>
          </w:p>
        </w:tc>
        <w:tc>
          <w:tcPr>
            <w:tcW w:w="5660" w:type="dxa"/>
            <w:vAlign w:val="bottom"/>
            <w:gridSpan w:val="17"/>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2"/>
        </w:trPr>
        <w:tc>
          <w:tcPr>
            <w:tcW w:w="4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10.5</w:t>
            </w:r>
          </w:p>
        </w:tc>
        <w:tc>
          <w:tcPr>
            <w:tcW w:w="740" w:type="dxa"/>
            <w:vAlign w:val="bottom"/>
          </w:tcPr>
          <w:p>
            <w:pPr>
              <w:spacing w:after="0"/>
              <w:rPr>
                <w:sz w:val="23"/>
                <w:szCs w:val="23"/>
                <w:color w:val="auto"/>
              </w:rPr>
            </w:pP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Assignees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10.6</w:t>
            </w:r>
          </w:p>
        </w:tc>
        <w:tc>
          <w:tcPr>
            <w:tcW w:w="740" w:type="dxa"/>
            <w:vAlign w:val="bottom"/>
          </w:tcPr>
          <w:p>
            <w:pPr>
              <w:spacing w:after="0"/>
              <w:rPr>
                <w:sz w:val="23"/>
                <w:szCs w:val="23"/>
                <w:color w:val="auto"/>
              </w:rPr>
            </w:pPr>
          </w:p>
        </w:tc>
        <w:tc>
          <w:tcPr>
            <w:tcW w:w="13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5"/>
              </w:rPr>
              <w:t>General Provisions</w:t>
            </w:r>
          </w:p>
        </w:tc>
        <w:tc>
          <w:tcPr>
            <w:tcW w:w="6320" w:type="dxa"/>
            <w:vAlign w:val="bottom"/>
            <w:gridSpan w:val="22"/>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2"/>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10.7</w:t>
            </w:r>
          </w:p>
        </w:tc>
        <w:tc>
          <w:tcPr>
            <w:tcW w:w="740" w:type="dxa"/>
            <w:vAlign w:val="bottom"/>
          </w:tcPr>
          <w:p>
            <w:pPr>
              <w:spacing w:after="0"/>
              <w:rPr>
                <w:sz w:val="23"/>
                <w:szCs w:val="23"/>
                <w:color w:val="auto"/>
              </w:rPr>
            </w:pPr>
          </w:p>
        </w:tc>
        <w:tc>
          <w:tcPr>
            <w:tcW w:w="292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w w:val="96"/>
              </w:rPr>
              <w:t>Restrictions on Termination Transactions</w:t>
            </w:r>
          </w:p>
        </w:tc>
        <w:tc>
          <w:tcPr>
            <w:tcW w:w="4760" w:type="dxa"/>
            <w:vAlign w:val="bottom"/>
            <w:gridSpan w:val="10"/>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1"/>
        </w:trPr>
        <w:tc>
          <w:tcPr>
            <w:tcW w:w="97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ARTICLE XI ADMISSION OF PARTNERS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6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Partners; Admission of Additional Limited Partners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6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Limit on Number of Partners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6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Admission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97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ARTICLE XII DISSOLUTION, LIQUIDATION AND TERMINATION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1"/>
        </w:trPr>
        <w:tc>
          <w:tcPr>
            <w:tcW w:w="4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12.1</w:t>
            </w:r>
          </w:p>
        </w:tc>
        <w:tc>
          <w:tcPr>
            <w:tcW w:w="740" w:type="dxa"/>
            <w:vAlign w:val="bottom"/>
            <w:tcBorders>
              <w:top w:val="single" w:sz="8" w:color="auto"/>
            </w:tcBorders>
          </w:tcPr>
          <w:p>
            <w:pPr>
              <w:spacing w:after="0"/>
              <w:rPr>
                <w:sz w:val="23"/>
                <w:szCs w:val="23"/>
                <w:color w:val="auto"/>
              </w:rPr>
            </w:pPr>
          </w:p>
        </w:tc>
        <w:tc>
          <w:tcPr>
            <w:tcW w:w="3100" w:type="dxa"/>
            <w:vAlign w:val="bottom"/>
            <w:tcBorders>
              <w:top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No Dissolution</w:t>
            </w:r>
          </w:p>
        </w:tc>
        <w:tc>
          <w:tcPr>
            <w:tcW w:w="4580" w:type="dxa"/>
            <w:vAlign w:val="bottom"/>
            <w:gridSpan w:val="9"/>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tcPr>
          <w:p>
            <w:pPr>
              <w:spacing w:after="0" w:line="20" w:lineRule="exact"/>
              <w:rPr>
                <w:sz w:val="1"/>
                <w:szCs w:val="1"/>
                <w:color w:val="auto"/>
              </w:rPr>
            </w:pPr>
          </w:p>
        </w:tc>
        <w:tc>
          <w:tcPr>
            <w:tcW w:w="880" w:type="dxa"/>
            <w:vAlign w:val="bottom"/>
            <w:tcBorders>
              <w:right w:val="single" w:sz="8" w:color="auto"/>
            </w:tcBorders>
            <w:gridSpan w:val="5"/>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12.2</w:t>
            </w:r>
          </w:p>
        </w:tc>
        <w:tc>
          <w:tcPr>
            <w:tcW w:w="740" w:type="dxa"/>
            <w:vAlign w:val="bottom"/>
          </w:tcPr>
          <w:p>
            <w:pPr>
              <w:spacing w:after="0"/>
              <w:rPr>
                <w:sz w:val="23"/>
                <w:szCs w:val="23"/>
                <w:color w:val="auto"/>
              </w:rPr>
            </w:pPr>
          </w:p>
        </w:tc>
        <w:tc>
          <w:tcPr>
            <w:tcW w:w="19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6"/>
              </w:rPr>
              <w:t>Events Causing Dissolution</w:t>
            </w:r>
          </w:p>
        </w:tc>
        <w:tc>
          <w:tcPr>
            <w:tcW w:w="5720" w:type="dxa"/>
            <w:vAlign w:val="bottom"/>
            <w:gridSpan w:val="18"/>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1"/>
        </w:trPr>
        <w:tc>
          <w:tcPr>
            <w:tcW w:w="4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Section 12.3</w:t>
            </w:r>
          </w:p>
        </w:tc>
        <w:tc>
          <w:tcPr>
            <w:tcW w:w="740" w:type="dxa"/>
            <w:vAlign w:val="bottom"/>
          </w:tcPr>
          <w:p>
            <w:pPr>
              <w:spacing w:after="0"/>
              <w:rPr>
                <w:sz w:val="23"/>
                <w:szCs w:val="23"/>
                <w:color w:val="auto"/>
              </w:rPr>
            </w:pPr>
          </w:p>
        </w:tc>
        <w:tc>
          <w:tcPr>
            <w:tcW w:w="76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Distribution upon Dissolution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2"/>
        </w:trPr>
        <w:tc>
          <w:tcPr>
            <w:tcW w:w="420" w:type="dxa"/>
            <w:vAlign w:val="bottom"/>
          </w:tcPr>
          <w:p>
            <w:pPr>
              <w:spacing w:after="0"/>
              <w:rPr>
                <w:sz w:val="23"/>
                <w:szCs w:val="23"/>
                <w:color w:val="auto"/>
              </w:rPr>
            </w:pP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12.4</w:t>
            </w:r>
          </w:p>
        </w:tc>
        <w:tc>
          <w:tcPr>
            <w:tcW w:w="740" w:type="dxa"/>
            <w:vAlign w:val="bottom"/>
          </w:tcPr>
          <w:p>
            <w:pPr>
              <w:spacing w:after="0"/>
              <w:rPr>
                <w:sz w:val="23"/>
                <w:szCs w:val="23"/>
                <w:color w:val="auto"/>
              </w:rPr>
            </w:pPr>
          </w:p>
        </w:tc>
        <w:tc>
          <w:tcPr>
            <w:tcW w:w="210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Rights of Holders</w:t>
            </w:r>
          </w:p>
        </w:tc>
        <w:tc>
          <w:tcPr>
            <w:tcW w:w="5580" w:type="dxa"/>
            <w:vAlign w:val="bottom"/>
            <w:gridSpan w:val="15"/>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1"/>
        </w:trPr>
        <w:tc>
          <w:tcPr>
            <w:tcW w:w="420" w:type="dxa"/>
            <w:vAlign w:val="bottom"/>
          </w:tcPr>
          <w:p>
            <w:pPr>
              <w:spacing w:after="0"/>
              <w:rPr>
                <w:sz w:val="23"/>
                <w:szCs w:val="23"/>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Section 12.5</w:t>
            </w:r>
          </w:p>
        </w:tc>
        <w:tc>
          <w:tcPr>
            <w:tcW w:w="740" w:type="dxa"/>
            <w:vAlign w:val="bottom"/>
          </w:tcPr>
          <w:p>
            <w:pPr>
              <w:spacing w:after="0"/>
              <w:rPr>
                <w:sz w:val="23"/>
                <w:szCs w:val="23"/>
                <w:color w:val="auto"/>
              </w:rPr>
            </w:pPr>
          </w:p>
        </w:tc>
        <w:tc>
          <w:tcPr>
            <w:tcW w:w="8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4"/>
              </w:rPr>
              <w:t>Termination</w:t>
            </w:r>
          </w:p>
        </w:tc>
        <w:tc>
          <w:tcPr>
            <w:tcW w:w="400" w:type="dxa"/>
            <w:vAlign w:val="bottom"/>
            <w:tcBorders>
              <w:top w:val="single" w:sz="8" w:color="auto"/>
            </w:tcBorders>
            <w:gridSpan w:val="7"/>
          </w:tcPr>
          <w:p>
            <w:pPr>
              <w:spacing w:after="0"/>
              <w:rPr>
                <w:sz w:val="23"/>
                <w:szCs w:val="23"/>
                <w:color w:val="auto"/>
              </w:rPr>
            </w:pPr>
          </w:p>
        </w:tc>
        <w:tc>
          <w:tcPr>
            <w:tcW w:w="6400" w:type="dxa"/>
            <w:vAlign w:val="bottom"/>
            <w:gridSpan w:val="23"/>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ectPr>
          <w:pgSz w:w="11900" w:h="16838" w:orient="portrait"/>
          <w:cols w:equalWidth="0" w:num="1">
            <w:col w:w="11120"/>
          </w:cols>
          <w:pgMar w:left="380" w:top="1440" w:right="399" w:bottom="7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120"/>
          </w:cols>
          <w:pgMar w:left="380" w:top="1440" w:right="399" w:bottom="706" w:gutter="0" w:footer="0" w:header="0"/>
          <w:type w:val="continuous"/>
        </w:sectPr>
      </w:pPr>
    </w:p>
    <w:bookmarkStart w:id="97" w:name="page98"/>
    <w:bookmarkEnd w:id="97"/>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12.6</w:t>
            </w:r>
          </w:p>
        </w:tc>
        <w:tc>
          <w:tcPr>
            <w:tcW w:w="720" w:type="dxa"/>
            <w:vAlign w:val="bottom"/>
            <w:gridSpan w:val="2"/>
          </w:tcPr>
          <w:p>
            <w:pPr>
              <w:spacing w:after="0"/>
              <w:rPr>
                <w:sz w:val="17"/>
                <w:szCs w:val="17"/>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Reasonable Time for Winding Up</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1"/>
        </w:trPr>
        <w:tc>
          <w:tcPr>
            <w:tcW w:w="838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18"/>
                <w:szCs w:val="18"/>
                <w:color w:val="auto"/>
                <w:w w:val="97"/>
              </w:rPr>
              <w:t>ARTICLE XIII PROCEDURES FOR ACTIONS AND CONSENTS OF PARTNERS; AMENDMENTS; MEETINGS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13.1</w:t>
            </w:r>
          </w:p>
        </w:tc>
        <w:tc>
          <w:tcPr>
            <w:tcW w:w="720" w:type="dxa"/>
            <w:vAlign w:val="bottom"/>
            <w:gridSpan w:val="2"/>
          </w:tcPr>
          <w:p>
            <w:pPr>
              <w:spacing w:after="0"/>
              <w:rPr>
                <w:sz w:val="23"/>
                <w:szCs w:val="23"/>
                <w:color w:val="auto"/>
              </w:rPr>
            </w:pPr>
          </w:p>
        </w:tc>
        <w:tc>
          <w:tcPr>
            <w:tcW w:w="23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7"/>
              </w:rPr>
              <w:t>Actions and Consents of Partners</w:t>
            </w:r>
          </w:p>
        </w:tc>
        <w:tc>
          <w:tcPr>
            <w:tcW w:w="3960" w:type="dxa"/>
            <w:vAlign w:val="bottom"/>
            <w:gridSpan w:val="5"/>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13.2</w:t>
            </w:r>
          </w:p>
        </w:tc>
        <w:tc>
          <w:tcPr>
            <w:tcW w:w="720" w:type="dxa"/>
            <w:vAlign w:val="bottom"/>
            <w:gridSpan w:val="2"/>
          </w:tcPr>
          <w:p>
            <w:pPr>
              <w:spacing w:after="0"/>
              <w:rPr>
                <w:sz w:val="23"/>
                <w:szCs w:val="23"/>
                <w:color w:val="auto"/>
              </w:rPr>
            </w:pPr>
          </w:p>
        </w:tc>
        <w:tc>
          <w:tcPr>
            <w:tcW w:w="9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7"/>
              </w:rPr>
              <w:t>Amendments</w:t>
            </w:r>
          </w:p>
        </w:tc>
        <w:tc>
          <w:tcPr>
            <w:tcW w:w="5380" w:type="dxa"/>
            <w:vAlign w:val="bottom"/>
            <w:gridSpan w:val="18"/>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13.3</w:t>
            </w:r>
          </w:p>
        </w:tc>
        <w:tc>
          <w:tcPr>
            <w:tcW w:w="720" w:type="dxa"/>
            <w:vAlign w:val="bottom"/>
            <w:gridSpan w:val="2"/>
          </w:tcPr>
          <w:p>
            <w:pPr>
              <w:spacing w:after="0"/>
              <w:rPr>
                <w:sz w:val="23"/>
                <w:szCs w:val="23"/>
                <w:color w:val="auto"/>
              </w:rPr>
            </w:pPr>
          </w:p>
        </w:tc>
        <w:tc>
          <w:tcPr>
            <w:tcW w:w="372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w w:val="98"/>
              </w:rPr>
              <w:t>Procedures for Meetings and Actions of the Partners</w:t>
            </w:r>
          </w:p>
        </w:tc>
        <w:tc>
          <w:tcPr>
            <w:tcW w:w="2620" w:type="dxa"/>
            <w:vAlign w:val="bottom"/>
            <w:gridSpan w:val="3"/>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2"/>
        </w:trPr>
        <w:tc>
          <w:tcPr>
            <w:tcW w:w="29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7"/>
              </w:rPr>
              <w:t>ARTICLE XIV REDEMPTION RIGHTS</w:t>
            </w:r>
          </w:p>
        </w:tc>
        <w:tc>
          <w:tcPr>
            <w:tcW w:w="5400" w:type="dxa"/>
            <w:vAlign w:val="bottom"/>
            <w:gridSpan w:val="19"/>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1"/>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14.1</w:t>
            </w:r>
          </w:p>
        </w:tc>
        <w:tc>
          <w:tcPr>
            <w:tcW w:w="720" w:type="dxa"/>
            <w:vAlign w:val="bottom"/>
            <w:gridSpan w:val="2"/>
          </w:tcPr>
          <w:p>
            <w:pPr>
              <w:spacing w:after="0"/>
              <w:rPr>
                <w:sz w:val="23"/>
                <w:szCs w:val="23"/>
                <w:color w:val="auto"/>
              </w:rPr>
            </w:pPr>
          </w:p>
        </w:tc>
        <w:tc>
          <w:tcPr>
            <w:tcW w:w="234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6"/>
              </w:rPr>
              <w:t>Exchange of Exchangeable Units</w:t>
            </w:r>
          </w:p>
        </w:tc>
        <w:tc>
          <w:tcPr>
            <w:tcW w:w="4000" w:type="dxa"/>
            <w:vAlign w:val="bottom"/>
            <w:gridSpan w:val="6"/>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14.2</w:t>
            </w:r>
          </w:p>
        </w:tc>
        <w:tc>
          <w:tcPr>
            <w:tcW w:w="720" w:type="dxa"/>
            <w:vAlign w:val="bottom"/>
            <w:gridSpan w:val="2"/>
          </w:tcPr>
          <w:p>
            <w:pPr>
              <w:spacing w:after="0"/>
              <w:rPr>
                <w:sz w:val="23"/>
                <w:szCs w:val="23"/>
                <w:color w:val="auto"/>
              </w:rPr>
            </w:pPr>
          </w:p>
        </w:tc>
        <w:tc>
          <w:tcPr>
            <w:tcW w:w="19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5"/>
              </w:rPr>
              <w:t>Exchange for Cash Amount</w:t>
            </w:r>
          </w:p>
        </w:tc>
        <w:tc>
          <w:tcPr>
            <w:tcW w:w="4380" w:type="dxa"/>
            <w:vAlign w:val="bottom"/>
            <w:gridSpan w:val="8"/>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2"/>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14.3</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Exchange for Stock Amount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2"/>
        </w:trPr>
        <w:tc>
          <w:tcPr>
            <w:tcW w:w="420" w:type="dxa"/>
            <w:vAlign w:val="bottom"/>
          </w:tcPr>
          <w:p>
            <w:pPr>
              <w:spacing w:after="0"/>
              <w:rPr>
                <w:sz w:val="23"/>
                <w:szCs w:val="23"/>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14.4</w:t>
            </w:r>
          </w:p>
        </w:tc>
        <w:tc>
          <w:tcPr>
            <w:tcW w:w="720" w:type="dxa"/>
            <w:vAlign w:val="bottom"/>
            <w:gridSpan w:val="2"/>
          </w:tcPr>
          <w:p>
            <w:pPr>
              <w:spacing w:after="0"/>
              <w:rPr>
                <w:sz w:val="23"/>
                <w:szCs w:val="23"/>
                <w:color w:val="auto"/>
              </w:rPr>
            </w:pPr>
          </w:p>
        </w:tc>
        <w:tc>
          <w:tcPr>
            <w:tcW w:w="200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9"/>
              </w:rPr>
              <w:t>Class A Shares to be Issued</w:t>
            </w:r>
          </w:p>
        </w:tc>
        <w:tc>
          <w:tcPr>
            <w:tcW w:w="4340" w:type="dxa"/>
            <w:vAlign w:val="bottom"/>
            <w:gridSpan w:val="7"/>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1"/>
        </w:trPr>
        <w:tc>
          <w:tcPr>
            <w:tcW w:w="420" w:type="dxa"/>
            <w:vAlign w:val="bottom"/>
          </w:tcPr>
          <w:p>
            <w:pPr>
              <w:spacing w:after="0"/>
              <w:rPr>
                <w:sz w:val="23"/>
                <w:szCs w:val="23"/>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14.5</w:t>
            </w:r>
          </w:p>
        </w:tc>
        <w:tc>
          <w:tcPr>
            <w:tcW w:w="720" w:type="dxa"/>
            <w:vAlign w:val="bottom"/>
            <w:gridSpan w:val="2"/>
          </w:tcPr>
          <w:p>
            <w:pPr>
              <w:spacing w:after="0"/>
              <w:rPr>
                <w:sz w:val="23"/>
                <w:szCs w:val="23"/>
                <w:color w:val="auto"/>
              </w:rPr>
            </w:pPr>
          </w:p>
        </w:tc>
        <w:tc>
          <w:tcPr>
            <w:tcW w:w="66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4"/>
              </w:rPr>
              <w:t>Expenses</w:t>
            </w:r>
          </w:p>
        </w:tc>
        <w:tc>
          <w:tcPr>
            <w:tcW w:w="1300" w:type="dxa"/>
            <w:vAlign w:val="bottom"/>
            <w:tcBorders>
              <w:top w:val="single" w:sz="8" w:color="auto"/>
            </w:tcBorders>
            <w:gridSpan w:val="17"/>
          </w:tcPr>
          <w:p>
            <w:pPr>
              <w:spacing w:after="0"/>
              <w:rPr>
                <w:sz w:val="23"/>
                <w:szCs w:val="23"/>
                <w:color w:val="auto"/>
              </w:rPr>
            </w:pPr>
          </w:p>
        </w:tc>
        <w:tc>
          <w:tcPr>
            <w:tcW w:w="4380" w:type="dxa"/>
            <w:vAlign w:val="bottom"/>
            <w:gridSpan w:val="8"/>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14.6</w:t>
            </w:r>
          </w:p>
        </w:tc>
        <w:tc>
          <w:tcPr>
            <w:tcW w:w="720" w:type="dxa"/>
            <w:vAlign w:val="bottom"/>
            <w:gridSpan w:val="2"/>
          </w:tcPr>
          <w:p>
            <w:pPr>
              <w:spacing w:after="0"/>
              <w:rPr>
                <w:sz w:val="23"/>
                <w:szCs w:val="23"/>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3"/>
              </w:rPr>
              <w:t>Conflicts</w:t>
            </w:r>
          </w:p>
        </w:tc>
        <w:tc>
          <w:tcPr>
            <w:tcW w:w="5700" w:type="dxa"/>
            <w:vAlign w:val="bottom"/>
            <w:gridSpan w:val="26"/>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2"/>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14.7</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Other Exchange Procedures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14.8</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Pro Rata Treatment of Exchanging Qualifying Parties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2"/>
        </w:trPr>
        <w:tc>
          <w:tcPr>
            <w:tcW w:w="420" w:type="dxa"/>
            <w:vAlign w:val="bottom"/>
          </w:tcPr>
          <w:p>
            <w:pPr>
              <w:spacing w:after="0"/>
              <w:rPr>
                <w:sz w:val="23"/>
                <w:szCs w:val="23"/>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14.9</w:t>
            </w:r>
          </w:p>
        </w:tc>
        <w:tc>
          <w:tcPr>
            <w:tcW w:w="720" w:type="dxa"/>
            <w:vAlign w:val="bottom"/>
            <w:gridSpan w:val="2"/>
          </w:tcPr>
          <w:p>
            <w:pPr>
              <w:spacing w:after="0"/>
              <w:rPr>
                <w:sz w:val="23"/>
                <w:szCs w:val="23"/>
                <w:color w:val="auto"/>
              </w:rPr>
            </w:pPr>
          </w:p>
        </w:tc>
        <w:tc>
          <w:tcPr>
            <w:tcW w:w="88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4"/>
              </w:rPr>
              <w:t>Withholding</w:t>
            </w:r>
          </w:p>
        </w:tc>
        <w:tc>
          <w:tcPr>
            <w:tcW w:w="2900" w:type="dxa"/>
            <w:vAlign w:val="bottom"/>
            <w:tcBorders>
              <w:top w:val="single" w:sz="8" w:color="auto"/>
            </w:tcBorders>
            <w:gridSpan w:val="20"/>
          </w:tcPr>
          <w:p>
            <w:pPr>
              <w:spacing w:after="0"/>
              <w:rPr>
                <w:sz w:val="23"/>
                <w:szCs w:val="23"/>
                <w:color w:val="auto"/>
              </w:rPr>
            </w:pPr>
          </w:p>
        </w:tc>
        <w:tc>
          <w:tcPr>
            <w:tcW w:w="2560" w:type="dxa"/>
            <w:vAlign w:val="bottom"/>
            <w:gridSpan w:val="2"/>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1"/>
        </w:trPr>
        <w:tc>
          <w:tcPr>
            <w:tcW w:w="2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ARTICLE XV MISCELLANEOUS</w:t>
            </w:r>
          </w:p>
        </w:tc>
        <w:tc>
          <w:tcPr>
            <w:tcW w:w="5820" w:type="dxa"/>
            <w:vAlign w:val="bottom"/>
            <w:gridSpan w:val="28"/>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15.1</w:t>
            </w:r>
          </w:p>
        </w:tc>
        <w:tc>
          <w:tcPr>
            <w:tcW w:w="720" w:type="dxa"/>
            <w:vAlign w:val="bottom"/>
            <w:gridSpan w:val="2"/>
          </w:tcPr>
          <w:p>
            <w:pPr>
              <w:spacing w:after="0"/>
              <w:rPr>
                <w:sz w:val="23"/>
                <w:szCs w:val="23"/>
                <w:color w:val="auto"/>
              </w:rPr>
            </w:pPr>
          </w:p>
        </w:tc>
        <w:tc>
          <w:tcPr>
            <w:tcW w:w="142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6"/>
              </w:rPr>
              <w:t>Partnership Counsel</w:t>
            </w:r>
          </w:p>
        </w:tc>
        <w:tc>
          <w:tcPr>
            <w:tcW w:w="4920" w:type="dxa"/>
            <w:vAlign w:val="bottom"/>
            <w:gridSpan w:val="10"/>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15.2</w:t>
            </w:r>
          </w:p>
        </w:tc>
        <w:tc>
          <w:tcPr>
            <w:tcW w:w="720" w:type="dxa"/>
            <w:vAlign w:val="bottom"/>
            <w:gridSpan w:val="2"/>
          </w:tcPr>
          <w:p>
            <w:pPr>
              <w:spacing w:after="0"/>
              <w:rPr>
                <w:sz w:val="23"/>
                <w:szCs w:val="23"/>
                <w:color w:val="auto"/>
              </w:rPr>
            </w:pPr>
          </w:p>
        </w:tc>
        <w:tc>
          <w:tcPr>
            <w:tcW w:w="37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w w:val="97"/>
              </w:rPr>
              <w:t>Appointment of General Partner as Attorney-in-Fact</w:t>
            </w:r>
          </w:p>
        </w:tc>
        <w:tc>
          <w:tcPr>
            <w:tcW w:w="2640" w:type="dxa"/>
            <w:vAlign w:val="bottom"/>
            <w:gridSpan w:val="4"/>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1"/>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15.3</w:t>
            </w:r>
          </w:p>
        </w:tc>
        <w:tc>
          <w:tcPr>
            <w:tcW w:w="720" w:type="dxa"/>
            <w:vAlign w:val="bottom"/>
            <w:gridSpan w:val="2"/>
          </w:tcPr>
          <w:p>
            <w:pPr>
              <w:spacing w:after="0"/>
              <w:rPr>
                <w:sz w:val="23"/>
                <w:szCs w:val="23"/>
                <w:color w:val="auto"/>
              </w:rPr>
            </w:pPr>
          </w:p>
        </w:tc>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4"/>
              </w:rPr>
              <w:t>Arbitration</w:t>
            </w:r>
          </w:p>
        </w:tc>
        <w:tc>
          <w:tcPr>
            <w:tcW w:w="5560" w:type="dxa"/>
            <w:vAlign w:val="bottom"/>
            <w:gridSpan w:val="24"/>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2"/>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15.4</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Accounting and Fiscal Year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1"/>
        </w:trPr>
        <w:tc>
          <w:tcPr>
            <w:tcW w:w="420" w:type="dxa"/>
            <w:vAlign w:val="bottom"/>
          </w:tcPr>
          <w:p>
            <w:pPr>
              <w:spacing w:after="0"/>
              <w:rPr>
                <w:sz w:val="23"/>
                <w:szCs w:val="23"/>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15.5</w:t>
            </w:r>
          </w:p>
        </w:tc>
        <w:tc>
          <w:tcPr>
            <w:tcW w:w="720" w:type="dxa"/>
            <w:vAlign w:val="bottom"/>
            <w:gridSpan w:val="2"/>
          </w:tcPr>
          <w:p>
            <w:pPr>
              <w:spacing w:after="0"/>
              <w:rPr>
                <w:sz w:val="23"/>
                <w:szCs w:val="23"/>
                <w:color w:val="auto"/>
              </w:rPr>
            </w:pPr>
          </w:p>
        </w:tc>
        <w:tc>
          <w:tcPr>
            <w:tcW w:w="126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6"/>
              </w:rPr>
              <w:t>Entire Agreement</w:t>
            </w:r>
          </w:p>
        </w:tc>
        <w:tc>
          <w:tcPr>
            <w:tcW w:w="700" w:type="dxa"/>
            <w:vAlign w:val="bottom"/>
            <w:tcBorders>
              <w:top w:val="single" w:sz="8" w:color="auto"/>
            </w:tcBorders>
            <w:gridSpan w:val="6"/>
          </w:tcPr>
          <w:p>
            <w:pPr>
              <w:spacing w:after="0"/>
              <w:rPr>
                <w:sz w:val="23"/>
                <w:szCs w:val="23"/>
                <w:color w:val="auto"/>
              </w:rPr>
            </w:pPr>
          </w:p>
        </w:tc>
        <w:tc>
          <w:tcPr>
            <w:tcW w:w="4380" w:type="dxa"/>
            <w:vAlign w:val="bottom"/>
            <w:gridSpan w:val="8"/>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2"/>
        </w:trPr>
        <w:tc>
          <w:tcPr>
            <w:tcW w:w="420" w:type="dxa"/>
            <w:vAlign w:val="bottom"/>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15.6</w:t>
            </w:r>
          </w:p>
        </w:tc>
        <w:tc>
          <w:tcPr>
            <w:tcW w:w="720" w:type="dxa"/>
            <w:vAlign w:val="bottom"/>
            <w:gridSpan w:val="2"/>
          </w:tcPr>
          <w:p>
            <w:pPr>
              <w:spacing w:after="0"/>
              <w:rPr>
                <w:sz w:val="23"/>
                <w:szCs w:val="23"/>
                <w:color w:val="auto"/>
              </w:rPr>
            </w:pPr>
          </w:p>
        </w:tc>
        <w:tc>
          <w:tcPr>
            <w:tcW w:w="13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6"/>
              </w:rPr>
              <w:t>Further Assurances</w:t>
            </w:r>
          </w:p>
        </w:tc>
        <w:tc>
          <w:tcPr>
            <w:tcW w:w="4980" w:type="dxa"/>
            <w:vAlign w:val="bottom"/>
            <w:gridSpan w:val="11"/>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1"/>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15.7</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Notices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15.8</w:t>
            </w:r>
          </w:p>
        </w:tc>
        <w:tc>
          <w:tcPr>
            <w:tcW w:w="720" w:type="dxa"/>
            <w:vAlign w:val="bottom"/>
            <w:gridSpan w:val="2"/>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2"/>
        </w:trPr>
        <w:tc>
          <w:tcPr>
            <w:tcW w:w="420" w:type="dxa"/>
            <w:vAlign w:val="bottom"/>
          </w:tcPr>
          <w:p>
            <w:pPr>
              <w:spacing w:after="0"/>
              <w:rPr>
                <w:sz w:val="23"/>
                <w:szCs w:val="23"/>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Section 15.9</w:t>
            </w:r>
          </w:p>
        </w:tc>
        <w:tc>
          <w:tcPr>
            <w:tcW w:w="720" w:type="dxa"/>
            <w:vAlign w:val="bottom"/>
            <w:gridSpan w:val="2"/>
          </w:tcPr>
          <w:p>
            <w:pPr>
              <w:spacing w:after="0"/>
              <w:rPr>
                <w:sz w:val="23"/>
                <w:szCs w:val="23"/>
                <w:color w:val="auto"/>
              </w:rPr>
            </w:pPr>
          </w:p>
        </w:tc>
        <w:tc>
          <w:tcPr>
            <w:tcW w:w="92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6"/>
              </w:rPr>
              <w:t>Construction</w:t>
            </w:r>
          </w:p>
        </w:tc>
        <w:tc>
          <w:tcPr>
            <w:tcW w:w="180" w:type="dxa"/>
            <w:vAlign w:val="bottom"/>
            <w:tcBorders>
              <w:top w:val="single" w:sz="8" w:color="auto"/>
            </w:tcBorders>
            <w:gridSpan w:val="5"/>
          </w:tcPr>
          <w:p>
            <w:pPr>
              <w:spacing w:after="0"/>
              <w:rPr>
                <w:sz w:val="23"/>
                <w:szCs w:val="23"/>
                <w:color w:val="auto"/>
              </w:rPr>
            </w:pPr>
          </w:p>
        </w:tc>
        <w:tc>
          <w:tcPr>
            <w:tcW w:w="5240" w:type="dxa"/>
            <w:vAlign w:val="bottom"/>
            <w:gridSpan w:val="15"/>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1"/>
        </w:trPr>
        <w:tc>
          <w:tcPr>
            <w:tcW w:w="420" w:type="dxa"/>
            <w:vAlign w:val="bottom"/>
          </w:tcPr>
          <w:p>
            <w:pPr>
              <w:spacing w:after="0"/>
              <w:rPr>
                <w:sz w:val="23"/>
                <w:szCs w:val="23"/>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15.10</w:t>
            </w:r>
          </w:p>
        </w:tc>
        <w:tc>
          <w:tcPr>
            <w:tcW w:w="640" w:type="dxa"/>
            <w:vAlign w:val="bottom"/>
          </w:tcPr>
          <w:p>
            <w:pPr>
              <w:spacing w:after="0"/>
              <w:rPr>
                <w:sz w:val="23"/>
                <w:szCs w:val="23"/>
                <w:color w:val="auto"/>
              </w:rPr>
            </w:pPr>
          </w:p>
        </w:tc>
        <w:tc>
          <w:tcPr>
            <w:tcW w:w="10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5"/>
              </w:rPr>
              <w:t>Binding Effect</w:t>
            </w:r>
          </w:p>
        </w:tc>
        <w:tc>
          <w:tcPr>
            <w:tcW w:w="5300" w:type="dxa"/>
            <w:vAlign w:val="bottom"/>
            <w:gridSpan w:val="17"/>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2"/>
        </w:trPr>
        <w:tc>
          <w:tcPr>
            <w:tcW w:w="42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15.11</w:t>
            </w:r>
          </w:p>
        </w:tc>
        <w:tc>
          <w:tcPr>
            <w:tcW w:w="640" w:type="dxa"/>
            <w:vAlign w:val="bottom"/>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15.12</w:t>
            </w:r>
          </w:p>
        </w:tc>
        <w:tc>
          <w:tcPr>
            <w:tcW w:w="640" w:type="dxa"/>
            <w:vAlign w:val="bottom"/>
          </w:tcPr>
          <w:p>
            <w:pPr>
              <w:spacing w:after="0"/>
              <w:rPr>
                <w:sz w:val="23"/>
                <w:szCs w:val="23"/>
                <w:color w:val="auto"/>
              </w:rPr>
            </w:pPr>
          </w:p>
        </w:tc>
        <w:tc>
          <w:tcPr>
            <w:tcW w:w="10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5"/>
              </w:rPr>
              <w:t>Confidentiality</w:t>
            </w:r>
          </w:p>
        </w:tc>
        <w:tc>
          <w:tcPr>
            <w:tcW w:w="5280" w:type="dxa"/>
            <w:vAlign w:val="bottom"/>
            <w:gridSpan w:val="16"/>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2"/>
        </w:trPr>
        <w:tc>
          <w:tcPr>
            <w:tcW w:w="42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15.13</w:t>
            </w:r>
          </w:p>
        </w:tc>
        <w:tc>
          <w:tcPr>
            <w:tcW w:w="640" w:type="dxa"/>
            <w:vAlign w:val="bottom"/>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Consent to Use of Name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1"/>
        </w:trPr>
        <w:tc>
          <w:tcPr>
            <w:tcW w:w="420" w:type="dxa"/>
            <w:vAlign w:val="bottom"/>
          </w:tcPr>
          <w:p>
            <w:pPr>
              <w:spacing w:after="0"/>
              <w:rPr>
                <w:sz w:val="23"/>
                <w:szCs w:val="23"/>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15.14</w:t>
            </w:r>
          </w:p>
        </w:tc>
        <w:tc>
          <w:tcPr>
            <w:tcW w:w="640" w:type="dxa"/>
            <w:vAlign w:val="bottom"/>
          </w:tcPr>
          <w:p>
            <w:pPr>
              <w:spacing w:after="0"/>
              <w:rPr>
                <w:sz w:val="23"/>
                <w:szCs w:val="23"/>
                <w:color w:val="auto"/>
              </w:rPr>
            </w:pPr>
          </w:p>
        </w:tc>
        <w:tc>
          <w:tcPr>
            <w:tcW w:w="172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Consent by Spouse</w:t>
            </w:r>
          </w:p>
        </w:tc>
        <w:tc>
          <w:tcPr>
            <w:tcW w:w="4620" w:type="dxa"/>
            <w:vAlign w:val="bottom"/>
            <w:gridSpan w:val="9"/>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2"/>
        </w:trPr>
        <w:tc>
          <w:tcPr>
            <w:tcW w:w="420" w:type="dxa"/>
            <w:vAlign w:val="bottom"/>
          </w:tcPr>
          <w:p>
            <w:pPr>
              <w:spacing w:after="0"/>
              <w:rPr>
                <w:sz w:val="23"/>
                <w:szCs w:val="23"/>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15.15</w:t>
            </w:r>
          </w:p>
        </w:tc>
        <w:tc>
          <w:tcPr>
            <w:tcW w:w="640" w:type="dxa"/>
            <w:vAlign w:val="bottom"/>
          </w:tcPr>
          <w:p>
            <w:pPr>
              <w:spacing w:after="0"/>
              <w:rPr>
                <w:sz w:val="23"/>
                <w:szCs w:val="23"/>
                <w:color w:val="auto"/>
              </w:rPr>
            </w:pPr>
          </w:p>
        </w:tc>
        <w:tc>
          <w:tcPr>
            <w:tcW w:w="134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5000" w:type="dxa"/>
            <w:vAlign w:val="bottom"/>
            <w:gridSpan w:val="12"/>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gridSpan w:val="6"/>
            <w:shd w:val="clear" w:color="auto" w:fill="000000"/>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15.16</w:t>
            </w:r>
          </w:p>
        </w:tc>
        <w:tc>
          <w:tcPr>
            <w:tcW w:w="640" w:type="dxa"/>
            <w:vAlign w:val="bottom"/>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2"/>
        </w:trPr>
        <w:tc>
          <w:tcPr>
            <w:tcW w:w="420" w:type="dxa"/>
            <w:vAlign w:val="bottom"/>
          </w:tcPr>
          <w:p>
            <w:pPr>
              <w:spacing w:after="0"/>
              <w:rPr>
                <w:sz w:val="23"/>
                <w:szCs w:val="23"/>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Section 15.17</w:t>
            </w:r>
          </w:p>
        </w:tc>
        <w:tc>
          <w:tcPr>
            <w:tcW w:w="640" w:type="dxa"/>
            <w:vAlign w:val="bottom"/>
          </w:tcPr>
          <w:p>
            <w:pPr>
              <w:spacing w:after="0"/>
              <w:rPr>
                <w:sz w:val="23"/>
                <w:szCs w:val="23"/>
                <w:color w:val="auto"/>
              </w:rPr>
            </w:pPr>
          </w:p>
        </w:tc>
        <w:tc>
          <w:tcPr>
            <w:tcW w:w="128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Survival</w:t>
            </w:r>
          </w:p>
        </w:tc>
        <w:tc>
          <w:tcPr>
            <w:tcW w:w="5060" w:type="dxa"/>
            <w:vAlign w:val="bottom"/>
            <w:gridSpan w:val="13"/>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0" w:type="dxa"/>
            <w:vAlign w:val="bottom"/>
            <w:gridSpan w:val="2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Section 15.18</w:t>
            </w:r>
          </w:p>
        </w:tc>
        <w:tc>
          <w:tcPr>
            <w:tcW w:w="640" w:type="dxa"/>
            <w:vAlign w:val="bottom"/>
          </w:tcPr>
          <w:p>
            <w:pPr>
              <w:spacing w:after="0"/>
              <w:rPr>
                <w:sz w:val="23"/>
                <w:szCs w:val="23"/>
                <w:color w:val="auto"/>
              </w:rPr>
            </w:pPr>
          </w:p>
        </w:tc>
        <w:tc>
          <w:tcPr>
            <w:tcW w:w="634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Anti-Money Laundering Representations and Undertakings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EXAMPLES REGARDING ADJUSTMENT FACTOR</w:t>
      </w:r>
    </w:p>
    <w:p>
      <w:pPr>
        <w:spacing w:after="0" w:line="2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u w:val="single" w:color="auto"/>
          <w:color w:val="auto"/>
        </w:rPr>
        <w:t>EXHIBIT B-1</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FORM OF LIMITED PARTNER ELECTION OF EXCHANGE</w:t>
      </w:r>
    </w:p>
    <w:p>
      <w:pPr>
        <w:spacing w:after="0" w:line="1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u w:val="single" w:color="auto"/>
          <w:color w:val="auto"/>
        </w:rPr>
        <w:t>EXHIBIT B-2</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FORM OF ADCO PROFESSIONALS PARTNER ELECTION OF EXCHANGE</w:t>
      </w:r>
    </w:p>
    <w:p>
      <w:pPr>
        <w:spacing w:after="0" w:line="1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RELEASE</w:t>
      </w:r>
    </w:p>
    <w:p>
      <w:pPr>
        <w:spacing w:after="0" w:line="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CONSENT BY SPOUSE</w:t>
      </w:r>
    </w:p>
    <w:p>
      <w:pPr>
        <w:spacing w:after="0" w:line="2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ANTI-MONEY LAUNDERING REPRESENTATIONS AND UNDERTAKINGS</w:t>
      </w:r>
    </w:p>
    <w:p>
      <w:pPr>
        <w:spacing w:after="0" w:line="1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PARTNERSHIP UNIT DESIGNATION OF THE SERIES A PI UNITS OF PWP HOLDINGS LP</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1180"/>
          </w:cols>
          <w:pgMar w:left="320" w:top="1440" w:right="39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57"/>
        </w:trPr>
        <w:tc>
          <w:tcPr>
            <w:tcW w:w="4120" w:type="dxa"/>
            <w:vAlign w:val="bottom"/>
          </w:tcPr>
          <w:p>
            <w:pPr>
              <w:spacing w:after="0"/>
              <w:rPr>
                <w:sz w:val="22"/>
                <w:szCs w:val="22"/>
                <w:color w:val="auto"/>
              </w:rPr>
            </w:pPr>
          </w:p>
        </w:tc>
        <w:tc>
          <w:tcPr>
            <w:tcW w:w="6800" w:type="dxa"/>
            <w:vAlign w:val="bottom"/>
          </w:tcPr>
          <w:p>
            <w:pPr>
              <w:jc w:val="right"/>
              <w:ind w:right="3931"/>
              <w:spacing w:after="0"/>
              <w:rPr>
                <w:sz w:val="20"/>
                <w:szCs w:val="20"/>
                <w:color w:val="auto"/>
              </w:rPr>
            </w:pPr>
            <w:r>
              <w:rPr>
                <w:rFonts w:ascii="Times New Roman" w:cs="Times New Roman" w:eastAsia="Times New Roman" w:hAnsi="Times New Roman"/>
                <w:sz w:val="19"/>
                <w:szCs w:val="19"/>
                <w:b w:val="1"/>
                <w:bCs w:val="1"/>
                <w:color w:val="auto"/>
              </w:rPr>
              <w:t>INDEX OF DEFINED TERMS</w:t>
            </w:r>
          </w:p>
        </w:tc>
      </w:tr>
      <w:tr>
        <w:trPr>
          <w:trHeight w:val="50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AAA</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15.3(a)</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Actions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6.6(a)</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Active Professional</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Common Units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 Class A-1 Common Units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 Class A-2 Common Units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 Class A-3 Common Units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 LPA</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AdCo Professionals Partner</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Funds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Limited Partner</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Adjusted Capital Account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Adjusted Capital Account Deficit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Factor</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Affected Partner</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9.6(e)</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AmCo Professionals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AmCo Professionals LPA</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Annual Income Tax Liability</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Applicable Sale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Applicable Sale Notice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7.4(b)</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Applicable State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Asset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Working Partner Change in Control</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Working Partners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Assignee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Associated Person</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1.2</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Bankruptcy</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 Account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 Holdings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Capital Share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Amount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Amount Settlement Date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Settled Units</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w:t>
            </w: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Cause</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bl>
    <w:p>
      <w:pPr>
        <w:spacing w:after="0" w:line="200" w:lineRule="exact"/>
        <w:rPr>
          <w:sz w:val="20"/>
          <w:szCs w:val="20"/>
          <w:color w:val="auto"/>
        </w:rPr>
      </w:pPr>
    </w:p>
    <w:p>
      <w:pPr>
        <w:sectPr>
          <w:pgSz w:w="11900" w:h="16838" w:orient="portrait"/>
          <w:cols w:equalWidth="0" w:num="1">
            <w:col w:w="10920"/>
          </w:cols>
          <w:pgMar w:left="340" w:top="1385" w:right="639" w:bottom="7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920"/>
          </w:cols>
          <w:pgMar w:left="340" w:top="1385" w:right="639" w:bottom="772" w:gutter="0" w:footer="0" w:header="0"/>
          <w:type w:val="continuous"/>
        </w:sectPr>
      </w:pPr>
    </w:p>
    <w:bookmarkStart w:id="99" w:name="page100"/>
    <w:bookmarkEnd w:id="99"/>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Charter</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Class A Share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Class B-1 Share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Class B-2 Share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Colorado PTET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Colorado PTET Election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Colorado PTET Exclusion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Colorado PTET Payments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Colorado PTET Year</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Compete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Competing</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Competitive Enterprise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Consent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Consent of the Limited Partners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Consent of the Partners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Constituent Member</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Continuing PWP Person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Contributed Asset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Controlled Entity</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Cut-Off Date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14.2(a)</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 Minimis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Designated Individual</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9.3(a)</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De-SPAC Transaction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Disabling Event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Dispute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15.3(a)</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Right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Drag-Along Right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7.4(a)</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Election of Exchange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Equity Plan</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Estate Planning Vehicle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Event of Withdrawal</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12.2(c)</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Excess PTET Deficit</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9.6(d)</w:t>
            </w: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14.1(a)</w:t>
            </w:r>
          </w:p>
        </w:tc>
      </w:tr>
    </w:tbl>
    <w:p>
      <w:pPr>
        <w:spacing w:after="0" w:line="200" w:lineRule="exact"/>
        <w:rPr>
          <w:sz w:val="20"/>
          <w:szCs w:val="20"/>
          <w:color w:val="auto"/>
        </w:rPr>
      </w:pPr>
    </w:p>
    <w:p>
      <w:pPr>
        <w:sectPr>
          <w:pgSz w:w="11900" w:h="16838" w:orient="portrait"/>
          <w:cols w:equalWidth="0" w:num="1">
            <w:col w:w="10920"/>
          </w:cols>
          <w:pgMar w:left="340" w:top="1440" w:right="639" w:bottom="6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v</w:t>
      </w:r>
    </w:p>
    <w:p>
      <w:pPr>
        <w:sectPr>
          <w:pgSz w:w="11900" w:h="16838" w:orient="portrait"/>
          <w:cols w:equalWidth="0" w:num="1">
            <w:col w:w="10920"/>
          </w:cols>
          <w:pgMar w:left="340" w:top="1440" w:right="639" w:bottom="650" w:gutter="0" w:footer="0" w:header="0"/>
          <w:type w:val="continuous"/>
        </w:sectPr>
      </w:pPr>
    </w:p>
    <w:bookmarkStart w:id="100" w:name="page101"/>
    <w:bookmarkEnd w:id="100"/>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Units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14.1(a)</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Family Members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Fifth A&amp;R Professionals LPA</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First A&amp;R Partnership LPA</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Formation Date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Fourth A&amp;R Professionals LPA</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 Reason</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Gross Asset Value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Holdings Division</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10.3(a)(i)</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Imputed Underpayment Amount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9.3(d)</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Incapacitated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Incapacitation</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Incapacity</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Indemnitee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6.6(a)</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Liquidating Event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12.2</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Liquidator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12.3(a)</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LLC Act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Lock-Up Period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Majority in Interest of the AdCo Professionals Partners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Majority in Interest of the Limited Partners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Majority in Interest of the Partners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Professionals Merger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Courts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15.3(f)</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PTET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PTET Credit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PTET Election</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PTET Payments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York PTET Year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Non-Compete Period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Nonrecourse Deductions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Nonrecourse Liability</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ectPr>
          <w:pgSz w:w="11900" w:h="16838" w:orient="portrait"/>
          <w:cols w:equalWidth="0" w:num="1">
            <w:col w:w="10920"/>
          </w:cols>
          <w:pgMar w:left="340" w:top="1440" w:right="639" w:bottom="6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920"/>
          </w:cols>
          <w:pgMar w:left="340" w:top="1440" w:right="639" w:bottom="627" w:gutter="0" w:footer="0" w:header="0"/>
          <w:type w:val="continuous"/>
        </w:sectPr>
      </w:pPr>
    </w:p>
    <w:bookmarkStart w:id="101" w:name="page102"/>
    <w:bookmarkEnd w:id="101"/>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Notice Period</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1.2</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Optionee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Original Agreement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PTET Credit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PTET Election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PTET Payments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PTET Year</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 Minimum Gain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 Nonrecourse Debt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 Nonrecourse Deductions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Audit Procedures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A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A-0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A-1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A-2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A-3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B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B-1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Class B-2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Common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Counsel</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Employee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Equivalent Units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Junior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Minimum Gain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Preferred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Record Date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Representative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9.3(a)</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Unit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Unit Designation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3.2(c)</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Percentage Interest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Permitted ATM Distribution Period</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Permitted ATM Funding</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Transferee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Pledge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Predecessor General Partner</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Previous LPA</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Primary Issuance Funding</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w:t>
            </w:r>
          </w:p>
        </w:tc>
      </w:tr>
    </w:tbl>
    <w:p>
      <w:pPr>
        <w:spacing w:after="0" w:line="200" w:lineRule="exact"/>
        <w:rPr>
          <w:sz w:val="20"/>
          <w:szCs w:val="20"/>
          <w:color w:val="auto"/>
        </w:rPr>
      </w:pPr>
    </w:p>
    <w:p>
      <w:pPr>
        <w:sectPr>
          <w:pgSz w:w="11900" w:h="16838" w:orient="portrait"/>
          <w:cols w:equalWidth="0" w:num="1">
            <w:col w:w="10920"/>
          </w:cols>
          <w:pgMar w:left="340" w:top="1440" w:right="639" w:bottom="6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vii</w:t>
      </w:r>
    </w:p>
    <w:p>
      <w:pPr>
        <w:sectPr>
          <w:pgSz w:w="11900" w:h="16838" w:orient="portrait"/>
          <w:cols w:equalWidth="0" w:num="1">
            <w:col w:w="10920"/>
          </w:cols>
          <w:pgMar w:left="340" w:top="1440" w:right="639" w:bottom="627" w:gutter="0" w:footer="0" w:header="0"/>
          <w:type w:val="continuous"/>
        </w:sectPr>
      </w:pPr>
    </w:p>
    <w:bookmarkStart w:id="102" w:name="page103"/>
    <w:bookmarkEnd w:id="102"/>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Primary Offering</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Primary Offering Notice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14.2(b)(ii)</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Primary Offering Shares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Professionals Division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Protected Activities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1.2</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Credit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Deficit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9.6(c)</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Elections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Payments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9.6(b)</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Share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9.6(c)</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PTET Year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9.6(a)</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Publicly Traded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PWP Entities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PWP GP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PWP LLC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PWP LLCA</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Qualified DRIP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Qualified Transferee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Qualifying Party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Quarter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Quarterly Exchange Date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Reference Date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Register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Regulations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Regulatory Allocations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5.3(b)(viii)</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Relevant Securities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Restorative Transaction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6.1(j)</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Entities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Entity Business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Securities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10.3(b)(ii)</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Retirement Eligible (For Lock-Up Purposes Only) Partners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Retirement Eligible Partners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Scheduled Limited Partner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1.1</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Separation Date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Special Limited Partner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9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Sponsored Fund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 Amount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 Settlement Notice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14.3(a)</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Agreement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Substituted Limited Partner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Surviving Partnership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10.7(b)</w:t>
            </w:r>
          </w:p>
        </w:tc>
      </w:tr>
    </w:tbl>
    <w:p>
      <w:pPr>
        <w:spacing w:after="0" w:line="200" w:lineRule="exact"/>
        <w:rPr>
          <w:sz w:val="20"/>
          <w:szCs w:val="20"/>
          <w:color w:val="auto"/>
        </w:rPr>
      </w:pPr>
    </w:p>
    <w:p>
      <w:pPr>
        <w:sectPr>
          <w:pgSz w:w="11900" w:h="16838" w:orient="portrait"/>
          <w:cols w:equalWidth="0" w:num="1">
            <w:col w:w="10920"/>
          </w:cols>
          <w:pgMar w:left="340" w:top="1440" w:right="639" w:bottom="6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0920"/>
          </w:cols>
          <w:pgMar w:left="340" w:top="1440" w:right="639" w:bottom="627" w:gutter="0" w:footer="0" w:header="0"/>
          <w:type w:val="continuous"/>
        </w:sectPr>
      </w:pPr>
    </w:p>
    <w:bookmarkStart w:id="103" w:name="page104"/>
    <w:bookmarkEnd w:id="10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Tax Items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5.4(a)</w:t>
            </w:r>
          </w:p>
        </w:tc>
      </w:tr>
      <w:tr>
        <w:trPr>
          <w:trHeight w:val="29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Terminated</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Transaction</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Third-Party Pledge Transferee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Trading Day</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Agreement</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7.9(a)</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Common Units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Professionals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Professionals Class A-1 Common Units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Professionals Class A-2 Common Units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Professionals Class A-3 Common Units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VoteCo Professionals LPA</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Withdrawing Partner</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14.2(b)(iii)</w:t>
            </w:r>
          </w:p>
        </w:tc>
      </w:tr>
      <w:tr>
        <w:trPr>
          <w:trHeight w:val="29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Working Partner</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0920"/>
          </w:cols>
          <w:pgMar w:left="340" w:top="1440" w:right="639" w:bottom="1440" w:gutter="0" w:footer="0" w:header="0"/>
        </w:sectPr>
      </w:pPr>
    </w:p>
    <w:bookmarkStart w:id="104" w:name="page105"/>
    <w:bookmarkEnd w:id="104"/>
    <w:p>
      <w:pPr>
        <w:ind w:left="3160"/>
        <w:spacing w:after="0"/>
        <w:rPr>
          <w:sz w:val="20"/>
          <w:szCs w:val="20"/>
          <w:color w:val="auto"/>
        </w:rPr>
      </w:pPr>
      <w:r>
        <w:rPr>
          <w:rFonts w:ascii="Times New Roman" w:cs="Times New Roman" w:eastAsia="Times New Roman" w:hAnsi="Times New Roman"/>
          <w:sz w:val="19"/>
          <w:szCs w:val="19"/>
          <w:b w:val="1"/>
          <w:bCs w:val="1"/>
          <w:color w:val="auto"/>
        </w:rPr>
        <w:t>THIRD AMENDED AND RESTATED AGREEMENT OF</w:t>
      </w:r>
    </w:p>
    <w:p>
      <w:pPr>
        <w:spacing w:after="0" w:line="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LIMITED PARTNERSHIP OF PWP HOLDINGS LP</w:t>
      </w:r>
    </w:p>
    <w:p>
      <w:pPr>
        <w:spacing w:after="0" w:line="204" w:lineRule="exact"/>
        <w:rPr>
          <w:sz w:val="20"/>
          <w:szCs w:val="20"/>
          <w:color w:val="auto"/>
        </w:rPr>
      </w:pPr>
    </w:p>
    <w:p>
      <w:pPr>
        <w:ind w:right="120" w:firstLine="636"/>
        <w:spacing w:after="0" w:line="267" w:lineRule="auto"/>
        <w:rPr>
          <w:sz w:val="20"/>
          <w:szCs w:val="20"/>
          <w:color w:val="auto"/>
        </w:rPr>
      </w:pPr>
      <w:r>
        <w:rPr>
          <w:rFonts w:ascii="Times New Roman" w:cs="Times New Roman" w:eastAsia="Times New Roman" w:hAnsi="Times New Roman"/>
          <w:sz w:val="19"/>
          <w:szCs w:val="19"/>
          <w:color w:val="auto"/>
        </w:rPr>
        <w:t>THIS THIRD AMENDED AND RESTATED AGREEMENT OF LIMITED PARTNERSHIP OF PWP HOLDINGS LP, dated as of February 5, 2025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is entered into by and among PWP GP LLC, a Delaware limited liability company (“</w:t>
      </w:r>
      <w:r>
        <w:rPr>
          <w:rFonts w:ascii="Times New Roman" w:cs="Times New Roman" w:eastAsia="Times New Roman" w:hAnsi="Times New Roman"/>
          <w:sz w:val="19"/>
          <w:szCs w:val="19"/>
          <w:u w:val="single" w:color="auto"/>
          <w:color w:val="auto"/>
        </w:rPr>
        <w:t>PWP GP</w:t>
      </w:r>
      <w:r>
        <w:rPr>
          <w:rFonts w:ascii="Times New Roman" w:cs="Times New Roman" w:eastAsia="Times New Roman" w:hAnsi="Times New Roman"/>
          <w:sz w:val="19"/>
          <w:szCs w:val="19"/>
          <w:color w:val="auto"/>
        </w:rPr>
        <w:t>”), Perella Weinberg Partners (f/k/a FinTech Acquisition Corp. IV), a Delaware corporation (the “</w:t>
      </w:r>
      <w:r>
        <w:rPr>
          <w:rFonts w:ascii="Times New Roman" w:cs="Times New Roman" w:eastAsia="Times New Roman" w:hAnsi="Times New Roman"/>
          <w:sz w:val="19"/>
          <w:szCs w:val="19"/>
          <w:u w:val="single" w:color="auto"/>
          <w:color w:val="auto"/>
        </w:rPr>
        <w:t>Special Limited Partner</w:t>
      </w:r>
      <w:r>
        <w:rPr>
          <w:rFonts w:ascii="Times New Roman" w:cs="Times New Roman" w:eastAsia="Times New Roman" w:hAnsi="Times New Roman"/>
          <w:sz w:val="19"/>
          <w:szCs w:val="19"/>
          <w:color w:val="auto"/>
        </w:rPr>
        <w:t xml:space="preserve">”), the other Limited Partners (as defined herein), and solely for purposes of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15.3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15.6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15.7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15.8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15.11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PWP LLC, a Delaware limited liability company (“</w:t>
      </w:r>
      <w:r>
        <w:rPr>
          <w:rFonts w:ascii="Times New Roman" w:cs="Times New Roman" w:eastAsia="Times New Roman" w:hAnsi="Times New Roman"/>
          <w:sz w:val="19"/>
          <w:szCs w:val="19"/>
          <w:u w:val="single" w:color="auto"/>
          <w:color w:val="auto"/>
        </w:rPr>
        <w:t>PWP LLC</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right="120" w:firstLine="636"/>
        <w:spacing w:after="0" w:line="267" w:lineRule="auto"/>
        <w:rPr>
          <w:sz w:val="20"/>
          <w:szCs w:val="20"/>
          <w:color w:val="auto"/>
        </w:rPr>
      </w:pPr>
      <w:r>
        <w:rPr>
          <w:rFonts w:ascii="Times New Roman" w:cs="Times New Roman" w:eastAsia="Times New Roman" w:hAnsi="Times New Roman"/>
          <w:sz w:val="19"/>
          <w:szCs w:val="19"/>
          <w:color w:val="auto"/>
        </w:rPr>
        <w:t>WHEREAS, PWP Holdings LP was formed as a limited partnership under the Delaware Revised Uniform Limited Partnership Act (as it may be amended from time to time, and any successor to such statute,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pursuant to (i) a Certificate of Limited Partnership filed in the Office of the Secretary of State of the State of Delaware on August 3, 2016 (the “</w:t>
      </w:r>
      <w:r>
        <w:rPr>
          <w:rFonts w:ascii="Times New Roman" w:cs="Times New Roman" w:eastAsia="Times New Roman" w:hAnsi="Times New Roman"/>
          <w:sz w:val="19"/>
          <w:szCs w:val="19"/>
          <w:u w:val="single" w:color="auto"/>
          <w:color w:val="auto"/>
        </w:rPr>
        <w:t>Formation Date</w:t>
      </w:r>
      <w:r>
        <w:rPr>
          <w:rFonts w:ascii="Times New Roman" w:cs="Times New Roman" w:eastAsia="Times New Roman" w:hAnsi="Times New Roman"/>
          <w:sz w:val="19"/>
          <w:szCs w:val="19"/>
          <w:color w:val="auto"/>
        </w:rPr>
        <w:t>”), and (ii) an Agreement of Limited Partnership of PWP Holdings LP, dated as of August 3, 2016 (the “</w:t>
      </w:r>
      <w:r>
        <w:rPr>
          <w:rFonts w:ascii="Times New Roman" w:cs="Times New Roman" w:eastAsia="Times New Roman" w:hAnsi="Times New Roman"/>
          <w:sz w:val="19"/>
          <w:szCs w:val="19"/>
          <w:u w:val="single" w:color="auto"/>
          <w:color w:val="auto"/>
        </w:rPr>
        <w:t>Original Agreement</w:t>
      </w:r>
      <w:r>
        <w:rPr>
          <w:rFonts w:ascii="Times New Roman" w:cs="Times New Roman" w:eastAsia="Times New Roman" w:hAnsi="Times New Roman"/>
          <w:sz w:val="19"/>
          <w:szCs w:val="19"/>
          <w:color w:val="auto"/>
        </w:rPr>
        <w:t>”), by and between Perella Weinberg Partners LLC, a Delaware limited liability company (the “</w:t>
      </w:r>
      <w:r>
        <w:rPr>
          <w:rFonts w:ascii="Times New Roman" w:cs="Times New Roman" w:eastAsia="Times New Roman" w:hAnsi="Times New Roman"/>
          <w:sz w:val="19"/>
          <w:szCs w:val="19"/>
          <w:u w:val="single" w:color="auto"/>
          <w:color w:val="auto"/>
        </w:rPr>
        <w:t>Predecessor General Partner</w:t>
      </w:r>
      <w:r>
        <w:rPr>
          <w:rFonts w:ascii="Times New Roman" w:cs="Times New Roman" w:eastAsia="Times New Roman" w:hAnsi="Times New Roman"/>
          <w:sz w:val="19"/>
          <w:szCs w:val="19"/>
          <w:color w:val="auto"/>
        </w:rPr>
        <w:t>”), and NoCo A L.P.;</w:t>
      </w:r>
    </w:p>
    <w:p>
      <w:pPr>
        <w:spacing w:after="0" w:line="163" w:lineRule="exact"/>
        <w:rPr>
          <w:sz w:val="20"/>
          <w:szCs w:val="20"/>
          <w:color w:val="auto"/>
        </w:rPr>
      </w:pPr>
    </w:p>
    <w:p>
      <w:pPr>
        <w:ind w:right="60" w:firstLine="636"/>
        <w:spacing w:after="0" w:line="269" w:lineRule="auto"/>
        <w:rPr>
          <w:sz w:val="20"/>
          <w:szCs w:val="20"/>
          <w:color w:val="auto"/>
        </w:rPr>
      </w:pPr>
      <w:r>
        <w:rPr>
          <w:rFonts w:ascii="Times New Roman" w:cs="Times New Roman" w:eastAsia="Times New Roman" w:hAnsi="Times New Roman"/>
          <w:sz w:val="19"/>
          <w:szCs w:val="19"/>
          <w:color w:val="auto"/>
        </w:rPr>
        <w:t>WHEREAS, the Original Agreement was amended and restated pursuant to an Amended and Restated Agreement of Limited Partnership of PWP Holdings LP, dated as of November 30, 2016, entered into by the Predecessor General Partner and the other parties thereto, which was further amended pursuant to the First Amendment of the Amended and Restated Agreement of Limited Partnership of PWP Holdings LP, dated as of October 1, 2018;</w:t>
      </w:r>
    </w:p>
    <w:p>
      <w:pPr>
        <w:spacing w:after="0" w:line="173" w:lineRule="exact"/>
        <w:rPr>
          <w:sz w:val="20"/>
          <w:szCs w:val="20"/>
          <w:color w:val="auto"/>
        </w:rPr>
      </w:pPr>
    </w:p>
    <w:p>
      <w:pPr>
        <w:ind w:right="20" w:firstLine="636"/>
        <w:spacing w:after="0" w:line="261" w:lineRule="auto"/>
        <w:rPr>
          <w:sz w:val="20"/>
          <w:szCs w:val="20"/>
          <w:color w:val="auto"/>
        </w:rPr>
      </w:pPr>
      <w:r>
        <w:rPr>
          <w:rFonts w:ascii="Times New Roman" w:cs="Times New Roman" w:eastAsia="Times New Roman" w:hAnsi="Times New Roman"/>
          <w:sz w:val="19"/>
          <w:szCs w:val="19"/>
          <w:color w:val="auto"/>
        </w:rPr>
        <w:t>WHEREAS, on February 28, 2019 (the “</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(i) PWP Holdings LP was converted to PWP Holdings LLC, a Delaware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Section 18-214 of the Delaware Limited Liability Company Act (as amended from time to time, the “</w:t>
      </w:r>
      <w:r>
        <w:rPr>
          <w:rFonts w:ascii="Times New Roman" w:cs="Times New Roman" w:eastAsia="Times New Roman" w:hAnsi="Times New Roman"/>
          <w:sz w:val="19"/>
          <w:szCs w:val="19"/>
          <w:u w:val="single" w:color="auto"/>
          <w:color w:val="auto"/>
        </w:rPr>
        <w:t>LLC Act</w:t>
      </w:r>
      <w:r>
        <w:rPr>
          <w:rFonts w:ascii="Times New Roman" w:cs="Times New Roman" w:eastAsia="Times New Roman" w:hAnsi="Times New Roman"/>
          <w:sz w:val="19"/>
          <w:szCs w:val="19"/>
          <w:color w:val="auto"/>
        </w:rPr>
        <w:t>”), (ii) the Company was divided pursuant to Section 18-217 of the LLC Act (the “</w:t>
      </w:r>
      <w:r>
        <w:rPr>
          <w:rFonts w:ascii="Times New Roman" w:cs="Times New Roman" w:eastAsia="Times New Roman" w:hAnsi="Times New Roman"/>
          <w:sz w:val="19"/>
          <w:szCs w:val="19"/>
          <w:u w:val="single" w:color="auto"/>
          <w:color w:val="auto"/>
        </w:rPr>
        <w:t>Holdings Division</w:t>
      </w:r>
      <w:r>
        <w:rPr>
          <w:rFonts w:ascii="Times New Roman" w:cs="Times New Roman" w:eastAsia="Times New Roman" w:hAnsi="Times New Roman"/>
          <w:sz w:val="19"/>
          <w:szCs w:val="19"/>
          <w:color w:val="auto"/>
        </w:rPr>
        <w:t>”), with the Company surviving the Holdings Division and PWP GP becoming its sole managing member, (iii) the Company was converted to PWP Holdings LP, a Delaware limited partnership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pursuant to Section 17-217 of the Act (the “</w:t>
      </w: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 with PWP GP as its sole general partner, and (iv) in the Conversion, the Agreement of Limited Partnership of PWP Holdings LP, dated as of the Separation Date (as amended, the “</w:t>
      </w:r>
      <w:r>
        <w:rPr>
          <w:rFonts w:ascii="Times New Roman" w:cs="Times New Roman" w:eastAsia="Times New Roman" w:hAnsi="Times New Roman"/>
          <w:sz w:val="19"/>
          <w:szCs w:val="19"/>
          <w:u w:val="single" w:color="auto"/>
          <w:color w:val="auto"/>
        </w:rPr>
        <w:t>Previous LPA</w:t>
      </w:r>
      <w:r>
        <w:rPr>
          <w:rFonts w:ascii="Times New Roman" w:cs="Times New Roman" w:eastAsia="Times New Roman" w:hAnsi="Times New Roman"/>
          <w:sz w:val="19"/>
          <w:szCs w:val="19"/>
          <w:color w:val="auto"/>
        </w:rPr>
        <w:t>”), was adopted as the agreement of limited partnership of the Partnership;</w:t>
      </w:r>
    </w:p>
    <w:p>
      <w:pPr>
        <w:spacing w:after="0" w:line="179" w:lineRule="exact"/>
        <w:rPr>
          <w:sz w:val="20"/>
          <w:szCs w:val="20"/>
          <w:color w:val="auto"/>
        </w:rPr>
      </w:pPr>
    </w:p>
    <w:p>
      <w:pPr>
        <w:ind w:right="140" w:firstLine="636"/>
        <w:spacing w:after="0" w:line="264" w:lineRule="auto"/>
        <w:rPr>
          <w:sz w:val="20"/>
          <w:szCs w:val="20"/>
          <w:color w:val="auto"/>
        </w:rPr>
      </w:pPr>
      <w:r>
        <w:rPr>
          <w:rFonts w:ascii="Times New Roman" w:cs="Times New Roman" w:eastAsia="Times New Roman" w:hAnsi="Times New Roman"/>
          <w:sz w:val="19"/>
          <w:szCs w:val="19"/>
          <w:color w:val="auto"/>
        </w:rPr>
        <w:t>WHEREAS, on December 29, 2020, the Special Limited Partner, PWP Professional Partners LP, a Delaware limited partnership (such entity, prior to the Professionals Division (as defined herein), “</w:t>
      </w:r>
      <w:r>
        <w:rPr>
          <w:rFonts w:ascii="Times New Roman" w:cs="Times New Roman" w:eastAsia="Times New Roman" w:hAnsi="Times New Roman"/>
          <w:sz w:val="19"/>
          <w:szCs w:val="19"/>
          <w:u w:val="single" w:color="auto"/>
          <w:color w:val="auto"/>
        </w:rPr>
        <w:t>Professionals</w:t>
      </w:r>
      <w:r>
        <w:rPr>
          <w:rFonts w:ascii="Times New Roman" w:cs="Times New Roman" w:eastAsia="Times New Roman" w:hAnsi="Times New Roman"/>
          <w:sz w:val="19"/>
          <w:szCs w:val="19"/>
          <w:color w:val="auto"/>
        </w:rPr>
        <w:t>” and, from and after the Professionals Division, “</w:t>
      </w:r>
      <w:r>
        <w:rPr>
          <w:rFonts w:ascii="Times New Roman" w:cs="Times New Roman" w:eastAsia="Times New Roman" w:hAnsi="Times New Roman"/>
          <w:sz w:val="19"/>
          <w:szCs w:val="19"/>
          <w:u w:val="single" w:color="auto"/>
          <w:color w:val="auto"/>
        </w:rPr>
        <w:t>AmCo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Professionals</w:t>
      </w:r>
      <w:r>
        <w:rPr>
          <w:rFonts w:ascii="Times New Roman" w:cs="Times New Roman" w:eastAsia="Times New Roman" w:hAnsi="Times New Roman"/>
          <w:sz w:val="19"/>
          <w:szCs w:val="19"/>
          <w:color w:val="auto"/>
        </w:rPr>
        <w:t>”), the Partnership, PWP LLC and the other parties thereto entered into that certain Business Combination Agreement (the “</w:t>
      </w:r>
      <w:r>
        <w:rPr>
          <w:rFonts w:ascii="Times New Roman" w:cs="Times New Roman" w:eastAsia="Times New Roman" w:hAnsi="Times New Roman"/>
          <w:sz w:val="19"/>
          <w:szCs w:val="19"/>
          <w:u w:val="single" w:color="auto"/>
          <w:color w:val="auto"/>
        </w:rPr>
        <w:t>Transaction Agreement</w:t>
      </w:r>
      <w:r>
        <w:rPr>
          <w:rFonts w:ascii="Times New Roman" w:cs="Times New Roman" w:eastAsia="Times New Roman" w:hAnsi="Times New Roman"/>
          <w:sz w:val="19"/>
          <w:szCs w:val="19"/>
          <w:color w:val="auto"/>
        </w:rPr>
        <w:t>” and the transactions contemplated thereby, the “</w:t>
      </w:r>
      <w:r>
        <w:rPr>
          <w:rFonts w:ascii="Times New Roman" w:cs="Times New Roman" w:eastAsia="Times New Roman" w:hAnsi="Times New Roman"/>
          <w:sz w:val="19"/>
          <w:szCs w:val="19"/>
          <w:u w:val="single" w:color="auto"/>
          <w:color w:val="auto"/>
        </w:rPr>
        <w:t>De-SPAC Transaction</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WHEREAS, immediately prior to the closing of the De-SPAC Transaction, on the Reference Date (as defined herein), the Previous LPA was amended and restated in its entirety, and the Amended and Restated Limited Partnership Agreement of PWP Holdings LP (the “</w:t>
      </w:r>
      <w:r>
        <w:rPr>
          <w:rFonts w:ascii="Times New Roman" w:cs="Times New Roman" w:eastAsia="Times New Roman" w:hAnsi="Times New Roman"/>
          <w:sz w:val="19"/>
          <w:szCs w:val="19"/>
          <w:u w:val="single" w:color="auto"/>
          <w:color w:val="auto"/>
        </w:rPr>
        <w:t>First A&amp;R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Partnership LPA</w:t>
      </w:r>
      <w:r>
        <w:rPr>
          <w:rFonts w:ascii="Times New Roman" w:cs="Times New Roman" w:eastAsia="Times New Roman" w:hAnsi="Times New Roman"/>
          <w:sz w:val="19"/>
          <w:szCs w:val="19"/>
          <w:color w:val="auto"/>
        </w:rPr>
        <w:t>”) was adopted as the agreement of limited partnership of the Partnership;</w:t>
      </w:r>
    </w:p>
    <w:p>
      <w:pPr>
        <w:spacing w:after="0" w:line="169" w:lineRule="exact"/>
        <w:rPr>
          <w:sz w:val="20"/>
          <w:szCs w:val="20"/>
          <w:color w:val="auto"/>
        </w:rPr>
      </w:pPr>
    </w:p>
    <w:p>
      <w:pPr>
        <w:ind w:right="240" w:firstLine="636"/>
        <w:spacing w:after="0" w:line="285" w:lineRule="auto"/>
        <w:rPr>
          <w:sz w:val="20"/>
          <w:szCs w:val="20"/>
          <w:color w:val="auto"/>
        </w:rPr>
      </w:pPr>
      <w:r>
        <w:rPr>
          <w:rFonts w:ascii="Times New Roman" w:cs="Times New Roman" w:eastAsia="Times New Roman" w:hAnsi="Times New Roman"/>
          <w:sz w:val="19"/>
          <w:szCs w:val="19"/>
          <w:color w:val="auto"/>
        </w:rPr>
        <w:t>WHEREAS, in connection with the consummation of the transactions contemplated by the Transaction Agreement, on the Reference Date, (a) New Professionals LLC, a Delaware limited liability</w:t>
      </w:r>
    </w:p>
    <w:p>
      <w:pPr>
        <w:sectPr>
          <w:pgSz w:w="11900" w:h="16838" w:orient="portrait"/>
          <w:cols w:equalWidth="0" w:num="1">
            <w:col w:w="11220"/>
          </w:cols>
          <w:pgMar w:left="320" w:top="1385" w:right="359" w:bottom="1440" w:gutter="0" w:footer="0" w:header="0"/>
        </w:sectPr>
      </w:pPr>
    </w:p>
    <w:bookmarkStart w:id="105" w:name="page106"/>
    <w:bookmarkEnd w:id="105"/>
    <w:p>
      <w:pPr>
        <w:ind w:right="100"/>
        <w:spacing w:after="0" w:line="259" w:lineRule="auto"/>
        <w:rPr>
          <w:sz w:val="20"/>
          <w:szCs w:val="20"/>
          <w:color w:val="auto"/>
        </w:rPr>
      </w:pPr>
      <w:r>
        <w:rPr>
          <w:rFonts w:ascii="Times New Roman" w:cs="Times New Roman" w:eastAsia="Times New Roman" w:hAnsi="Times New Roman"/>
          <w:sz w:val="19"/>
          <w:szCs w:val="19"/>
          <w:color w:val="auto"/>
        </w:rPr>
        <w:t>company, was merged with and into Professionals in accordance with section 18-209 of the LLC Act and section 17-211 of the Act with Professionals surviving such merger (the “</w:t>
      </w:r>
      <w:r>
        <w:rPr>
          <w:rFonts w:ascii="Times New Roman" w:cs="Times New Roman" w:eastAsia="Times New Roman" w:hAnsi="Times New Roman"/>
          <w:sz w:val="19"/>
          <w:szCs w:val="19"/>
          <w:u w:val="single" w:color="auto"/>
          <w:color w:val="auto"/>
        </w:rPr>
        <w:t>New Professionals Merger</w:t>
      </w:r>
      <w:r>
        <w:rPr>
          <w:rFonts w:ascii="Times New Roman" w:cs="Times New Roman" w:eastAsia="Times New Roman" w:hAnsi="Times New Roman"/>
          <w:sz w:val="19"/>
          <w:szCs w:val="19"/>
          <w:color w:val="auto"/>
        </w:rPr>
        <w:t>”), (b) in the New Professionals Merger, (i) the Fourth Amended and Restated Agreement of Limited Partnership of Professionals, dated as of the Reference Date, entered into by PWP LLC, as general partner, and the other parties thereto (as amended, restated, modified or supplemented from time to time, the “</w:t>
      </w:r>
      <w:r>
        <w:rPr>
          <w:rFonts w:ascii="Times New Roman" w:cs="Times New Roman" w:eastAsia="Times New Roman" w:hAnsi="Times New Roman"/>
          <w:sz w:val="19"/>
          <w:szCs w:val="19"/>
          <w:u w:val="single" w:color="auto"/>
          <w:color w:val="auto"/>
        </w:rPr>
        <w:t>Fourth A&amp;R Professionals LPA</w:t>
      </w:r>
      <w:r>
        <w:rPr>
          <w:rFonts w:ascii="Times New Roman" w:cs="Times New Roman" w:eastAsia="Times New Roman" w:hAnsi="Times New Roman"/>
          <w:sz w:val="19"/>
          <w:szCs w:val="19"/>
          <w:color w:val="auto"/>
        </w:rPr>
        <w:t>”), to which the Partnership was a party for the limited purposes set forth therein, was adopted as the agreement of limited partnership of Professionals, and</w:t>
      </w:r>
    </w:p>
    <w:p>
      <w:pPr>
        <w:spacing w:after="0" w:line="2" w:lineRule="exact"/>
        <w:rPr>
          <w:sz w:val="20"/>
          <w:szCs w:val="20"/>
          <w:color w:val="auto"/>
        </w:rPr>
      </w:pPr>
    </w:p>
    <w:p>
      <w:pPr>
        <w:ind w:right="120" w:firstLine="6"/>
        <w:spacing w:after="0" w:line="258" w:lineRule="auto"/>
        <w:tabs>
          <w:tab w:leader="none" w:pos="286"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interests of Professionals were recapitalized into partnership interests represented by Professionals Class A Common Units and Professionals Class B Common Units (each as defined in the First A&amp;R Partnership LPA) and (c) following the New Professionals Merger and the effectiveness of the First A&amp;R Partnership LPA, (i) the Partnership (A) purchased certain Class B Shares (as defined herein) from the Special Limited Partner and (B) distributed such Class B Shares to the other Limited Partners, with all Class B-1 Shares (as defined herein) being distributed to Professionals and all Class B-2 Shares (as defined herein) distributed to the Founding Partners (as defined herein), (ii) Professionals contributed all of the equity interests of PWP GP, to the Special Limited Partner and (iii) the Partnership (A) redeemed Partnership Class A Common Units (as defined in the First A&amp;R Partnership LPA) held by certain Founding Partners upon the terms and subject to the conditions set forth in the Founding Partner Elections (as defined in the First A&amp;R Partnership LPA), and (B) redeemed certain Partnership Class A Common Units (as defined in the First A&amp;R Partnership LPA) held by Professionals Partners (as defined in the First A&amp;R Partnership LPA) received in connection with the redemption by Professionals of Professionals Partners upon the terms and subject to the conditions set forth in the Professionals Partner Elections (as defined in the First A&amp;R Partnership LPA);</w:t>
      </w:r>
    </w:p>
    <w:p>
      <w:pPr>
        <w:spacing w:after="0" w:line="184" w:lineRule="exact"/>
        <w:rPr>
          <w:sz w:val="20"/>
          <w:szCs w:val="20"/>
          <w:color w:val="auto"/>
        </w:rPr>
      </w:pPr>
    </w:p>
    <w:p>
      <w:pPr>
        <w:ind w:right="120" w:firstLine="636"/>
        <w:spacing w:after="0" w:line="273" w:lineRule="auto"/>
        <w:rPr>
          <w:sz w:val="20"/>
          <w:szCs w:val="20"/>
          <w:color w:val="auto"/>
        </w:rPr>
      </w:pPr>
      <w:r>
        <w:rPr>
          <w:rFonts w:ascii="Times New Roman" w:cs="Times New Roman" w:eastAsia="Times New Roman" w:hAnsi="Times New Roman"/>
          <w:sz w:val="19"/>
          <w:szCs w:val="19"/>
          <w:color w:val="auto"/>
        </w:rPr>
        <w:t>WHEREAS, on March 14, 2022, the Fourth A&amp;R Professionals LPA was amended and restated pursuant to the Fifth Amended and Restated Agreement of Limited Partnership of Professionals, entered into by PWP LLC, as general partner, and the other parties thereto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A&amp;R Professionals LPA</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right="100" w:firstLine="636"/>
        <w:spacing w:after="0" w:line="263" w:lineRule="auto"/>
        <w:rPr>
          <w:sz w:val="20"/>
          <w:szCs w:val="20"/>
          <w:color w:val="auto"/>
        </w:rPr>
      </w:pPr>
      <w:r>
        <w:rPr>
          <w:rFonts w:ascii="Times New Roman" w:cs="Times New Roman" w:eastAsia="Times New Roman" w:hAnsi="Times New Roman"/>
          <w:sz w:val="19"/>
          <w:szCs w:val="19"/>
          <w:color w:val="auto"/>
        </w:rPr>
        <w:t>WHEREAS, on December 31, 2023, (a) in accordance with section 17-220 of the Act, Professionals was divided into AmCo Professionals, PWP AdCo Professionals LP, a Delaware limited partnership (“</w:t>
      </w:r>
      <w:r>
        <w:rPr>
          <w:rFonts w:ascii="Times New Roman" w:cs="Times New Roman" w:eastAsia="Times New Roman" w:hAnsi="Times New Roman"/>
          <w:sz w:val="19"/>
          <w:szCs w:val="19"/>
          <w:u w:val="single" w:color="auto"/>
          <w:color w:val="auto"/>
        </w:rPr>
        <w:t>AdCo Professionals</w:t>
      </w:r>
      <w:r>
        <w:rPr>
          <w:rFonts w:ascii="Times New Roman" w:cs="Times New Roman" w:eastAsia="Times New Roman" w:hAnsi="Times New Roman"/>
          <w:sz w:val="19"/>
          <w:szCs w:val="19"/>
          <w:color w:val="auto"/>
        </w:rPr>
        <w:t>”), and PWP VoteCo Professionals LP, a Delaware limited partnership (“</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 pursuant to that certain Plan of Division, dated as of December 31, 2023, with AmCo Professionals continuing as the “surviving partnership” under the Act (the “</w:t>
      </w:r>
      <w:r>
        <w:rPr>
          <w:rFonts w:ascii="Times New Roman" w:cs="Times New Roman" w:eastAsia="Times New Roman" w:hAnsi="Times New Roman"/>
          <w:sz w:val="19"/>
          <w:szCs w:val="19"/>
          <w:u w:val="single" w:color="auto"/>
          <w:color w:val="auto"/>
        </w:rPr>
        <w:t>Professionals Division</w:t>
      </w:r>
      <w:r>
        <w:rPr>
          <w:rFonts w:ascii="Times New Roman" w:cs="Times New Roman" w:eastAsia="Times New Roman" w:hAnsi="Times New Roman"/>
          <w:sz w:val="19"/>
          <w:szCs w:val="19"/>
          <w:color w:val="auto"/>
        </w:rPr>
        <w:t>”), and (b) promptly thereafter, PWP LLC, in its capacity as general partner of AmCo Professionals, caused a Certificate of Amendment to be filed with the Delaware Secretary of State, pursuant to which AmCo Professionals’ name was changed to “PWP AmCo Professionals LP”;</w:t>
      </w:r>
    </w:p>
    <w:p>
      <w:pPr>
        <w:spacing w:after="0" w:line="180" w:lineRule="exact"/>
        <w:rPr>
          <w:sz w:val="20"/>
          <w:szCs w:val="20"/>
          <w:color w:val="auto"/>
        </w:rPr>
      </w:pPr>
    </w:p>
    <w:p>
      <w:pPr>
        <w:ind w:firstLine="636"/>
        <w:spacing w:after="0" w:line="259" w:lineRule="auto"/>
        <w:rPr>
          <w:sz w:val="20"/>
          <w:szCs w:val="20"/>
          <w:color w:val="auto"/>
        </w:rPr>
      </w:pPr>
      <w:r>
        <w:rPr>
          <w:rFonts w:ascii="Times New Roman" w:cs="Times New Roman" w:eastAsia="Times New Roman" w:hAnsi="Times New Roman"/>
          <w:sz w:val="19"/>
          <w:szCs w:val="19"/>
          <w:color w:val="auto"/>
        </w:rPr>
        <w:t>WHEREAS, in connection with the consummation of the Professionals Division, (a) AdCo Professionals was allocated, among other things, all Partnership Class A Common Units (as defined in the First A&amp;R Partnership LPA) and the AIG Tax Liability Insurance Policy (with policy number 39333178 for the benefit of Professionals), (b) AmCo Professionals was allocated all interests in PWP Capital Holdings LP, a Delaware limited partnership (“</w:t>
      </w:r>
      <w:r>
        <w:rPr>
          <w:rFonts w:ascii="Times New Roman" w:cs="Times New Roman" w:eastAsia="Times New Roman" w:hAnsi="Times New Roman"/>
          <w:sz w:val="19"/>
          <w:szCs w:val="19"/>
          <w:u w:val="single" w:color="auto"/>
          <w:color w:val="auto"/>
        </w:rPr>
        <w:t>Capital Holdings</w:t>
      </w:r>
      <w:r>
        <w:rPr>
          <w:rFonts w:ascii="Times New Roman" w:cs="Times New Roman" w:eastAsia="Times New Roman" w:hAnsi="Times New Roman"/>
          <w:sz w:val="19"/>
          <w:szCs w:val="19"/>
          <w:color w:val="auto"/>
        </w:rPr>
        <w:t>”), and PWP Capital Professionals LP, a Delaware limited partnership, (c) VoteCo Professionals was allocated all Class B Shares and any rights under the Stockholders Agreement, dated as of June 24, 2021, by and among the Special Limited Partner and the other parties thereto (the “</w:t>
      </w:r>
      <w:r>
        <w:rPr>
          <w:rFonts w:ascii="Times New Roman" w:cs="Times New Roman" w:eastAsia="Times New Roman" w:hAnsi="Times New Roman"/>
          <w:sz w:val="19"/>
          <w:szCs w:val="19"/>
          <w:u w:val="single" w:color="auto"/>
          <w:color w:val="auto"/>
        </w:rPr>
        <w:t>Stockholders Agreement</w:t>
      </w:r>
      <w:r>
        <w:rPr>
          <w:rFonts w:ascii="Times New Roman" w:cs="Times New Roman" w:eastAsia="Times New Roman" w:hAnsi="Times New Roman"/>
          <w:sz w:val="19"/>
          <w:szCs w:val="19"/>
          <w:color w:val="auto"/>
        </w:rPr>
        <w:t>”), (d) the Fifth A&amp;R Professionals LPA was amended and restated pursuant to, and replaced in its entirety by, the Sixth Amended and Restated Agreement of Limited Partnership of AmCo Professionals, dated as of December 31, 2023 (as amended, restated, modified or supplemented from time to time, (the “</w:t>
      </w:r>
      <w:r>
        <w:rPr>
          <w:rFonts w:ascii="Times New Roman" w:cs="Times New Roman" w:eastAsia="Times New Roman" w:hAnsi="Times New Roman"/>
          <w:sz w:val="19"/>
          <w:szCs w:val="19"/>
          <w:u w:val="single" w:color="auto"/>
          <w:color w:val="auto"/>
        </w:rPr>
        <w:t>AmCo Professionals LPA</w:t>
      </w:r>
      <w:r>
        <w:rPr>
          <w:rFonts w:ascii="Times New Roman" w:cs="Times New Roman" w:eastAsia="Times New Roman" w:hAnsi="Times New Roman"/>
          <w:sz w:val="19"/>
          <w:szCs w:val="19"/>
          <w:color w:val="auto"/>
        </w:rPr>
        <w:t>”), (e) the Agreement of Limited Partnership of AdCo Professionals, dated as of December 31, 2023 (the “</w:t>
      </w:r>
      <w:r>
        <w:rPr>
          <w:rFonts w:ascii="Times New Roman" w:cs="Times New Roman" w:eastAsia="Times New Roman" w:hAnsi="Times New Roman"/>
          <w:sz w:val="19"/>
          <w:szCs w:val="19"/>
          <w:u w:val="single" w:color="auto"/>
          <w:color w:val="auto"/>
        </w:rPr>
        <w:t>AdCo Professionals LPA</w:t>
      </w:r>
      <w:r>
        <w:rPr>
          <w:rFonts w:ascii="Times New Roman" w:cs="Times New Roman" w:eastAsia="Times New Roman" w:hAnsi="Times New Roman"/>
          <w:sz w:val="19"/>
          <w:szCs w:val="19"/>
          <w:color w:val="auto"/>
        </w:rPr>
        <w:t>”), was adopted by AdCo Professionals, (f) the Agreement of Limited Partnership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9" w:right="339" w:bottom="1440" w:gutter="0" w:footer="0" w:header="0"/>
        </w:sectPr>
      </w:pPr>
    </w:p>
    <w:bookmarkStart w:id="106" w:name="page107"/>
    <w:bookmarkEnd w:id="106"/>
    <w:p>
      <w:pPr>
        <w:spacing w:after="0" w:line="259" w:lineRule="auto"/>
        <w:rPr>
          <w:sz w:val="20"/>
          <w:szCs w:val="20"/>
          <w:color w:val="auto"/>
        </w:rPr>
      </w:pPr>
      <w:r>
        <w:rPr>
          <w:rFonts w:ascii="Times New Roman" w:cs="Times New Roman" w:eastAsia="Times New Roman" w:hAnsi="Times New Roman"/>
          <w:sz w:val="19"/>
          <w:szCs w:val="19"/>
          <w:color w:val="auto"/>
        </w:rPr>
        <w:t>VoteCo Professionals, dated as of December 31, 2023 (the “</w:t>
      </w:r>
      <w:r>
        <w:rPr>
          <w:rFonts w:ascii="Times New Roman" w:cs="Times New Roman" w:eastAsia="Times New Roman" w:hAnsi="Times New Roman"/>
          <w:sz w:val="19"/>
          <w:szCs w:val="19"/>
          <w:u w:val="single" w:color="auto"/>
          <w:color w:val="auto"/>
        </w:rPr>
        <w:t>VoteCo Professionals LPA</w:t>
      </w:r>
      <w:r>
        <w:rPr>
          <w:rFonts w:ascii="Times New Roman" w:cs="Times New Roman" w:eastAsia="Times New Roman" w:hAnsi="Times New Roman"/>
          <w:sz w:val="19"/>
          <w:szCs w:val="19"/>
          <w:color w:val="auto"/>
        </w:rPr>
        <w:t>”), was adopted by VoteCo Professionals and (g)(i) each Professionals Class A-1 Common Unit (as defined in the First A&amp;R Partnership LPA) was converted into one VoteCo Professionals Class A-1 Common Unit (as defined herein) and one AdCo Professionals Class A-1 Common Unit (as defined herein), (ii) each Professionals Class A-2 Common Unit (as defined in the First A&amp;R Partnership LPA) was converted into one VoteCo Professionals Class A-2 Common Unit (as defined herein) and one AdCo Professionals Class A-2 Common Unit (as defined herein), (iii) each Professionals Class A-3 Common Unit (as defined in the First A&amp;R Partnership LPA) was converted into one VoteCo Professionals Class A-3 Common Unit (as defined herein) and one AdCo Professionals Class A-3 Common Unit (as defined herein), (iv) each Professionals Class B-1 Common Unit (as defined in the AdCo Professionals LPA) was converted into one AmCo Class B-1 Common Unit (as defined in the AdCo Professionals LPA) and (v) each Professionals Class B-2 Common Unit (as defined in the AdCo Professionals LPA) was converted into one AmCo Class B-2 Common Unit (as defined in the AdCo Professionals LPA);</w:t>
      </w:r>
    </w:p>
    <w:p>
      <w:pPr>
        <w:spacing w:after="0" w:line="186" w:lineRule="exact"/>
        <w:rPr>
          <w:sz w:val="20"/>
          <w:szCs w:val="20"/>
          <w:color w:val="auto"/>
        </w:rPr>
      </w:pPr>
    </w:p>
    <w:p>
      <w:pPr>
        <w:ind w:right="260" w:firstLine="636"/>
        <w:spacing w:after="0" w:line="273" w:lineRule="auto"/>
        <w:rPr>
          <w:sz w:val="20"/>
          <w:szCs w:val="20"/>
          <w:color w:val="auto"/>
        </w:rPr>
      </w:pPr>
      <w:r>
        <w:rPr>
          <w:rFonts w:ascii="Times New Roman" w:cs="Times New Roman" w:eastAsia="Times New Roman" w:hAnsi="Times New Roman"/>
          <w:sz w:val="19"/>
          <w:szCs w:val="19"/>
          <w:color w:val="auto"/>
        </w:rPr>
        <w:t>WHEREAS, promptly following the Professionals Division, (i) AdCo Professionals was admitted as a Substituted Limited Partner of the Partnership pursuant to that certain Joinder to the First A&amp;R Partnership LPA, dated as of December 31, 2023, and (ii) the First A&amp;R Partnership LPA was amended by that certain First Amendment to the First A&amp;R Partnership LPA, dated as of December 31, 2023;</w:t>
      </w:r>
    </w:p>
    <w:p>
      <w:pPr>
        <w:spacing w:after="0" w:line="169" w:lineRule="exact"/>
        <w:rPr>
          <w:sz w:val="20"/>
          <w:szCs w:val="20"/>
          <w:color w:val="auto"/>
        </w:rPr>
      </w:pPr>
    </w:p>
    <w:p>
      <w:pPr>
        <w:ind w:right="260" w:firstLine="636"/>
        <w:spacing w:after="0" w:line="273" w:lineRule="auto"/>
        <w:rPr>
          <w:sz w:val="20"/>
          <w:szCs w:val="20"/>
          <w:color w:val="auto"/>
        </w:rPr>
      </w:pPr>
      <w:r>
        <w:rPr>
          <w:rFonts w:ascii="Times New Roman" w:cs="Times New Roman" w:eastAsia="Times New Roman" w:hAnsi="Times New Roman"/>
          <w:sz w:val="19"/>
          <w:szCs w:val="19"/>
          <w:color w:val="auto"/>
        </w:rPr>
        <w:t>WHEREAS, on April 1, 2024, AdCo Professionals was merged with and into the Partnership, with the Partnership surviving such merger (the “</w:t>
      </w:r>
      <w:r>
        <w:rPr>
          <w:rFonts w:ascii="Times New Roman" w:cs="Times New Roman" w:eastAsia="Times New Roman" w:hAnsi="Times New Roman"/>
          <w:sz w:val="19"/>
          <w:szCs w:val="19"/>
          <w:u w:val="single" w:color="auto"/>
          <w:color w:val="auto"/>
        </w:rPr>
        <w:t>Merger</w:t>
      </w:r>
      <w:r>
        <w:rPr>
          <w:rFonts w:ascii="Times New Roman" w:cs="Times New Roman" w:eastAsia="Times New Roman" w:hAnsi="Times New Roman"/>
          <w:sz w:val="19"/>
          <w:szCs w:val="19"/>
          <w:color w:val="auto"/>
        </w:rPr>
        <w:t>”), pursuant to that certain Agreement and Plan of Merger, dated as of April 1, 2024, by and between the Partnership and AdCo Professionals;</w:t>
      </w:r>
    </w:p>
    <w:p>
      <w:pPr>
        <w:spacing w:after="0" w:line="169" w:lineRule="exact"/>
        <w:rPr>
          <w:sz w:val="20"/>
          <w:szCs w:val="20"/>
          <w:color w:val="auto"/>
        </w:rPr>
      </w:pPr>
    </w:p>
    <w:p>
      <w:pPr>
        <w:ind w:right="20" w:firstLine="636"/>
        <w:spacing w:after="0" w:line="264" w:lineRule="auto"/>
        <w:rPr>
          <w:sz w:val="20"/>
          <w:szCs w:val="20"/>
          <w:color w:val="auto"/>
        </w:rPr>
      </w:pPr>
      <w:r>
        <w:rPr>
          <w:rFonts w:ascii="Times New Roman" w:cs="Times New Roman" w:eastAsia="Times New Roman" w:hAnsi="Times New Roman"/>
          <w:sz w:val="19"/>
          <w:szCs w:val="19"/>
          <w:color w:val="auto"/>
        </w:rPr>
        <w:t>WHEREAS, in connection with the consummation of the Merger, (a) each AdCo Professionals Class A-1 Common Unit was converted into one Partnership Class A-1 Common Unit (as defined herein), (b) each AdCo Professionals Class A-2 Common Unit was converted into one Partnership Class A-2 Common Unit (as defined herein), (c) each AdCo Professionals Class A-3 Common Unit was converted into one Partnership Class A-3 Common Unit (as defined herein) and (d) each Partnership Class A Common Unit (as defined in the First A&amp;R Partnership LPA) was reclassified as a Partnership Class A-0 Common Unit (as defined herein); and</w:t>
      </w:r>
    </w:p>
    <w:p>
      <w:pPr>
        <w:spacing w:after="0" w:line="163" w:lineRule="exact"/>
        <w:rPr>
          <w:sz w:val="20"/>
          <w:szCs w:val="20"/>
          <w:color w:val="auto"/>
        </w:rPr>
      </w:pPr>
    </w:p>
    <w:p>
      <w:pPr>
        <w:ind w:right="140" w:firstLine="636"/>
        <w:spacing w:after="0" w:line="300" w:lineRule="auto"/>
        <w:rPr>
          <w:sz w:val="20"/>
          <w:szCs w:val="20"/>
          <w:color w:val="auto"/>
        </w:rPr>
      </w:pPr>
      <w:r>
        <w:rPr>
          <w:rFonts w:ascii="Times New Roman" w:cs="Times New Roman" w:eastAsia="Times New Roman" w:hAnsi="Times New Roman"/>
          <w:sz w:val="19"/>
          <w:szCs w:val="19"/>
          <w:color w:val="auto"/>
        </w:rPr>
        <w:t>WHEREAS, the General Partner desires that the Second Amended and Restated Limited Partnership Agreement of PWP Holdings LP, dated as of April 1, 2024, as amended through the date hereof, be amended, restated and replaced in its entirety with this Agreement.</w:t>
      </w:r>
    </w:p>
    <w:p>
      <w:pPr>
        <w:spacing w:after="0" w:line="143" w:lineRule="exact"/>
        <w:rPr>
          <w:sz w:val="20"/>
          <w:szCs w:val="20"/>
          <w:color w:val="auto"/>
        </w:rPr>
      </w:pPr>
    </w:p>
    <w:p>
      <w:pPr>
        <w:ind w:right="40" w:firstLine="636"/>
        <w:spacing w:after="0" w:line="273"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and other good and valuable consideration, the receipt and sufficiency of which are hereby acknowledged, the parties to this Agreement, intending to be legally bound, agree as follows:</w:t>
      </w:r>
    </w:p>
    <w:p>
      <w:pPr>
        <w:spacing w:after="0" w:line="15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DEFINED TERMS</w:t>
      </w:r>
    </w:p>
    <w:p>
      <w:pPr>
        <w:spacing w:after="0" w:line="223" w:lineRule="exact"/>
        <w:rPr>
          <w:sz w:val="20"/>
          <w:szCs w:val="20"/>
          <w:color w:val="auto"/>
        </w:rPr>
      </w:pPr>
    </w:p>
    <w:p>
      <w:pPr>
        <w:ind w:right="20"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definitions shall be for all purposes, unless otherwise clearly indicated to the contrary, applied to the terms used in this Agreement: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AAA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15.3(a)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9" w:right="339" w:bottom="1440" w:gutter="0" w:footer="0" w:header="0"/>
        </w:sectPr>
      </w:pPr>
    </w:p>
    <w:bookmarkStart w:id="107" w:name="page108"/>
    <w:bookmarkEnd w:id="107"/>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Active Professional</w:t>
      </w:r>
      <w:r>
        <w:rPr>
          <w:rFonts w:ascii="Times New Roman" w:cs="Times New Roman" w:eastAsia="Times New Roman" w:hAnsi="Times New Roman"/>
          <w:sz w:val="19"/>
          <w:szCs w:val="19"/>
          <w:color w:val="auto"/>
        </w:rPr>
        <w:t>” means an AdCo Professionals Partner (or its Associated Person) whose tenure with the PWP Entities has not been Terminated (or agreed in definitive documentation to be Terminated), as set forth on a schedule maintained by the General Partner in the books and records of the Partnership.</w:t>
      </w:r>
    </w:p>
    <w:p>
      <w:pPr>
        <w:spacing w:after="0" w:line="155"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Common Units</w:t>
      </w:r>
      <w:r>
        <w:rPr>
          <w:rFonts w:ascii="Times New Roman" w:cs="Times New Roman" w:eastAsia="Times New Roman" w:hAnsi="Times New Roman"/>
          <w:sz w:val="19"/>
          <w:szCs w:val="19"/>
          <w:color w:val="auto"/>
        </w:rPr>
        <w:t>” means Partnership Class A-1 Common Units, Partnership Class A-2 Common Units and Partnership Class A-3 Common Units.</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 Class A-1 Common Units</w:t>
      </w:r>
      <w:r>
        <w:rPr>
          <w:rFonts w:ascii="Times New Roman" w:cs="Times New Roman" w:eastAsia="Times New Roman" w:hAnsi="Times New Roman"/>
          <w:sz w:val="19"/>
          <w:szCs w:val="19"/>
          <w:color w:val="auto"/>
        </w:rPr>
        <w:t>” means the “Partnership Class A-1 Common Units” of AdCo Professionals, as defined in the AdCo Professionals LPA.</w:t>
      </w:r>
    </w:p>
    <w:p>
      <w:pPr>
        <w:spacing w:after="0" w:line="130"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 Class A-2 Common Units</w:t>
      </w:r>
      <w:r>
        <w:rPr>
          <w:rFonts w:ascii="Times New Roman" w:cs="Times New Roman" w:eastAsia="Times New Roman" w:hAnsi="Times New Roman"/>
          <w:sz w:val="19"/>
          <w:szCs w:val="19"/>
          <w:color w:val="auto"/>
        </w:rPr>
        <w:t>” means the “Partnership Class A-2 Common Units” of AdCo Professionals, as defined in the AdCo Professionals LPA.</w:t>
      </w:r>
    </w:p>
    <w:p>
      <w:pPr>
        <w:spacing w:after="0" w:line="143"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 Class A-3 Common Units</w:t>
      </w:r>
      <w:r>
        <w:rPr>
          <w:rFonts w:ascii="Times New Roman" w:cs="Times New Roman" w:eastAsia="Times New Roman" w:hAnsi="Times New Roman"/>
          <w:sz w:val="19"/>
          <w:szCs w:val="19"/>
          <w:color w:val="auto"/>
        </w:rPr>
        <w:t>” means the “Partnership Class A-3 Common Units” of AdCo Professionals, as defined in the AdCo Professionals LPA.</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 LPA</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AdCo Professionals Partner</w:t>
      </w:r>
      <w:r>
        <w:rPr>
          <w:rFonts w:ascii="Times New Roman" w:cs="Times New Roman" w:eastAsia="Times New Roman" w:hAnsi="Times New Roman"/>
          <w:sz w:val="19"/>
          <w:szCs w:val="19"/>
          <w:color w:val="auto"/>
        </w:rPr>
        <w:t>” means a Limited Partner or Substituted Limited Partner of AdCo Professionals immediately prior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Merger.</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Funds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Limited Partner</w:t>
      </w:r>
      <w:r>
        <w:rPr>
          <w:rFonts w:ascii="Times New Roman" w:cs="Times New Roman" w:eastAsia="Times New Roman" w:hAnsi="Times New Roman"/>
          <w:sz w:val="19"/>
          <w:szCs w:val="19"/>
          <w:color w:val="auto"/>
        </w:rPr>
        <w:t xml:space="preserve">” means a Person who is admitted to the Partnership as a Limited Partner pursuant to the Act and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who is shown as such on the books and records of the Partnership, and who has not ceased to be a Limited Partner pursuant to the Act and this Agreement.</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Capital Account</w:t>
      </w:r>
      <w:r>
        <w:rPr>
          <w:rFonts w:ascii="Times New Roman" w:cs="Times New Roman" w:eastAsia="Times New Roman" w:hAnsi="Times New Roman"/>
          <w:sz w:val="19"/>
          <w:szCs w:val="19"/>
          <w:color w:val="auto"/>
        </w:rPr>
        <w:t>” means, with respect to any Partner, such Partner’s Capital Account as of the end of the relevant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Fiscal Year, after giving effect to the following adjustments:</w:t>
      </w:r>
    </w:p>
    <w:p>
      <w:pPr>
        <w:spacing w:after="0" w:line="210" w:lineRule="exact"/>
        <w:rPr>
          <w:sz w:val="20"/>
          <w:szCs w:val="20"/>
          <w:color w:val="auto"/>
        </w:rPr>
      </w:pPr>
    </w:p>
    <w:p>
      <w:pPr>
        <w:jc w:val="both"/>
        <w:ind w:left="1280" w:firstLine="634"/>
        <w:spacing w:after="0" w:line="273" w:lineRule="auto"/>
        <w:tabs>
          <w:tab w:leader="none" w:pos="255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to such Capital Account any amounts that such Partner is obligated to restore pursuant to this Agreement or by operation of law upon liquidation of such Partner’s Partnership Interest or that such Partner is deemed to be obligated to restore pursuant to the penultimate sentence of each of Regulations sections 1.704-2(g)(1) and 1.704-2(i)(5); and</w:t>
      </w:r>
    </w:p>
    <w:p>
      <w:pPr>
        <w:spacing w:after="0" w:line="168"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debit to such Capital Account the items described in Regulations section 1.704-1(b)(2)(ii)(d)(4), (5) and (6).</w:t>
      </w:r>
    </w:p>
    <w:p>
      <w:pPr>
        <w:spacing w:after="0" w:line="21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foregoing definition of “Adjusted Capital Account” is intended to comply with the provisions of Regulations section 1.704-1(b)(2)(ii)(d) and shall be interpreted consistently therewith.</w:t>
      </w:r>
    </w:p>
    <w:p>
      <w:pPr>
        <w:spacing w:after="0" w:line="143" w:lineRule="exact"/>
        <w:rPr>
          <w:sz w:val="20"/>
          <w:szCs w:val="20"/>
          <w:color w:val="auto"/>
        </w:rPr>
      </w:pPr>
    </w:p>
    <w:p>
      <w:pPr>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Capital Account Deficit</w:t>
      </w:r>
      <w:r>
        <w:rPr>
          <w:rFonts w:ascii="Times New Roman" w:cs="Times New Roman" w:eastAsia="Times New Roman" w:hAnsi="Times New Roman"/>
          <w:sz w:val="19"/>
          <w:szCs w:val="19"/>
          <w:color w:val="auto"/>
        </w:rPr>
        <w:t>” means, with respect to any Partner, the deficit balance, if any, in such Partner’s Adjusted Capital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9" w:right="339" w:bottom="1440" w:gutter="0" w:footer="0" w:header="0"/>
        </w:sectPr>
      </w:pPr>
    </w:p>
    <w:bookmarkStart w:id="108" w:name="page109"/>
    <w:bookmarkEnd w:id="108"/>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Adjustment Factor</w:t>
      </w:r>
      <w:r>
        <w:rPr>
          <w:rFonts w:ascii="Times New Roman" w:cs="Times New Roman" w:eastAsia="Times New Roman" w:hAnsi="Times New Roman"/>
          <w:sz w:val="19"/>
          <w:szCs w:val="19"/>
          <w:color w:val="auto"/>
        </w:rPr>
        <w:t xml:space="preserve">” means 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that:</w:t>
      </w:r>
    </w:p>
    <w:p>
      <w:pPr>
        <w:spacing w:after="0" w:line="232" w:lineRule="exact"/>
        <w:rPr>
          <w:sz w:val="20"/>
          <w:szCs w:val="20"/>
          <w:color w:val="auto"/>
        </w:rPr>
      </w:pPr>
    </w:p>
    <w:p>
      <w:pPr>
        <w:jc w:val="both"/>
        <w:ind w:left="160" w:firstLine="634"/>
        <w:spacing w:after="0" w:line="262" w:lineRule="auto"/>
        <w:tabs>
          <w:tab w:leader="none" w:pos="1432"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(a) declares or pays a dividend on its outstanding Class A Shares wholly or partly in Class A Shares or makes a distribution to all holders of its outstanding Class A Shares wholly or partly in Class A Shares,</w:t>
      </w:r>
    </w:p>
    <w:p>
      <w:pPr>
        <w:spacing w:after="0" w:line="1" w:lineRule="exact"/>
        <w:rPr>
          <w:rFonts w:ascii="Times New Roman" w:cs="Times New Roman" w:eastAsia="Times New Roman" w:hAnsi="Times New Roman"/>
          <w:sz w:val="19"/>
          <w:szCs w:val="19"/>
          <w:color w:val="auto"/>
        </w:rPr>
      </w:pPr>
    </w:p>
    <w:p>
      <w:pPr>
        <w:jc w:val="both"/>
        <w:ind w:left="160" w:hanging="2"/>
        <w:spacing w:after="0" w:line="259" w:lineRule="auto"/>
        <w:tabs>
          <w:tab w:leader="none" w:pos="44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splits, subdivides, recapitalizes or reclassifies its outstanding Class A Shares or (c) effects a reverse stock split or otherwise consolidates or combines its outstanding Class A Shares into a smaller number of Class A Shares, the Adjustment Factor shall be adjusted by multiplying the Adjustment Factor previously in effect by a fraction, (i) the numerator of which shall be the number of Class A Shares issued and outstanding on the record date for such dividend, distribution, split, subdivision, recapitalization, reclassification, reverse split, consolidation or combination (assuming for such purposes that such dividend, distribution, split, subdivision, recapitalization, reclassification, reverse split, consolidation or combination has occurred as of such time) and (ii) the denominator of which shall be the actual number of Class A Shares (determined without the above assumption) issued and outstanding on the record date for such dividend, distribution, split, subdivision, recapitalization, reclassification, reverse split, consolidation or combination;</w:t>
      </w:r>
    </w:p>
    <w:p>
      <w:pPr>
        <w:spacing w:after="0" w:line="169" w:lineRule="exact"/>
        <w:rPr>
          <w:sz w:val="20"/>
          <w:szCs w:val="20"/>
          <w:color w:val="auto"/>
        </w:rPr>
      </w:pPr>
    </w:p>
    <w:p>
      <w:pPr>
        <w:jc w:val="both"/>
        <w:ind w:left="160" w:firstLine="634"/>
        <w:spacing w:after="0" w:line="258" w:lineRule="auto"/>
        <w:tabs>
          <w:tab w:leader="none" w:pos="1421"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distributes any rights, options or warrants to all holders of its Class A Shares to subscribe for or to purchase or to otherwise acquire Class A Shares, or other securities or rights convertible into, exchangeable for or exercisable for Class A Shares (other than Class A Shares issuable pursuant to a Qualified DRIP), at a price per share less than the Value of a Class A Share on the record date for such distribution (each a “</w:t>
      </w:r>
      <w:r>
        <w:rPr>
          <w:rFonts w:ascii="Times New Roman" w:cs="Times New Roman" w:eastAsia="Times New Roman" w:hAnsi="Times New Roman"/>
          <w:sz w:val="19"/>
          <w:szCs w:val="19"/>
          <w:u w:val="single" w:color="auto"/>
          <w:color w:val="auto"/>
        </w:rPr>
        <w:t>Distributed Right</w:t>
      </w:r>
      <w:r>
        <w:rPr>
          <w:rFonts w:ascii="Times New Roman" w:cs="Times New Roman" w:eastAsia="Times New Roman" w:hAnsi="Times New Roman"/>
          <w:sz w:val="19"/>
          <w:szCs w:val="19"/>
          <w:color w:val="auto"/>
        </w:rPr>
        <w:t>”), then, as of the distribution date of such Distributed Rights or, if later, the time such Distributed Rights become exercisable, the Adjustment Factor shall be adjusted by multiplying the Adjustment Factor previously in effect by a fraction (a) the numerator of which shall be the number of Class A Shares issued and outstanding on the record date (or, if later, the date such Distributed Rights become exercisable) plus the maximum number of Class A Shares purchasable under such Distributed Rights and (b) the denominator of which shall be the number of Class A Shares issued and outstanding on the record date (or, if later, the date such Distributed Rights become exercisable) plus a fraction (1) the numerator of which is the maximum number of Class A Shares purchasable under such Distributed Rights, multiplied by the minimum purchase price per Class A Share under such Distributed Rights and</w:t>
      </w:r>
    </w:p>
    <w:p>
      <w:pPr>
        <w:spacing w:after="0" w:line="1" w:lineRule="exact"/>
        <w:rPr>
          <w:rFonts w:ascii="Times New Roman" w:cs="Times New Roman" w:eastAsia="Times New Roman" w:hAnsi="Times New Roman"/>
          <w:sz w:val="19"/>
          <w:szCs w:val="19"/>
          <w:color w:val="auto"/>
        </w:rPr>
      </w:pPr>
    </w:p>
    <w:p>
      <w:pPr>
        <w:jc w:val="both"/>
        <w:ind w:left="160" w:hanging="2"/>
        <w:spacing w:after="0" w:line="260" w:lineRule="auto"/>
        <w:tabs>
          <w:tab w:leader="none" w:pos="441"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denominator of which is the Value of a Class A Share as of the record date (or, if later, the date such Distributed Rights become exercisable);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such Distributed Rights expire or become no longer exercisable, then the Adjustment Factor shall be adjusted, effective retroactive to the date of distribution (or, if later, the time the Distributed Rights become exercisable) of the Distributed Rights, to reflect a reduced maximum number of Class A Shares or any change in the minimum purchase price for the purposes of the above fraction; and</w:t>
      </w:r>
    </w:p>
    <w:p>
      <w:pPr>
        <w:spacing w:after="0" w:line="180" w:lineRule="exact"/>
        <w:rPr>
          <w:rFonts w:ascii="Times New Roman" w:cs="Times New Roman" w:eastAsia="Times New Roman" w:hAnsi="Times New Roman"/>
          <w:sz w:val="19"/>
          <w:szCs w:val="19"/>
          <w:color w:val="auto"/>
        </w:rPr>
      </w:pPr>
    </w:p>
    <w:p>
      <w:pPr>
        <w:jc w:val="both"/>
        <w:ind w:left="160" w:firstLine="634"/>
        <w:spacing w:after="0" w:line="264" w:lineRule="auto"/>
        <w:tabs>
          <w:tab w:leader="none" w:pos="142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shall, by dividend or otherwise, distribute to all holders of its Class A Shares evidences of its indebtedness or assets (including securities, but excluding any dividend or distribution referred to in subsection (i) or (ii) above), which evidences of indebtedness or assets relate to assets not received by the Special Limited Partner or its Subsidiaries pursuant to a pro rata distribution by the Partnership, then the Adjustment Factor shall be adjusted to equal the amount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1389" w:right="339" w:bottom="1440" w:gutter="0" w:footer="0" w:header="0"/>
        </w:sectPr>
      </w:pPr>
    </w:p>
    <w:bookmarkStart w:id="109" w:name="page110"/>
    <w:bookmarkEnd w:id="109"/>
    <w:p>
      <w:pPr>
        <w:jc w:val="both"/>
        <w:ind w:left="1280"/>
        <w:spacing w:after="0" w:line="264" w:lineRule="auto"/>
        <w:rPr>
          <w:sz w:val="20"/>
          <w:szCs w:val="20"/>
          <w:color w:val="auto"/>
        </w:rPr>
      </w:pPr>
      <w:r>
        <w:rPr>
          <w:rFonts w:ascii="Times New Roman" w:cs="Times New Roman" w:eastAsia="Times New Roman" w:hAnsi="Times New Roman"/>
          <w:sz w:val="19"/>
          <w:szCs w:val="19"/>
          <w:color w:val="auto"/>
        </w:rPr>
        <w:t>by multiplying the Adjustment Factor in effect immediately prior to the close of business as of the record date fixed for the determination of stockholders entitled to receive such distribution by a fraction (a) the numerator of which shall be such Value of a Class A Share on such record date and (b) the denominator of which shall be the Value of a Class A Share as of such record date less the then fair market value (as determined by the General Partner, whose determination shall be conclusive) of the portion of the evidences of indebtedness or assets so distributed applicable to one Class A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Notwithstanding the foregoing, no adjustments to the Adjustment Factor will be made for any class or series of Partnership Interests to the extent that (x) the Partnership makes or effects any correlative distribution or payment to all of the Partners holding Partnership Interests of such class or series, or effects any correlative split, subdivision, recapitalization, reclassification, reverse split, consolidation or combination in respect of the Partnership Interests of such class or series or (y) the dividend, distribution, split, subdivision, recapitalization, reclassification, reverse split, consolidation or combination was effected by the Special Limited Partner to cause the total number of outstanding Class A Shares to equal the number of Partnership Class A-0 Common Units held by the Special Limited Partner, in each case, except to the extent that the General Partner determines in good faith that such adjustment is required. Any adjustments to the Adjustment Factor shall become effective immediately after such event, retroactive to the record date, if any, for such event. For illustrative purposes, examples of adjustments to the Adjustment Factor are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Partner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9.6(e)</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Person, any Person directly or indirectly controlling or controlled by or under common control with such Person. For the purposes of this definition,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have meanings correlative to the foregoing.</w:t>
      </w:r>
    </w:p>
    <w:p>
      <w:pPr>
        <w:spacing w:after="0" w:line="160"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means this Third Amended and Restated Agreement of Limited Partnership of PWP Holdings LP, together with the Schedules and Exhibits hereto, as now or hereafter amended, restated, modified, supplemented or replaced.</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AmCo Professionals</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AmCo Professionals LPA</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Annual Income Tax Liability</w:t>
      </w:r>
      <w:r>
        <w:rPr>
          <w:rFonts w:ascii="Times New Roman" w:cs="Times New Roman" w:eastAsia="Times New Roman" w:hAnsi="Times New Roman"/>
          <w:sz w:val="19"/>
          <w:szCs w:val="19"/>
          <w:color w:val="auto"/>
        </w:rPr>
        <w:t>” means, for each Partner, such Partner’s annual federal, state, and local income tax obligations for the applicable calendar year arising from the allocation to such Partner of taxable income that is earned by the Partnership based on the assumptions that (i) such Partner is an individual or, if a greater amount of tax would result, a corporate resident in New York, New York, or, if a greater amount of tax would result, in San Francisco, California, subject to the maximum federal and applicable state and local income tax rates (taking account of any difference in rates applicable to ordinary income, capital gains and “qualified dividends” as such term is defined in Section 1(h) of the Code and any allowable deductions or credits in respect of such state and local taxes in computing such Partner’s liability for U.S. Federal income taxes and, provided, however, that the General Partner may adjust consistently for each Partner the assumed rate in its reasonable discretion) and (ii) the items of income, gain, deduction, loss and credit in respect of the Partnership were the only such items entering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9" w:right="339" w:bottom="1440" w:gutter="0" w:footer="0" w:header="0"/>
        </w:sectPr>
      </w:pPr>
    </w:p>
    <w:bookmarkStart w:id="110" w:name="page111"/>
    <w:bookmarkEnd w:id="110"/>
    <w:p>
      <w:pPr>
        <w:jc w:val="both"/>
        <w:spacing w:after="0" w:line="264" w:lineRule="auto"/>
        <w:rPr>
          <w:sz w:val="20"/>
          <w:szCs w:val="20"/>
          <w:color w:val="auto"/>
        </w:rPr>
      </w:pPr>
      <w:r>
        <w:rPr>
          <w:rFonts w:ascii="Times New Roman" w:cs="Times New Roman" w:eastAsia="Times New Roman" w:hAnsi="Times New Roman"/>
          <w:sz w:val="19"/>
          <w:szCs w:val="19"/>
          <w:color w:val="auto"/>
        </w:rPr>
        <w:t>into the computation of tax liability of the applicable Partner. The General Partner may, but is not required, to take into account (a) any allocation of taxable income, gain, deduction, or loss pursuant to Code section 704(c), (b) any deductions accruing to any Partner as a result of the recovery of a basis adjustment pursuant to Code section 743, or (c) any adjustments pursuant to Code section 734, and may use any good faith assumptions in making any such calculations. In determining the Annual Income Tax Liability for a particular Fiscal Year, the General Partner may, but is not required to, take into account losses allocated with respect to prior Fiscal Years.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Sale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Sale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7.4(b)</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State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Assets</w:t>
      </w:r>
      <w:r>
        <w:rPr>
          <w:rFonts w:ascii="Times New Roman" w:cs="Times New Roman" w:eastAsia="Times New Roman" w:hAnsi="Times New Roman"/>
          <w:sz w:val="19"/>
          <w:szCs w:val="19"/>
          <w:color w:val="auto"/>
        </w:rPr>
        <w:t>” means any assets and property of the Partnership, and “</w:t>
      </w:r>
      <w:r>
        <w:rPr>
          <w:rFonts w:ascii="Times New Roman" w:cs="Times New Roman" w:eastAsia="Times New Roman" w:hAnsi="Times New Roman"/>
          <w:sz w:val="19"/>
          <w:szCs w:val="19"/>
          <w:u w:val="single" w:color="auto"/>
          <w:color w:val="auto"/>
        </w:rPr>
        <w:t>Asset</w:t>
      </w:r>
      <w:r>
        <w:rPr>
          <w:rFonts w:ascii="Times New Roman" w:cs="Times New Roman" w:eastAsia="Times New Roman" w:hAnsi="Times New Roman"/>
          <w:sz w:val="19"/>
          <w:szCs w:val="19"/>
          <w:color w:val="auto"/>
        </w:rPr>
        <w:t>” means any one such asset or property.</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means a Person to whom a Partnership Interest has been Transferred but who has not become a Substituted Limited Partner, and who has the rights set forth in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Associated Person</w:t>
      </w:r>
      <w:r>
        <w:rPr>
          <w:rFonts w:ascii="Times New Roman" w:cs="Times New Roman" w:eastAsia="Times New Roman" w:hAnsi="Times New Roman"/>
          <w:sz w:val="19"/>
          <w:szCs w:val="19"/>
          <w:color w:val="auto"/>
        </w:rPr>
        <w:t>” means, with respect to any AdCo Professionals Partner that is not an individual, the individual, if any, whose name is set forth as the Associated Person of such AdCo Professionals Partner on a schedule maintained by the General Partner in the books and records of the Partnership.</w:t>
      </w:r>
    </w:p>
    <w:p>
      <w:pPr>
        <w:spacing w:after="0" w:line="155"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w:t>
      </w:r>
      <w:r>
        <w:rPr>
          <w:rFonts w:ascii="Times New Roman" w:cs="Times New Roman" w:eastAsia="Times New Roman" w:hAnsi="Times New Roman"/>
          <w:sz w:val="19"/>
          <w:szCs w:val="19"/>
          <w:color w:val="auto"/>
        </w:rPr>
        <w:t>” means, with respect to any Person, the occurrence of any event specified in Section 17-402(a)(4) or (5) of the Act with respect to such Person, and the term “</w:t>
      </w:r>
      <w:r>
        <w:rPr>
          <w:rFonts w:ascii="Times New Roman" w:cs="Times New Roman" w:eastAsia="Times New Roman" w:hAnsi="Times New Roman"/>
          <w:sz w:val="19"/>
          <w:szCs w:val="19"/>
          <w:u w:val="single" w:color="auto"/>
          <w:color w:val="auto"/>
        </w:rPr>
        <w:t>Bankrupt</w:t>
      </w:r>
      <w:r>
        <w:rPr>
          <w:rFonts w:ascii="Times New Roman" w:cs="Times New Roman" w:eastAsia="Times New Roman" w:hAnsi="Times New Roman"/>
          <w:sz w:val="19"/>
          <w:szCs w:val="19"/>
          <w:color w:val="auto"/>
        </w:rPr>
        <w:t>” has a meaning correlative to the foregoing.</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means the Board of Directors of the Special Limited Partner.</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weekday, excluding any legal holiday observed pursuant to United States federal or New York State law or regulation.</w:t>
      </w:r>
    </w:p>
    <w:p>
      <w:pPr>
        <w:spacing w:after="0" w:line="130" w:lineRule="exact"/>
        <w:rPr>
          <w:sz w:val="20"/>
          <w:szCs w:val="20"/>
          <w:color w:val="auto"/>
        </w:rPr>
      </w:pPr>
    </w:p>
    <w:p>
      <w:pPr>
        <w:jc w:val="both"/>
        <w:ind w:right="20"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Account</w:t>
      </w:r>
      <w:r>
        <w:rPr>
          <w:rFonts w:ascii="Times New Roman" w:cs="Times New Roman" w:eastAsia="Times New Roman" w:hAnsi="Times New Roman"/>
          <w:sz w:val="19"/>
          <w:szCs w:val="19"/>
          <w:color w:val="auto"/>
        </w:rPr>
        <w:t>” means, with respect to any Partner, the capital account maintained by the General Partner for such Partner on the Partnership’s books and records in accordance with the following provisions:</w:t>
      </w:r>
    </w:p>
    <w:p>
      <w:pPr>
        <w:spacing w:after="0" w:line="130" w:lineRule="exact"/>
        <w:rPr>
          <w:sz w:val="20"/>
          <w:szCs w:val="20"/>
          <w:color w:val="auto"/>
        </w:rPr>
      </w:pPr>
    </w:p>
    <w:p>
      <w:pPr>
        <w:jc w:val="both"/>
        <w:ind w:left="640" w:firstLine="638"/>
        <w:spacing w:after="0" w:line="280" w:lineRule="auto"/>
        <w:tabs>
          <w:tab w:leader="none" w:pos="190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and the amount of any Partnership liabilities assumed by such Partner or that are secured by any property distributed to such Partner.</w:t>
      </w:r>
    </w:p>
    <w:p>
      <w:pPr>
        <w:spacing w:after="0" w:line="149" w:lineRule="exact"/>
        <w:rPr>
          <w:rFonts w:ascii="Times New Roman" w:cs="Times New Roman" w:eastAsia="Times New Roman" w:hAnsi="Times New Roman"/>
          <w:sz w:val="19"/>
          <w:szCs w:val="19"/>
          <w:color w:val="auto"/>
        </w:rPr>
      </w:pPr>
    </w:p>
    <w:p>
      <w:pPr>
        <w:jc w:val="both"/>
        <w:ind w:left="640" w:firstLine="638"/>
        <w:spacing w:after="0" w:line="269" w:lineRule="auto"/>
        <w:tabs>
          <w:tab w:leader="none" w:pos="1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and the amount of any liabilities of such Partner assumed by the Partnership or that are secured by 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89" w:right="339" w:bottom="1440" w:gutter="0" w:footer="0" w:header="0"/>
        </w:sectPr>
      </w:pPr>
    </w:p>
    <w:bookmarkStart w:id="111" w:name="page112"/>
    <w:bookmarkEnd w:id="111"/>
    <w:p>
      <w:pPr>
        <w:ind w:left="640"/>
        <w:spacing w:after="0" w:line="270" w:lineRule="auto"/>
        <w:rPr>
          <w:sz w:val="20"/>
          <w:szCs w:val="20"/>
          <w:color w:val="auto"/>
        </w:rPr>
      </w:pPr>
      <w:r>
        <w:rPr>
          <w:rFonts w:ascii="Times New Roman" w:cs="Times New Roman" w:eastAsia="Times New Roman" w:hAnsi="Times New Roman"/>
          <w:sz w:val="19"/>
          <w:szCs w:val="19"/>
          <w:color w:val="auto"/>
        </w:rPr>
        <w:t>contributed by such Partner to the Partnership (except to the extent already reflected in the amount of such Partner’s Capital Contribution).</w:t>
      </w:r>
    </w:p>
    <w:p>
      <w:pPr>
        <w:spacing w:after="0" w:line="200" w:lineRule="exact"/>
        <w:rPr>
          <w:sz w:val="20"/>
          <w:szCs w:val="20"/>
          <w:color w:val="auto"/>
        </w:rPr>
      </w:pPr>
    </w:p>
    <w:p>
      <w:pPr>
        <w:spacing w:after="0" w:line="230" w:lineRule="exact"/>
        <w:rPr>
          <w:sz w:val="20"/>
          <w:szCs w:val="20"/>
          <w:color w:val="auto"/>
        </w:rPr>
      </w:pPr>
    </w:p>
    <w:p>
      <w:pPr>
        <w:ind w:left="640" w:firstLine="638"/>
        <w:spacing w:after="0" w:line="300" w:lineRule="auto"/>
        <w:tabs>
          <w:tab w:leader="none" w:pos="190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interest in the Partnership is Transferred in accordance with the terms of this Agreement, the transferee shall succeed to the Partner’s Capital Account of the transferor to the extent that it relates to the Transferred interest.</w:t>
      </w:r>
    </w:p>
    <w:p>
      <w:pPr>
        <w:spacing w:after="0" w:line="129" w:lineRule="exact"/>
        <w:rPr>
          <w:rFonts w:ascii="Times New Roman" w:cs="Times New Roman" w:eastAsia="Times New Roman" w:hAnsi="Times New Roman"/>
          <w:sz w:val="19"/>
          <w:szCs w:val="19"/>
          <w:color w:val="auto"/>
        </w:rPr>
      </w:pPr>
    </w:p>
    <w:p>
      <w:pPr>
        <w:ind w:left="640" w:firstLine="638"/>
        <w:spacing w:after="0" w:line="300" w:lineRule="auto"/>
        <w:tabs>
          <w:tab w:leader="none" w:pos="19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determining the amount of any liability for purposes of subsections (a) and (b) hereof, there shall be taken into account Code section 752(c) and any other applicable provisions of the Code and Regulations.</w:t>
      </w:r>
    </w:p>
    <w:p>
      <w:pPr>
        <w:spacing w:after="0" w:line="142" w:lineRule="exact"/>
        <w:rPr>
          <w:rFonts w:ascii="Times New Roman" w:cs="Times New Roman" w:eastAsia="Times New Roman" w:hAnsi="Times New Roman"/>
          <w:sz w:val="19"/>
          <w:szCs w:val="19"/>
          <w:color w:val="auto"/>
        </w:rPr>
      </w:pPr>
    </w:p>
    <w:p>
      <w:pPr>
        <w:jc w:val="both"/>
        <w:ind w:left="640" w:firstLine="638"/>
        <w:spacing w:after="0" w:line="259" w:lineRule="auto"/>
        <w:tabs>
          <w:tab w:leader="none" w:pos="190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Agreement relating to the maintenance of Capital Accounts are intended to comply with the provisions of Regulations section 1.704-1(b)(2)(iv), </w:t>
      </w:r>
      <w:r>
        <w:rPr>
          <w:rFonts w:ascii="Times New Roman" w:cs="Times New Roman" w:eastAsia="Times New Roman" w:hAnsi="Times New Roman"/>
          <w:sz w:val="19"/>
          <w:szCs w:val="19"/>
          <w:u w:val="single" w:color="auto"/>
          <w:color w:val="auto"/>
        </w:rPr>
        <w:t>et al.</w:t>
      </w:r>
      <w:r>
        <w:rPr>
          <w:rFonts w:ascii="Times New Roman" w:cs="Times New Roman" w:eastAsia="Times New Roman" w:hAnsi="Times New Roman"/>
          <w:sz w:val="19"/>
          <w:szCs w:val="19"/>
          <w:color w:val="auto"/>
        </w:rPr>
        <w:t xml:space="preserve">, and shall be interpreted and applied in a manner consistent with such Regulations. The General Partner may modify the manner in which the Capital Accounts are maintained in order to comply with such Regulations;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General Partner determines that such modification is not reasonably likely to have a material effect on the amounts distributable to any Partner without such Person’s consent. The General Partner also may (i) make any adjustments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that unanticipated events might otherwise cause this Agreement not to comply with Regulations section 1.704-1(b) or section 1.704-2;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General Partner determines that such changes are not reasonably likely to have a material effect on the amounts distributable to the Partner as current cash distributions or as distributions on termination of the Partnership. Notwithstanding anything to the contrary in this Agreement, the Partnership Representative in its discretion is expressly authorized to take any action necessary or appropriate to comply with the Partnership Audit Procedures or to appropriately allocate the burden of any assessments thereunder among the Partners, as determined by the Partnership Representative.</w:t>
      </w:r>
    </w:p>
    <w:p>
      <w:pPr>
        <w:spacing w:after="0" w:line="168" w:lineRule="exact"/>
        <w:rPr>
          <w:sz w:val="20"/>
          <w:szCs w:val="20"/>
          <w:color w:val="auto"/>
        </w:rPr>
      </w:pPr>
    </w:p>
    <w:p>
      <w:pPr>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Contribution</w:t>
      </w:r>
      <w:r>
        <w:rPr>
          <w:rFonts w:ascii="Times New Roman" w:cs="Times New Roman" w:eastAsia="Times New Roman" w:hAnsi="Times New Roman"/>
          <w:sz w:val="19"/>
          <w:szCs w:val="19"/>
          <w:color w:val="auto"/>
        </w:rPr>
        <w:t xml:space="preserve">” means, with respect to any Partner, the amount of money and the initial Gross Asset Value of any Contributed Asset that such Partner contributes to the Partnership or is deemed to contribute pursuant to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Holdings</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Share</w:t>
      </w:r>
      <w:r>
        <w:rPr>
          <w:rFonts w:ascii="Times New Roman" w:cs="Times New Roman" w:eastAsia="Times New Roman" w:hAnsi="Times New Roman"/>
          <w:sz w:val="19"/>
          <w:szCs w:val="19"/>
          <w:color w:val="auto"/>
        </w:rPr>
        <w:t>” means a share of any class or series of stock of the Special Limited Partner now or hereafter authorized, other than a Common Share.</w:t>
      </w:r>
    </w:p>
    <w:p>
      <w:pPr>
        <w:spacing w:after="0" w:line="130" w:lineRule="exact"/>
        <w:rPr>
          <w:sz w:val="20"/>
          <w:szCs w:val="20"/>
          <w:color w:val="auto"/>
        </w:rPr>
      </w:pPr>
    </w:p>
    <w:p>
      <w:pPr>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Amount</w:t>
      </w:r>
      <w:r>
        <w:rPr>
          <w:rFonts w:ascii="Times New Roman" w:cs="Times New Roman" w:eastAsia="Times New Roman" w:hAnsi="Times New Roman"/>
          <w:sz w:val="19"/>
          <w:szCs w:val="19"/>
          <w:color w:val="auto"/>
        </w:rPr>
        <w:t>” means, for each Partnership Class A-0 Common Unit that is exchanged for the Cash Amount, an amount of cash equal to the product of (a) the Value of a Class A Share multiplied by (b) the Adjustment Factor.</w:t>
      </w:r>
    </w:p>
    <w:p>
      <w:pPr>
        <w:spacing w:after="0" w:line="130" w:lineRule="exact"/>
        <w:rPr>
          <w:sz w:val="20"/>
          <w:szCs w:val="20"/>
          <w:color w:val="auto"/>
        </w:rPr>
      </w:pPr>
    </w:p>
    <w:p>
      <w:pPr>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Amount Settlement Date</w:t>
      </w:r>
      <w:r>
        <w:rPr>
          <w:rFonts w:ascii="Times New Roman" w:cs="Times New Roman" w:eastAsia="Times New Roman" w:hAnsi="Times New Roman"/>
          <w:sz w:val="19"/>
          <w:szCs w:val="19"/>
          <w:color w:val="auto"/>
        </w:rPr>
        <w:t xml:space="preserve">” means the third Business Day following the applicable Quarterly Exchange Date or, to the extent applicable, such longer period contemplated in </w:t>
      </w:r>
      <w:r>
        <w:rPr>
          <w:rFonts w:ascii="Times New Roman" w:cs="Times New Roman" w:eastAsia="Times New Roman" w:hAnsi="Times New Roman"/>
          <w:sz w:val="19"/>
          <w:szCs w:val="19"/>
          <w:u w:val="single" w:color="auto"/>
          <w:color w:val="auto"/>
        </w:rPr>
        <w:t>Section 14.2(b)(v)</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Settled Units</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9" w:right="339" w:bottom="1440" w:gutter="0" w:footer="0" w:header="0"/>
        </w:sectPr>
      </w:pPr>
    </w:p>
    <w:bookmarkStart w:id="112" w:name="page113"/>
    <w:bookmarkEnd w:id="112"/>
    <w:p>
      <w:pPr>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Certificate</w:t>
      </w:r>
      <w:r>
        <w:rPr>
          <w:rFonts w:ascii="Times New Roman" w:cs="Times New Roman" w:eastAsia="Times New Roman" w:hAnsi="Times New Roman"/>
          <w:sz w:val="19"/>
          <w:szCs w:val="19"/>
          <w:color w:val="auto"/>
        </w:rPr>
        <w:t>” means the Certificate of Limited Partnership executed and filed in the Office of the Secretary of State of the State of Delaware (and any and all amendments thereto and restatements thereof) on behalf of the Partnership pursuant to the Act.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an event set forth in any one of the following paragraphs shall have occurred:</w:t>
      </w:r>
    </w:p>
    <w:p>
      <w:pPr>
        <w:spacing w:after="0" w:line="232" w:lineRule="exact"/>
        <w:rPr>
          <w:sz w:val="20"/>
          <w:szCs w:val="20"/>
          <w:color w:val="auto"/>
        </w:rPr>
      </w:pPr>
    </w:p>
    <w:p>
      <w:pPr>
        <w:jc w:val="both"/>
        <w:ind w:left="640" w:firstLine="638"/>
        <w:spacing w:after="0" w:line="261" w:lineRule="auto"/>
        <w:tabs>
          <w:tab w:leader="none" w:pos="190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any group of Persons acting together which would constitute a “group” for purposes of Section 13(d) of the Exchange Act), is or becomes the beneficial owner (within the meaning of Section 13(d) of the Exchange Act), directly or indirectly, of securities of the Special Limited Partner (not including in the securities beneficially owned (within the meaning of Section 13(d) of the Exchange Act) by such Person any securities acquired directly from the Special Limited Partner or its Affiliates) representing fifty percent (50%) or more of the combined voting power of the Special Limited Partner’s then outstanding securities, excluding any Person who becomes such a beneficial owner beneficial owner (within the meaning of Section 13(d) of the Exchange Act) in connection with a transaction described in clause (I) of paragraph (c) below;</w:t>
      </w:r>
    </w:p>
    <w:p>
      <w:pPr>
        <w:spacing w:after="0" w:line="178" w:lineRule="exact"/>
        <w:rPr>
          <w:rFonts w:ascii="Times New Roman" w:cs="Times New Roman" w:eastAsia="Times New Roman" w:hAnsi="Times New Roman"/>
          <w:sz w:val="19"/>
          <w:szCs w:val="19"/>
          <w:color w:val="auto"/>
        </w:rPr>
      </w:pPr>
    </w:p>
    <w:p>
      <w:pPr>
        <w:jc w:val="both"/>
        <w:ind w:left="640" w:firstLine="638"/>
        <w:spacing w:after="0" w:line="263" w:lineRule="auto"/>
        <w:tabs>
          <w:tab w:leader="none" w:pos="19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individuals cease for any reason to constitute a majority of the number of directors then serving on the Board of Directors: individuals who, on the Reference Date, constitute the Board of Directors and any new director (other than a director whose initial assumption of office is in connection with an actual or threatened election contest, including, but not limited to, a consent solicitation, relating to the election of directors of the Special Limited Partner) whose appointment or election by the Board of Directors or nomination for election by the Special Limited Partner’s shareholders was approved or recommended by a vote of at least two-thirds (2/3) of the directors then still in office who either were directors on the Reference Date or whose appointment, election or nomination for election was previously so approved or recommended;</w:t>
      </w:r>
    </w:p>
    <w:p>
      <w:pPr>
        <w:spacing w:after="0" w:line="165" w:lineRule="exact"/>
        <w:rPr>
          <w:rFonts w:ascii="Times New Roman" w:cs="Times New Roman" w:eastAsia="Times New Roman" w:hAnsi="Times New Roman"/>
          <w:sz w:val="19"/>
          <w:szCs w:val="19"/>
          <w:color w:val="auto"/>
        </w:rPr>
      </w:pPr>
    </w:p>
    <w:p>
      <w:pPr>
        <w:jc w:val="both"/>
        <w:ind w:left="640" w:firstLine="638"/>
        <w:spacing w:after="0" w:line="259" w:lineRule="auto"/>
        <w:tabs>
          <w:tab w:leader="none" w:pos="19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consummated a merger or consolidation of the Special Limited Partner or any direct or indirect Subsidiary with any other corporation or other entity, other than (I) a merger or consolidation (A) which results in the voting securities of the Special Limited Partner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Special Limited Partner or any Subsidiary, more than fifty percent (50%) of the combined voting power of the securities of the Special Limited Partner or such surviving entity or any parent thereof outstanding immediately after such merger or consolidation and (B) immediately following which the individuals who comprise the Board of Directors immediately prior thereto constitute at least a majority of the board of directors of the Special Limited Partner, the entity surviving such merger or consolidation or, if the Special Limited Partner or the entity surviving such merger or consolidation is then a subsidiary, the ultimate parent thereof, or (II) a merger or consolidation effected to implement a recapitalization of the Special Limited Partner (or similar transaction) in which no Person is or becomes the beneficial owner (within the meaning of Section 13(d) of the Exchange Act), directly or indirectly, of securities of the Special Limited Partner (not including in the securities beneficially owned (within the meaning of Section 13(d) of the Exchange Act) by such Person any securities acquired directly from the Special Limited Partner or its Affiliates) representing fifty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9" w:right="339"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9"/>
          <w:szCs w:val="19"/>
          <w:color w:val="auto"/>
        </w:rPr>
        <w:t>(50%) or more of the combined voting power of the Special Limited Partner’s then outstanding securities; or</w:t>
      </w:r>
    </w:p>
    <w:p>
      <w:pPr>
        <w:spacing w:after="0" w:line="232" w:lineRule="exact"/>
        <w:rPr>
          <w:sz w:val="20"/>
          <w:szCs w:val="20"/>
          <w:color w:val="auto"/>
        </w:rPr>
      </w:pPr>
    </w:p>
    <w:p>
      <w:pPr>
        <w:jc w:val="both"/>
        <w:ind w:left="640" w:firstLine="638"/>
        <w:spacing w:after="0" w:line="259" w:lineRule="auto"/>
        <w:tabs>
          <w:tab w:leader="none" w:pos="191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shareholders of the Special Limited Partner approve a plan of complete liquidation or dissolution of the Special Limited Partner or there is consummated an agreement for the sale or disposition by the Special Limited Partner of all or substantially all of the Special Limited Partner’s assets, other than (A) a sale or disposition by the Special Limited Partner of all or substantially all of the Special Limited Partner’s assets to an entity, at least fifty percent (50%) of the combined voting power of the voting securities of which are owned by shareholders of the Special Limited Partner following the completion of such transaction in substantially the same proportions as their ownership of the Special Limited Partner immediately prior to such sale or (B) a sale or disposition of all or substantially all of the Special Limited Partner’s assets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Notwithstanding the foregoing, a Change in Control shall not be deemed to have occurred as a result of any transaction or series of integrated transactions following which any Continuing PWP Person or any group of Continuing PWP Persons possesses, directly or indirectly, the power to direct or cause the direction of the management and policies of the Special Limited Partner (or any successor thereto), whether through the ownership of voting securities, as trustee or executor, by contract or otherwise, including, without limitation, the ownership, directly or indirectly, of securities having the power to elect a majority of the Board of Directors or the board of directors or similar body governing the affairs of any successor to the Special Limited Partner.</w:t>
      </w:r>
    </w:p>
    <w:p>
      <w:pPr>
        <w:spacing w:after="0" w:line="180"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Charter</w:t>
      </w:r>
      <w:r>
        <w:rPr>
          <w:rFonts w:ascii="Times New Roman" w:cs="Times New Roman" w:eastAsia="Times New Roman" w:hAnsi="Times New Roman"/>
          <w:sz w:val="19"/>
          <w:szCs w:val="19"/>
          <w:color w:val="auto"/>
        </w:rPr>
        <w:t>” means the Restated Certificate of Incorporation of the Special Limited Partner, dated as of December 28, 2021, as amended, restated, modified or supplemented from time to time.</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A Share</w:t>
      </w:r>
      <w:r>
        <w:rPr>
          <w:rFonts w:ascii="Times New Roman" w:cs="Times New Roman" w:eastAsia="Times New Roman" w:hAnsi="Times New Roman"/>
          <w:sz w:val="19"/>
          <w:szCs w:val="19"/>
          <w:color w:val="auto"/>
        </w:rPr>
        <w:t>” means a share of Class A common stock of the Special Limited Partner, $0.0001 par value per share.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B Share</w:t>
      </w:r>
      <w:r>
        <w:rPr>
          <w:rFonts w:ascii="Times New Roman" w:cs="Times New Roman" w:eastAsia="Times New Roman" w:hAnsi="Times New Roman"/>
          <w:sz w:val="19"/>
          <w:szCs w:val="19"/>
          <w:color w:val="auto"/>
        </w:rPr>
        <w:t>” means a Class B-1 Share or a Class B-2 Share.</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B-1 Share</w:t>
      </w:r>
      <w:r>
        <w:rPr>
          <w:rFonts w:ascii="Times New Roman" w:cs="Times New Roman" w:eastAsia="Times New Roman" w:hAnsi="Times New Roman"/>
          <w:sz w:val="19"/>
          <w:szCs w:val="19"/>
          <w:color w:val="auto"/>
        </w:rPr>
        <w:t>” means a share of Class B-1 common stock of the Special Limited Partner, $0.0001 par value per share.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 B-2 Share</w:t>
      </w:r>
      <w:r>
        <w:rPr>
          <w:rFonts w:ascii="Times New Roman" w:cs="Times New Roman" w:eastAsia="Times New Roman" w:hAnsi="Times New Roman"/>
          <w:sz w:val="19"/>
          <w:szCs w:val="19"/>
          <w:color w:val="auto"/>
        </w:rPr>
        <w:t>” means a share of Class B-2 common stock of the Special Limited Partner, $0.0001 par value per share.</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Colorado PTET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Colorado PTET Election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Colorado PTET Exclusion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Colorado PTET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Colorado PTET Year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89" w:right="339" w:bottom="1440" w:gutter="0" w:footer="0" w:header="0"/>
        </w:sectPr>
      </w:pPr>
    </w:p>
    <w:bookmarkStart w:id="114" w:name="page115"/>
    <w:bookmarkEnd w:id="114"/>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Share</w:t>
      </w:r>
      <w:r>
        <w:rPr>
          <w:rFonts w:ascii="Times New Roman" w:cs="Times New Roman" w:eastAsia="Times New Roman" w:hAnsi="Times New Roman"/>
          <w:sz w:val="19"/>
          <w:szCs w:val="19"/>
          <w:color w:val="auto"/>
        </w:rPr>
        <w:t>” means a Class A Share or a Class B Share (and shall not include any additional series or class of the Special Limited Partner’s common stock created after the date of this Agreement).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w:t>
      </w:r>
      <w:r>
        <w:rPr>
          <w:rFonts w:ascii="Times New Roman" w:cs="Times New Roman" w:eastAsia="Times New Roman" w:hAnsi="Times New Roman"/>
          <w:sz w:val="19"/>
          <w:szCs w:val="19"/>
          <w:color w:val="auto"/>
        </w:rPr>
        <w:t>” means the consent to, approval of, or vote in favor of a proposed action by a Partner given in accordance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Article XIII</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 of the AdCo Professionals Partners</w:t>
      </w:r>
      <w:r>
        <w:rPr>
          <w:rFonts w:ascii="Times New Roman" w:cs="Times New Roman" w:eastAsia="Times New Roman" w:hAnsi="Times New Roman"/>
          <w:sz w:val="19"/>
          <w:szCs w:val="19"/>
          <w:color w:val="auto"/>
        </w:rPr>
        <w:t>” means the Consent of all AdCo Professionals Partners, which Consent shall be obtained before the taking of any action for which it is required by this Agreement and, except as otherwise provided in this Agreement, may be given or withheld by the AdCo Professionals Partners in their discretion.</w:t>
      </w:r>
    </w:p>
    <w:p>
      <w:pPr>
        <w:spacing w:after="0" w:line="169"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 of the Limited Partners</w:t>
      </w:r>
      <w:r>
        <w:rPr>
          <w:rFonts w:ascii="Times New Roman" w:cs="Times New Roman" w:eastAsia="Times New Roman" w:hAnsi="Times New Roman"/>
          <w:sz w:val="19"/>
          <w:szCs w:val="19"/>
          <w:color w:val="auto"/>
        </w:rPr>
        <w:t>” means the Consent of a Majority in Interest of the Limited Partners, which Consent shall be obtained before the taking of any action for which it is required by this Agreement and, except as otherwise provided in this Agreement, may be given or withheld by Partners in their discretion.</w:t>
      </w:r>
    </w:p>
    <w:p>
      <w:pPr>
        <w:spacing w:after="0" w:line="169"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 of the Partners</w:t>
      </w:r>
      <w:r>
        <w:rPr>
          <w:rFonts w:ascii="Times New Roman" w:cs="Times New Roman" w:eastAsia="Times New Roman" w:hAnsi="Times New Roman"/>
          <w:sz w:val="19"/>
          <w:szCs w:val="19"/>
          <w:color w:val="auto"/>
        </w:rPr>
        <w:t>” means the Consent of a Majority in Interest of the Partners, which Consent shall be obtained before the taking of any action for which it is required by this Agreement and, except as otherwise provided in this Agreement, may be given or withheld by Partners in their discretion.</w:t>
      </w:r>
    </w:p>
    <w:p>
      <w:pPr>
        <w:spacing w:after="0" w:line="155"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Constituent Member</w:t>
      </w:r>
      <w:r>
        <w:rPr>
          <w:rFonts w:ascii="Times New Roman" w:cs="Times New Roman" w:eastAsia="Times New Roman" w:hAnsi="Times New Roman"/>
          <w:sz w:val="19"/>
          <w:szCs w:val="19"/>
          <w:color w:val="auto"/>
        </w:rPr>
        <w:t>” means any Person that is an officer, director, member, partner or equityholder in a Partner, or any Person that, directly or indirectly (through one or more entities), is an officer, director, member, partner or equityholder in a Partner.</w:t>
      </w:r>
    </w:p>
    <w:p>
      <w:pPr>
        <w:spacing w:after="0" w:line="143" w:lineRule="exact"/>
        <w:rPr>
          <w:sz w:val="20"/>
          <w:szCs w:val="20"/>
          <w:color w:val="auto"/>
        </w:rPr>
      </w:pPr>
    </w:p>
    <w:p>
      <w:pPr>
        <w:jc w:val="both"/>
        <w:ind w:firstLine="127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PWP Person</w:t>
      </w:r>
      <w:r>
        <w:rPr>
          <w:rFonts w:ascii="Times New Roman" w:cs="Times New Roman" w:eastAsia="Times New Roman" w:hAnsi="Times New Roman"/>
          <w:sz w:val="19"/>
          <w:szCs w:val="19"/>
          <w:color w:val="auto"/>
        </w:rPr>
        <w:t>” means, immediately prior to and immediately following any relevant date of determination, (A) the Partnership or any of its Affiliates or (B)(i) an individual who is a current or former partner, managing director or other employee of the Special Limited Partner, Partnership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63" w:lineRule="exact"/>
        <w:rPr>
          <w:sz w:val="20"/>
          <w:szCs w:val="20"/>
          <w:color w:val="auto"/>
        </w:rPr>
      </w:pPr>
    </w:p>
    <w:p>
      <w:pPr>
        <w:jc w:val="both"/>
        <w:ind w:firstLine="1272"/>
        <w:spacing w:after="0" w:line="29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Contributed Asset</w:t>
      </w:r>
      <w:r>
        <w:rPr>
          <w:rFonts w:ascii="Times New Roman" w:cs="Times New Roman" w:eastAsia="Times New Roman" w:hAnsi="Times New Roman"/>
          <w:sz w:val="19"/>
          <w:szCs w:val="19"/>
          <w:color w:val="auto"/>
        </w:rPr>
        <w:t>” means each Asset or other asset, in such form as may be permitted by the Act, but excluding cash, contributed or deemed contributed to the Partnership (or deemed contributed by the Partnership to a “new” partnership pursuant to Code section 708).</w:t>
      </w:r>
    </w:p>
    <w:p>
      <w:pPr>
        <w:spacing w:after="0" w:line="379"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Controlled Entity</w:t>
      </w:r>
      <w:r>
        <w:rPr>
          <w:rFonts w:ascii="Times New Roman" w:cs="Times New Roman" w:eastAsia="Times New Roman" w:hAnsi="Times New Roman"/>
          <w:sz w:val="19"/>
          <w:szCs w:val="19"/>
          <w:color w:val="auto"/>
        </w:rPr>
        <w:t>” means, as to any Person, (a) any corporation where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general partner and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and in which such Person or such Person’s Family Members or Affiliates hold membership interests representing at least fifty percent (50%) of such limited liability company’s capital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9" w:right="339" w:bottom="1440" w:gutter="0" w:footer="0" w:header="0"/>
        </w:sectPr>
      </w:pPr>
    </w:p>
    <w:bookmarkStart w:id="115" w:name="page116"/>
    <w:bookmarkEnd w:id="115"/>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Cut-Off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14.2(a)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 Minimis</w:t>
      </w:r>
      <w:r>
        <w:rPr>
          <w:rFonts w:ascii="Times New Roman" w:cs="Times New Roman" w:eastAsia="Times New Roman" w:hAnsi="Times New Roman"/>
          <w:sz w:val="19"/>
          <w:szCs w:val="19"/>
          <w:color w:val="auto"/>
        </w:rPr>
        <w:t>” means an amount small enough as to make not accounting for it commercially reasonable or accounting for it administratively impractical, in each case as determined by the General Partner.</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De-SPAC Transaction</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obligations of such Person as lessee under capital leases.</w:t>
      </w:r>
    </w:p>
    <w:p>
      <w:pPr>
        <w:spacing w:after="0" w:line="180"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Depreciation</w:t>
      </w:r>
      <w:r>
        <w:rPr>
          <w:rFonts w:ascii="Times New Roman" w:cs="Times New Roman" w:eastAsia="Times New Roman" w:hAnsi="Times New Roman"/>
          <w:sz w:val="19"/>
          <w:szCs w:val="19"/>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federal income tax depreciation, amortization or other cost recovery deduction for such year or period is zero, Depreciation shall be determined with reference to such beginning Gross Asset Value using any reasonable method selected by the General Partner.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Individual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9.3(a)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Disabling Event</w:t>
      </w:r>
      <w:r>
        <w:rPr>
          <w:rFonts w:ascii="Times New Roman" w:cs="Times New Roman" w:eastAsia="Times New Roman" w:hAnsi="Times New Roman"/>
          <w:sz w:val="19"/>
          <w:szCs w:val="19"/>
          <w:color w:val="auto"/>
        </w:rPr>
        <w:t>” means the General Partner ceasing to be the general partner of the Partnership pursuant to Section 17-402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Act.</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15.3(a)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Drag-Along Right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has the meaning set forth in the Preamble.</w:t>
      </w:r>
    </w:p>
    <w:p>
      <w:pPr>
        <w:spacing w:after="0" w:line="232" w:lineRule="exact"/>
        <w:rPr>
          <w:sz w:val="20"/>
          <w:szCs w:val="20"/>
          <w:color w:val="auto"/>
        </w:rPr>
      </w:pPr>
    </w:p>
    <w:p>
      <w:pPr>
        <w:jc w:val="both"/>
        <w:ind w:firstLine="1272"/>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Election of Exchange</w:t>
      </w:r>
      <w:r>
        <w:rPr>
          <w:rFonts w:ascii="Times New Roman" w:cs="Times New Roman" w:eastAsia="Times New Roman" w:hAnsi="Times New Roman"/>
          <w:sz w:val="19"/>
          <w:szCs w:val="19"/>
          <w:color w:val="auto"/>
        </w:rPr>
        <w:t xml:space="preserve">” means either (a) the Limited Partner Election of Exchange substantially in the form of </w:t>
      </w:r>
      <w:r>
        <w:rPr>
          <w:rFonts w:ascii="Times New Roman" w:cs="Times New Roman" w:eastAsia="Times New Roman" w:hAnsi="Times New Roman"/>
          <w:sz w:val="19"/>
          <w:szCs w:val="19"/>
          <w:u w:val="single" w:color="auto"/>
          <w:color w:val="auto"/>
        </w:rPr>
        <w:t>Exhibit B-1</w:t>
      </w:r>
      <w:r>
        <w:rPr>
          <w:rFonts w:ascii="Times New Roman" w:cs="Times New Roman" w:eastAsia="Times New Roman" w:hAnsi="Times New Roman"/>
          <w:sz w:val="19"/>
          <w:szCs w:val="19"/>
          <w:color w:val="auto"/>
        </w:rPr>
        <w:t xml:space="preserve"> attached hereto or (b) the AdCo Professionals Partner Election of Exchange substantially in the form of </w:t>
      </w:r>
      <w:r>
        <w:rPr>
          <w:rFonts w:ascii="Times New Roman" w:cs="Times New Roman" w:eastAsia="Times New Roman" w:hAnsi="Times New Roman"/>
          <w:sz w:val="19"/>
          <w:szCs w:val="19"/>
          <w:u w:val="single" w:color="auto"/>
          <w:color w:val="auto"/>
        </w:rPr>
        <w:t>Exhibit B-2</w:t>
      </w:r>
      <w:r>
        <w:rPr>
          <w:rFonts w:ascii="Times New Roman" w:cs="Times New Roman" w:eastAsia="Times New Roman" w:hAnsi="Times New Roman"/>
          <w:sz w:val="19"/>
          <w:szCs w:val="19"/>
          <w:color w:val="auto"/>
        </w:rPr>
        <w:t xml:space="preserve"> attached hereto, as applicable.</w:t>
      </w:r>
    </w:p>
    <w:p>
      <w:pPr>
        <w:spacing w:after="0" w:line="397"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Plan</w:t>
      </w:r>
      <w:r>
        <w:rPr>
          <w:rFonts w:ascii="Times New Roman" w:cs="Times New Roman" w:eastAsia="Times New Roman" w:hAnsi="Times New Roman"/>
          <w:sz w:val="19"/>
          <w:szCs w:val="19"/>
          <w:color w:val="auto"/>
        </w:rPr>
        <w:t>” means any plan, agreement or other arrangement that provides for the grant or issuance of equity or equity-based awards and that is now in effect or is hereafter adopted by the Partnership, the General Partner or the Special Limited Partner for the benefit of any of their respective employees or other service providers (including directors, advisers and consultants), or the employees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color w:val="auto"/>
        </w:rPr>
        <w:t>other services providers (including directors, advisers and consultants) of any of their respective Affiliates or Subsidiaries.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w:t>
      </w:r>
    </w:p>
    <w:p>
      <w:pPr>
        <w:spacing w:after="0" w:line="219"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Estate Planning Vehicle</w:t>
      </w:r>
      <w:r>
        <w:rPr>
          <w:rFonts w:ascii="Times New Roman" w:cs="Times New Roman" w:eastAsia="Times New Roman" w:hAnsi="Times New Roman"/>
          <w:sz w:val="19"/>
          <w:szCs w:val="19"/>
          <w:color w:val="auto"/>
        </w:rPr>
        <w:t>” means, with respect to any AdCo Professionals Partner (or its Associated Person), any trust or entity that (i) was created or formed by such AdCo Professionals Partner (or its Associated Person) or Family Members of such AdCo Professionals Partner (or its Associated Person) and (ii) is solely for the benefit, directly or indirectly, of such AdCo Professionals Partner (or its Associated Person) or Family Members of such AdCo Professionals Partner (or its Associated Person).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Withdrawal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12.2(c)</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PTET Deficit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9.6(d)</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as amended, and any successor statute thereto, and the rules and regulations of the SEC promulgated thereunder.</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Exchangeable Unit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Family Members</w:t>
      </w:r>
      <w:r>
        <w:rPr>
          <w:rFonts w:ascii="Times New Roman" w:cs="Times New Roman" w:eastAsia="Times New Roman" w:hAnsi="Times New Roman"/>
          <w:sz w:val="19"/>
          <w:szCs w:val="19"/>
          <w:color w:val="auto"/>
        </w:rPr>
        <w:t>” means (a) as to any AdCo Professionals Partner (or its Associated Person), such AdCo Professionals Partner’s (or its Associated Person’s) spouse or lineal descendants and (b) as to any other Person that is an individual, such Person’s spouse, ancestors, descendants (whether by blood or by adoption), brothers and sisters (whether by blood or by adoption) and inter vivos or testamentary trusts of which only such Person and his spouse, ancestors, descendants (whether by blood or by adoption), brothers and sisters (whether by blood or adoption) are beneficiaries.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Fifth A&amp;R Professionals LPA</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A&amp;R Partnership LPA</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15.4</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Formation Date</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Founding Partner</w:t>
      </w:r>
      <w:r>
        <w:rPr>
          <w:rFonts w:ascii="Times New Roman" w:cs="Times New Roman" w:eastAsia="Times New Roman" w:hAnsi="Times New Roman"/>
          <w:sz w:val="19"/>
          <w:szCs w:val="19"/>
          <w:color w:val="auto"/>
        </w:rPr>
        <w:t>” means each Limited Partner as of the Reference Date, other than the Special Limited Partner and any AdCo Professionals Partner.</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Fourth A&amp;R Professionals LPA</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Debt</w:t>
      </w:r>
      <w:r>
        <w:rPr>
          <w:rFonts w:ascii="Times New Roman" w:cs="Times New Roman" w:eastAsia="Times New Roman" w:hAnsi="Times New Roman"/>
          <w:sz w:val="19"/>
          <w:szCs w:val="19"/>
          <w:color w:val="auto"/>
        </w:rPr>
        <w:t>” means any Debt incurred by or on behalf of the General Partner or the Special Limited Partner for the purpose of providing funds to the Partnership.</w:t>
      </w:r>
    </w:p>
    <w:p>
      <w:pPr>
        <w:spacing w:after="0" w:line="130" w:lineRule="exact"/>
        <w:rPr>
          <w:sz w:val="20"/>
          <w:szCs w:val="20"/>
          <w:color w:val="auto"/>
        </w:rPr>
      </w:pPr>
    </w:p>
    <w:p>
      <w:pPr>
        <w:jc w:val="both"/>
        <w:ind w:firstLine="1272"/>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General Partner</w:t>
      </w:r>
      <w:r>
        <w:rPr>
          <w:rFonts w:ascii="Times New Roman" w:cs="Times New Roman" w:eastAsia="Times New Roman" w:hAnsi="Times New Roman"/>
          <w:sz w:val="19"/>
          <w:szCs w:val="19"/>
          <w:color w:val="auto"/>
        </w:rPr>
        <w:t>” means PWP GP LLC and/or any additional or successor General Partner(s) designated as such pursuant to the Act and this Agreement, and, in each case, that has not ceased to be a general partner pursuant to the Act and this Agreement, in such Person’s capacity as a partner and a general partner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89" w:right="339" w:bottom="1440" w:gutter="0" w:footer="0" w:header="0"/>
        </w:sectPr>
      </w:pPr>
    </w:p>
    <w:bookmarkStart w:id="117" w:name="page118"/>
    <w:bookmarkEnd w:id="117"/>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Gross Asset Value</w:t>
      </w:r>
      <w:r>
        <w:rPr>
          <w:rFonts w:ascii="Times New Roman" w:cs="Times New Roman" w:eastAsia="Times New Roman" w:hAnsi="Times New Roman"/>
          <w:sz w:val="19"/>
          <w:szCs w:val="19"/>
          <w:color w:val="auto"/>
        </w:rPr>
        <w:t>” means, with respect to any asset, the asset’s adjusted basis for federal income tax purposes, except as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follows:</w:t>
      </w:r>
    </w:p>
    <w:p>
      <w:pPr>
        <w:spacing w:after="0" w:line="204" w:lineRule="exact"/>
        <w:rPr>
          <w:sz w:val="20"/>
          <w:szCs w:val="20"/>
          <w:color w:val="auto"/>
        </w:rPr>
      </w:pPr>
    </w:p>
    <w:p>
      <w:pPr>
        <w:ind w:left="1280" w:firstLine="634"/>
        <w:spacing w:after="0" w:line="300" w:lineRule="auto"/>
        <w:tabs>
          <w:tab w:leader="none" w:pos="255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initial Gross Asset Value of any asset contributed by a Partner to the Partnership shall be the gross fair market value of such asset as determined by the General Partner using such reasonable method of valuation as it may adopt.</w:t>
      </w:r>
    </w:p>
    <w:p>
      <w:pPr>
        <w:spacing w:after="0" w:line="129" w:lineRule="exact"/>
        <w:rPr>
          <w:rFonts w:ascii="Times New Roman" w:cs="Times New Roman" w:eastAsia="Times New Roman" w:hAnsi="Times New Roman"/>
          <w:sz w:val="19"/>
          <w:szCs w:val="19"/>
          <w:color w:val="auto"/>
        </w:rPr>
      </w:pPr>
    </w:p>
    <w:p>
      <w:pPr>
        <w:jc w:val="both"/>
        <w:ind w:left="1280" w:firstLine="634"/>
        <w:spacing w:after="0" w:line="280" w:lineRule="auto"/>
        <w:tabs>
          <w:tab w:leader="none" w:pos="255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Asset Values of all Partnership assets immediately prior to the occurrence of any event described below shall be adjusted to equal their respective gross fair market values (taking Code section 7701(g) into account), if and as determined by the General Partner using such reasonable method of valuation as it may adopt, as of the following times:</w:t>
      </w:r>
    </w:p>
    <w:p>
      <w:pPr>
        <w:spacing w:after="0" w:line="149" w:lineRule="exact"/>
        <w:rPr>
          <w:rFonts w:ascii="Times New Roman" w:cs="Times New Roman" w:eastAsia="Times New Roman" w:hAnsi="Times New Roman"/>
          <w:sz w:val="19"/>
          <w:szCs w:val="19"/>
          <w:color w:val="auto"/>
        </w:rPr>
      </w:pPr>
    </w:p>
    <w:p>
      <w:pPr>
        <w:jc w:val="both"/>
        <w:ind w:left="1920" w:firstLine="630"/>
        <w:spacing w:after="0" w:line="267" w:lineRule="auto"/>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acquisition of an additional interest in the Partnership (other than in connection with the execution of this Agreement but including acquisitions pursuant to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or contributions or deemed contributions by the General Partner pursuant to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by a new or existing Partner in exchange for more than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Capital Contribution, if the General Partner reasonably determines that such adjustment is necessary or appropriate to reflect the relative economic interests of the Partners in the Partnership;</w:t>
      </w:r>
    </w:p>
    <w:p>
      <w:pPr>
        <w:spacing w:after="0" w:line="160" w:lineRule="exact"/>
        <w:rPr>
          <w:rFonts w:ascii="Times New Roman" w:cs="Times New Roman" w:eastAsia="Times New Roman" w:hAnsi="Times New Roman"/>
          <w:sz w:val="19"/>
          <w:szCs w:val="19"/>
          <w:color w:val="auto"/>
        </w:rPr>
      </w:pPr>
    </w:p>
    <w:p>
      <w:pPr>
        <w:jc w:val="both"/>
        <w:ind w:left="1920" w:firstLine="630"/>
        <w:spacing w:after="0" w:line="274" w:lineRule="auto"/>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distribution by the Partnership to a Partner of more than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167"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liquidation of the Partnership within the meaning of Regulations section 1.704-1(b)(2)(ii)(g);</w:t>
      </w:r>
    </w:p>
    <w:p>
      <w:pPr>
        <w:spacing w:after="0" w:line="232"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admission of a successor General Partner pursuant to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jc w:val="both"/>
        <w:ind w:left="1920" w:firstLine="630"/>
        <w:spacing w:after="0" w:line="274" w:lineRule="auto"/>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grant of Partnership Units in the Partnership (other than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number of Partnership Units) as consideration for the provision of services to or for the benefit of the Partnership by an existing Partner acting in a Partner capacity, or by a new Partner acting in a Partner capacity or in anticipation of becoming a Partner; and</w:t>
      </w:r>
    </w:p>
    <w:p>
      <w:pPr>
        <w:spacing w:after="0" w:line="167" w:lineRule="exact"/>
        <w:rPr>
          <w:rFonts w:ascii="Times New Roman" w:cs="Times New Roman" w:eastAsia="Times New Roman" w:hAnsi="Times New Roman"/>
          <w:sz w:val="19"/>
          <w:szCs w:val="19"/>
          <w:color w:val="auto"/>
        </w:rPr>
      </w:pPr>
    </w:p>
    <w:p>
      <w:pPr>
        <w:ind w:left="1920" w:firstLine="630"/>
        <w:spacing w:after="0" w:line="285" w:lineRule="auto"/>
        <w:tabs>
          <w:tab w:leader="none" w:pos="318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such other times as the General Partner shall reasonably determine necessary or advisable in order to comply with Regulations sections 1.704-1(b) and 1.704-2.</w:t>
      </w:r>
    </w:p>
    <w:p>
      <w:pPr>
        <w:spacing w:after="0" w:line="156" w:lineRule="exact"/>
        <w:rPr>
          <w:rFonts w:ascii="Times New Roman" w:cs="Times New Roman" w:eastAsia="Times New Roman" w:hAnsi="Times New Roman"/>
          <w:sz w:val="19"/>
          <w:szCs w:val="19"/>
          <w:color w:val="auto"/>
        </w:rPr>
      </w:pPr>
    </w:p>
    <w:p>
      <w:pPr>
        <w:jc w:val="both"/>
        <w:ind w:left="1280" w:firstLine="634"/>
        <w:spacing w:after="0" w:line="273" w:lineRule="auto"/>
        <w:tabs>
          <w:tab w:leader="none" w:pos="255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Asset Value of any Partnership asset distributed to a Partner shall be the gross fair market value of such asset on the date of distribution as determined by the General Partner using such reasonable method of valuation as it may adopt.</w:t>
      </w:r>
    </w:p>
    <w:p>
      <w:pPr>
        <w:spacing w:after="0" w:line="168" w:lineRule="exact"/>
        <w:rPr>
          <w:rFonts w:ascii="Times New Roman" w:cs="Times New Roman" w:eastAsia="Times New Roman" w:hAnsi="Times New Roman"/>
          <w:sz w:val="19"/>
          <w:szCs w:val="19"/>
          <w:color w:val="auto"/>
        </w:rPr>
      </w:pPr>
    </w:p>
    <w:p>
      <w:pPr>
        <w:jc w:val="both"/>
        <w:ind w:left="1280" w:firstLine="634"/>
        <w:spacing w:after="0" w:line="273" w:lineRule="auto"/>
        <w:tabs>
          <w:tab w:leader="none" w:pos="254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Asset Values of Partnership assets shall be increased (or decreased) to reflect any adjustments to the adjusted basis of such assets pursuant to Code section 734(b) or Code section 743(b), but only to the extent that such adjustments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89" w:right="339" w:bottom="1440" w:gutter="0" w:footer="0" w:header="0"/>
        </w:sectPr>
      </w:pPr>
    </w:p>
    <w:bookmarkStart w:id="118" w:name="page119"/>
    <w:bookmarkEnd w:id="118"/>
    <w:p>
      <w:pPr>
        <w:jc w:val="both"/>
        <w:ind w:left="1280"/>
        <w:spacing w:after="0" w:line="269" w:lineRule="auto"/>
        <w:rPr>
          <w:sz w:val="20"/>
          <w:szCs w:val="20"/>
          <w:color w:val="auto"/>
        </w:rPr>
      </w:pPr>
      <w:r>
        <w:rPr>
          <w:rFonts w:ascii="Times New Roman" w:cs="Times New Roman" w:eastAsia="Times New Roman" w:hAnsi="Times New Roman"/>
          <w:sz w:val="19"/>
          <w:szCs w:val="19"/>
          <w:color w:val="auto"/>
        </w:rPr>
        <w:t xml:space="preserve">taken into account in determining Capital Accounts pursuant to Regulations section 1.704-1(b)(2)(iv)(m);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Gross Asset Values shall not be adjusted pursuant to this subsection (iv) to the extent that the General Partner reasonably determines that an adjustment pursuant to subsection (ii) above is necessary or appropriate in connection with a transaction that would otherwise result in an adjustment pursuant to this subsection (iv).</w:t>
      </w:r>
    </w:p>
    <w:p>
      <w:pPr>
        <w:spacing w:after="0" w:line="160" w:lineRule="exact"/>
        <w:rPr>
          <w:sz w:val="20"/>
          <w:szCs w:val="20"/>
          <w:color w:val="auto"/>
        </w:rPr>
      </w:pPr>
    </w:p>
    <w:p>
      <w:pPr>
        <w:jc w:val="both"/>
        <w:ind w:left="1280" w:firstLine="634"/>
        <w:spacing w:after="0" w:line="280" w:lineRule="auto"/>
        <w:tabs>
          <w:tab w:leader="none" w:pos="25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Gross Asset Value of a Partnership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 means either (a) a Partner or (b) an Assignee that owns a Partnership Unit.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Holdings Division</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HSR Act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10.3(a)(i)</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Imputed Underpayment Amount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9.3(d)</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Incapacity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Incapacitated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Incapacitation</w:t>
      </w:r>
      <w:r>
        <w:rPr>
          <w:rFonts w:ascii="Times New Roman" w:cs="Times New Roman" w:eastAsia="Times New Roman" w:hAnsi="Times New Roman"/>
          <w:sz w:val="19"/>
          <w:szCs w:val="19"/>
          <w:color w:val="auto"/>
        </w:rPr>
        <w:t>” means: (a) as to any Limited Partner who is an individual, (i) death, (ii) any physical or mental disability or incapacity that renders such Limited Partner incapable of performing the essential services required of him or her by the PWP Entities (after accounting for reasonable accommodation, if available), as determined by the General Partner, for a period of one hundred eighty (180) consecutive days or for shorter periods aggregating one hundred eighty (180) days during any twelve (12)-month period, or (iii) entry by a court of competent jurisdiction adjudicating such Limited Partner incompetent to manage his or her person or his or her estate;</w:t>
      </w:r>
    </w:p>
    <w:p>
      <w:pPr>
        <w:spacing w:after="0" w:line="2" w:lineRule="exact"/>
        <w:rPr>
          <w:sz w:val="20"/>
          <w:szCs w:val="20"/>
          <w:color w:val="auto"/>
        </w:rPr>
      </w:pPr>
    </w:p>
    <w:p>
      <w:pPr>
        <w:jc w:val="both"/>
        <w:ind w:firstLine="6"/>
        <w:spacing w:after="0" w:line="255" w:lineRule="auto"/>
        <w:tabs>
          <w:tab w:leader="none" w:pos="28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Limited Partner that is a corporation or limited liability company, the filing of a certificate of dissolution, or its equivalent, for the corporation or the revocation of its charter; (c) as to any Limited Partner that is a partnership, the dissolution and commencement of winding up of the partnership; (d) as to any Limited Partner that is an estate, the distribution by the fiduciary of the estate’s entire interest in the Partnership;</w:t>
      </w:r>
    </w:p>
    <w:p>
      <w:pPr>
        <w:jc w:val="both"/>
        <w:ind w:firstLine="6"/>
        <w:spacing w:after="0" w:line="261" w:lineRule="auto"/>
        <w:tabs>
          <w:tab w:leader="none" w:pos="277"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to any trustee of a trust that is a Limited Partner, the termination of the trust (but not the substitution of a new trustee); or (f) as to any Limited Partner, the Bankruptcy of such Limited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the definition of “Lock-Up Period,” </w:t>
      </w:r>
      <w:r>
        <w:rPr>
          <w:rFonts w:ascii="Times New Roman" w:cs="Times New Roman" w:eastAsia="Times New Roman" w:hAnsi="Times New Roman"/>
          <w:sz w:val="19"/>
          <w:szCs w:val="19"/>
          <w:u w:val="single" w:color="auto"/>
          <w:color w:val="auto"/>
        </w:rPr>
        <w:t>Section 7.10(a)(i)(5)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7.10(b)(v)</w:t>
      </w:r>
      <w:r>
        <w:rPr>
          <w:rFonts w:ascii="Times New Roman" w:cs="Times New Roman" w:eastAsia="Times New Roman" w:hAnsi="Times New Roman"/>
          <w:sz w:val="19"/>
          <w:szCs w:val="19"/>
          <w:color w:val="auto"/>
        </w:rPr>
        <w:t>, Incapacity shall only have the meaning set forth in clause (a).</w:t>
      </w:r>
    </w:p>
    <w:p>
      <w:pPr>
        <w:spacing w:after="0" w:line="179"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means (i) any Person made, or threatened to be made, a party to a proceeding by reason of its status as (a) the General Partner or the Special Limited Partner, (b) a manager, member, director, officer, employee, agent or representative of the General Partner, the Special Limited Partner or the Partnership or (c) any AdCo Professionals Partner, any Affiliate thereof and any of their respective Constituent Members, employees, managers consultants and agents and (ii) such other Persons (including Affiliates, employees or agents of the General Partner, the Special Limited Partner or the Partnership) as the General Partner may designate from time to time (whether before or after the event giving rise to potential liability).</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6.6(a)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9" w:right="339" w:bottom="1440" w:gutter="0" w:footer="0" w:header="0"/>
        </w:sectPr>
      </w:pPr>
    </w:p>
    <w:bookmarkStart w:id="119" w:name="page120"/>
    <w:bookmarkEnd w:id="119"/>
    <w:p>
      <w:pPr>
        <w:jc w:val="both"/>
        <w:ind w:firstLine="127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Partner</w:t>
      </w:r>
      <w:r>
        <w:rPr>
          <w:rFonts w:ascii="Times New Roman" w:cs="Times New Roman" w:eastAsia="Times New Roman" w:hAnsi="Times New Roman"/>
          <w:sz w:val="19"/>
          <w:szCs w:val="19"/>
          <w:color w:val="auto"/>
        </w:rPr>
        <w:t>” means the Special Limited Partner, each Founding Partner, each AdCo Professionals Partner and any other Person that is, from time to time, admitted to the Partnership as a limited partner pursuant to the Act and this Agreement, and any Substituted Limited Partner or Additional Limited Partner, each shown as such in the books and records of the Partnership, in each case, that has not ceased to be a limited partner of the Partnership pursuant to the Act and this Agreement, in such Person’s capacity as a limited partner of the Partnership.</w:t>
      </w: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Liquidating Event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12.2</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Liquidator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LLC Act</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Lock-Up Period</w:t>
      </w:r>
      <w:r>
        <w:rPr>
          <w:rFonts w:ascii="Times New Roman" w:cs="Times New Roman" w:eastAsia="Times New Roman" w:hAnsi="Times New Roman"/>
          <w:sz w:val="19"/>
          <w:szCs w:val="19"/>
          <w:color w:val="auto"/>
        </w:rPr>
        <w:t>” means:</w:t>
      </w:r>
    </w:p>
    <w:p>
      <w:pPr>
        <w:spacing w:after="0" w:line="219" w:lineRule="exact"/>
        <w:rPr>
          <w:sz w:val="20"/>
          <w:szCs w:val="20"/>
          <w:color w:val="auto"/>
        </w:rPr>
      </w:pPr>
    </w:p>
    <w:p>
      <w:pPr>
        <w:jc w:val="both"/>
        <w:ind w:left="640" w:firstLine="638"/>
        <w:spacing w:after="0" w:line="269" w:lineRule="auto"/>
        <w:tabs>
          <w:tab w:leader="none" w:pos="190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to each Partnership Class A-1 Common Unit held by a Working Partner (including any Partnership Class A-1 Common Units received in respect of such Partnership Class A-1 Common Unit as a result of the reallocation of any forfeited AdCo Common Units pursuant to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or any other equitable adjustment) (and except as provided in clause (b) below), the period commencing on the date of issuance and ending as follows:</w:t>
      </w:r>
    </w:p>
    <w:p>
      <w:pPr>
        <w:spacing w:after="0" w:line="203" w:lineRule="exact"/>
        <w:rPr>
          <w:sz w:val="20"/>
          <w:szCs w:val="20"/>
          <w:color w:val="auto"/>
        </w:rPr>
      </w:pPr>
    </w:p>
    <w:tbl>
      <w:tblPr>
        <w:tblLayout w:type="fixed"/>
        <w:tblInd w:w="650" w:type="dxa"/>
        <w:tblCellMar>
          <w:top w:w="0" w:type="dxa"/>
          <w:left w:w="0" w:type="dxa"/>
          <w:bottom w:w="0" w:type="dxa"/>
          <w:right w:w="0" w:type="dxa"/>
        </w:tblCellMar>
      </w:tblPr>
      <w:tr>
        <w:trPr>
          <w:trHeight w:val="331"/>
        </w:trPr>
        <w:tc>
          <w:tcPr>
            <w:tcW w:w="4600" w:type="dxa"/>
            <w:vAlign w:val="bottom"/>
            <w:tcBorders>
              <w:top w:val="single" w:sz="8" w:color="auto"/>
              <w:left w:val="single" w:sz="8" w:color="auto"/>
              <w:bottom w:val="single" w:sz="8" w:color="auto"/>
              <w:right w:val="single" w:sz="8" w:color="auto"/>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i w:val="1"/>
                <w:iCs w:val="1"/>
                <w:color w:val="auto"/>
              </w:rPr>
              <w:t>Lock-Up Release Date</w:t>
            </w:r>
          </w:p>
        </w:tc>
        <w:tc>
          <w:tcPr>
            <w:tcW w:w="940" w:type="dxa"/>
            <w:vAlign w:val="bottom"/>
            <w:tcBorders>
              <w:top w:val="single" w:sz="8" w:color="auto"/>
              <w:bottom w:val="single" w:sz="8" w:color="D9D9D9"/>
            </w:tcBorders>
            <w:shd w:val="clear" w:color="auto" w:fill="D9D9D9"/>
          </w:tcPr>
          <w:p>
            <w:pPr>
              <w:spacing w:after="0"/>
              <w:rPr>
                <w:sz w:val="24"/>
                <w:szCs w:val="24"/>
                <w:color w:val="auto"/>
              </w:rPr>
            </w:pPr>
          </w:p>
        </w:tc>
        <w:tc>
          <w:tcPr>
            <w:tcW w:w="3300" w:type="dxa"/>
            <w:vAlign w:val="bottom"/>
            <w:tcBorders>
              <w:top w:val="single" w:sz="8" w:color="auto"/>
              <w:bottom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9"/>
                <w:szCs w:val="19"/>
                <w:i w:val="1"/>
                <w:iCs w:val="1"/>
                <w:color w:val="auto"/>
              </w:rPr>
              <w:t>Cumulative Percentage of Class A-1 Units</w:t>
            </w:r>
          </w:p>
        </w:tc>
        <w:tc>
          <w:tcPr>
            <w:tcW w:w="96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600" w:type="dxa"/>
            <w:vAlign w:val="bottom"/>
            <w:tcBorders>
              <w:left w:val="single" w:sz="8" w:color="auto"/>
              <w:right w:val="single" w:sz="8" w:color="auto"/>
            </w:tcBorders>
            <w:gridSpan w:val="3"/>
            <w:vMerge w:val="continue"/>
            <w:shd w:val="clear" w:color="auto" w:fill="D9D9D9"/>
          </w:tcPr>
          <w:p>
            <w:pPr>
              <w:spacing w:after="0"/>
              <w:rPr>
                <w:sz w:val="7"/>
                <w:szCs w:val="7"/>
                <w:color w:val="auto"/>
              </w:rPr>
            </w:pPr>
          </w:p>
        </w:tc>
        <w:tc>
          <w:tcPr>
            <w:tcW w:w="940" w:type="dxa"/>
            <w:vAlign w:val="bottom"/>
            <w:shd w:val="clear" w:color="auto" w:fill="D9D9D9"/>
          </w:tcPr>
          <w:p>
            <w:pPr>
              <w:spacing w:after="0"/>
              <w:rPr>
                <w:sz w:val="7"/>
                <w:szCs w:val="7"/>
                <w:color w:val="auto"/>
              </w:rPr>
            </w:pPr>
          </w:p>
        </w:tc>
        <w:tc>
          <w:tcPr>
            <w:tcW w:w="720" w:type="dxa"/>
            <w:vAlign w:val="bottom"/>
            <w:shd w:val="clear" w:color="auto" w:fill="D9D9D9"/>
          </w:tcPr>
          <w:p>
            <w:pPr>
              <w:spacing w:after="0"/>
              <w:rPr>
                <w:sz w:val="7"/>
                <w:szCs w:val="7"/>
                <w:color w:val="auto"/>
              </w:rPr>
            </w:pPr>
          </w:p>
        </w:tc>
        <w:tc>
          <w:tcPr>
            <w:tcW w:w="3540" w:type="dxa"/>
            <w:vAlign w:val="bottom"/>
            <w:tcBorders>
              <w:right w:val="single" w:sz="8" w:color="auto"/>
            </w:tcBorders>
            <w:gridSpan w:val="3"/>
            <w:vMerge w:val="restart"/>
            <w:shd w:val="clear" w:color="auto" w:fill="D9D9D9"/>
          </w:tcPr>
          <w:p>
            <w:pPr>
              <w:jc w:val="center"/>
              <w:ind w:right="1700"/>
              <w:spacing w:after="0" w:line="205" w:lineRule="exact"/>
              <w:rPr>
                <w:sz w:val="20"/>
                <w:szCs w:val="20"/>
                <w:color w:val="auto"/>
              </w:rPr>
            </w:pPr>
            <w:r>
              <w:rPr>
                <w:rFonts w:ascii="Times New Roman" w:cs="Times New Roman" w:eastAsia="Times New Roman" w:hAnsi="Times New Roman"/>
                <w:sz w:val="19"/>
                <w:szCs w:val="19"/>
                <w:i w:val="1"/>
                <w:iCs w:val="1"/>
                <w:color w:val="auto"/>
              </w:rPr>
              <w:t>Released from Lock-Up</w:t>
            </w:r>
          </w:p>
        </w:tc>
        <w:tc>
          <w:tcPr>
            <w:tcW w:w="0" w:type="dxa"/>
            <w:vAlign w:val="bottom"/>
          </w:tcPr>
          <w:p>
            <w:pPr>
              <w:spacing w:after="0"/>
              <w:rPr>
                <w:sz w:val="1"/>
                <w:szCs w:val="1"/>
                <w:color w:val="auto"/>
              </w:rPr>
            </w:pPr>
          </w:p>
        </w:tc>
      </w:tr>
      <w:tr>
        <w:trPr>
          <w:trHeight w:val="99"/>
        </w:trPr>
        <w:tc>
          <w:tcPr>
            <w:tcW w:w="1420" w:type="dxa"/>
            <w:vAlign w:val="bottom"/>
            <w:tcBorders>
              <w:top w:val="single" w:sz="8" w:color="D9D9D9"/>
              <w:left w:val="single" w:sz="8" w:color="auto"/>
            </w:tcBorders>
            <w:shd w:val="clear" w:color="auto" w:fill="D9D9D9"/>
          </w:tcPr>
          <w:p>
            <w:pPr>
              <w:spacing w:after="0"/>
              <w:rPr>
                <w:sz w:val="8"/>
                <w:szCs w:val="8"/>
                <w:color w:val="auto"/>
              </w:rPr>
            </w:pPr>
          </w:p>
        </w:tc>
        <w:tc>
          <w:tcPr>
            <w:tcW w:w="1760" w:type="dxa"/>
            <w:vAlign w:val="bottom"/>
            <w:tcBorders>
              <w:top w:val="single" w:sz="8" w:color="auto"/>
            </w:tcBorders>
            <w:shd w:val="clear" w:color="auto" w:fill="D9D9D9"/>
          </w:tcPr>
          <w:p>
            <w:pPr>
              <w:spacing w:after="0"/>
              <w:rPr>
                <w:sz w:val="8"/>
                <w:szCs w:val="8"/>
                <w:color w:val="auto"/>
              </w:rPr>
            </w:pPr>
          </w:p>
        </w:tc>
        <w:tc>
          <w:tcPr>
            <w:tcW w:w="1420" w:type="dxa"/>
            <w:vAlign w:val="bottom"/>
            <w:tcBorders>
              <w:top w:val="single" w:sz="8" w:color="D9D9D9"/>
              <w:right w:val="single" w:sz="8" w:color="auto"/>
            </w:tcBorders>
            <w:shd w:val="clear" w:color="auto" w:fill="D9D9D9"/>
          </w:tcPr>
          <w:p>
            <w:pPr>
              <w:spacing w:after="0"/>
              <w:rPr>
                <w:sz w:val="8"/>
                <w:szCs w:val="8"/>
                <w:color w:val="auto"/>
              </w:rPr>
            </w:pPr>
          </w:p>
        </w:tc>
        <w:tc>
          <w:tcPr>
            <w:tcW w:w="940" w:type="dxa"/>
            <w:vAlign w:val="bottom"/>
            <w:tcBorders>
              <w:top w:val="single" w:sz="8" w:color="D9D9D9"/>
            </w:tcBorders>
            <w:shd w:val="clear" w:color="auto" w:fill="D9D9D9"/>
          </w:tcPr>
          <w:p>
            <w:pPr>
              <w:spacing w:after="0"/>
              <w:rPr>
                <w:sz w:val="8"/>
                <w:szCs w:val="8"/>
                <w:color w:val="auto"/>
              </w:rPr>
            </w:pPr>
          </w:p>
        </w:tc>
        <w:tc>
          <w:tcPr>
            <w:tcW w:w="720" w:type="dxa"/>
            <w:vAlign w:val="bottom"/>
            <w:tcBorders>
              <w:top w:val="single" w:sz="8" w:color="D9D9D9"/>
            </w:tcBorders>
            <w:shd w:val="clear" w:color="auto" w:fill="D9D9D9"/>
          </w:tcPr>
          <w:p>
            <w:pPr>
              <w:spacing w:after="0"/>
              <w:rPr>
                <w:sz w:val="8"/>
                <w:szCs w:val="8"/>
                <w:color w:val="auto"/>
              </w:rPr>
            </w:pPr>
          </w:p>
        </w:tc>
        <w:tc>
          <w:tcPr>
            <w:tcW w:w="3540" w:type="dxa"/>
            <w:vAlign w:val="bottom"/>
            <w:tcBorders>
              <w:top w:val="single" w:sz="8" w:color="D9D9D9"/>
              <w:right w:val="single" w:sz="8" w:color="auto"/>
            </w:tcBorders>
            <w:gridSpan w:val="3"/>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1420" w:type="dxa"/>
            <w:vAlign w:val="bottom"/>
            <w:tcBorders>
              <w:top w:val="single" w:sz="8" w:color="D9D9D9"/>
              <w:left w:val="single" w:sz="8" w:color="auto"/>
              <w:bottom w:val="single" w:sz="8" w:color="auto"/>
            </w:tcBorders>
            <w:shd w:val="clear" w:color="auto" w:fill="D9D9D9"/>
          </w:tcPr>
          <w:p>
            <w:pPr>
              <w:spacing w:after="0"/>
              <w:rPr>
                <w:sz w:val="23"/>
                <w:szCs w:val="23"/>
                <w:color w:val="auto"/>
              </w:rPr>
            </w:pPr>
          </w:p>
        </w:tc>
        <w:tc>
          <w:tcPr>
            <w:tcW w:w="1760" w:type="dxa"/>
            <w:vAlign w:val="bottom"/>
            <w:tcBorders>
              <w:top w:val="single" w:sz="8" w:color="D9D9D9"/>
              <w:bottom w:val="single" w:sz="8" w:color="auto"/>
            </w:tcBorders>
            <w:shd w:val="clear" w:color="auto" w:fill="D9D9D9"/>
          </w:tcPr>
          <w:p>
            <w:pPr>
              <w:spacing w:after="0"/>
              <w:rPr>
                <w:sz w:val="23"/>
                <w:szCs w:val="23"/>
                <w:color w:val="auto"/>
              </w:rPr>
            </w:pPr>
          </w:p>
        </w:tc>
        <w:tc>
          <w:tcPr>
            <w:tcW w:w="1420" w:type="dxa"/>
            <w:vAlign w:val="bottom"/>
            <w:tcBorders>
              <w:top w:val="single" w:sz="8" w:color="D9D9D9"/>
              <w:bottom w:val="single" w:sz="8" w:color="auto"/>
              <w:right w:val="single" w:sz="8" w:color="auto"/>
            </w:tcBorders>
            <w:shd w:val="clear" w:color="auto" w:fill="D9D9D9"/>
          </w:tcPr>
          <w:p>
            <w:pPr>
              <w:spacing w:after="0"/>
              <w:rPr>
                <w:sz w:val="23"/>
                <w:szCs w:val="23"/>
                <w:color w:val="auto"/>
              </w:rPr>
            </w:pPr>
          </w:p>
        </w:tc>
        <w:tc>
          <w:tcPr>
            <w:tcW w:w="940" w:type="dxa"/>
            <w:vAlign w:val="bottom"/>
            <w:tcBorders>
              <w:top w:val="single" w:sz="8" w:color="D9D9D9"/>
              <w:bottom w:val="single" w:sz="8" w:color="auto"/>
            </w:tcBorders>
            <w:shd w:val="clear" w:color="auto" w:fill="D9D9D9"/>
          </w:tcPr>
          <w:p>
            <w:pPr>
              <w:spacing w:after="0"/>
              <w:rPr>
                <w:sz w:val="23"/>
                <w:szCs w:val="23"/>
                <w:color w:val="auto"/>
              </w:rPr>
            </w:pPr>
          </w:p>
        </w:tc>
        <w:tc>
          <w:tcPr>
            <w:tcW w:w="720" w:type="dxa"/>
            <w:vAlign w:val="bottom"/>
            <w:tcBorders>
              <w:top w:val="single" w:sz="8" w:color="D9D9D9"/>
              <w:bottom w:val="single" w:sz="8" w:color="auto"/>
            </w:tcBorders>
            <w:shd w:val="clear" w:color="auto" w:fill="D9D9D9"/>
          </w:tcPr>
          <w:p>
            <w:pPr>
              <w:spacing w:after="0"/>
              <w:rPr>
                <w:sz w:val="23"/>
                <w:szCs w:val="23"/>
                <w:color w:val="auto"/>
              </w:rPr>
            </w:pPr>
          </w:p>
        </w:tc>
        <w:tc>
          <w:tcPr>
            <w:tcW w:w="1840" w:type="dxa"/>
            <w:vAlign w:val="bottom"/>
            <w:tcBorders>
              <w:top w:val="single" w:sz="8" w:color="auto"/>
              <w:bottom w:val="single" w:sz="8" w:color="auto"/>
            </w:tcBorders>
            <w:shd w:val="clear" w:color="auto" w:fill="D9D9D9"/>
          </w:tcPr>
          <w:p>
            <w:pPr>
              <w:spacing w:after="0"/>
              <w:rPr>
                <w:sz w:val="23"/>
                <w:szCs w:val="23"/>
                <w:color w:val="auto"/>
              </w:rPr>
            </w:pPr>
          </w:p>
        </w:tc>
        <w:tc>
          <w:tcPr>
            <w:tcW w:w="740" w:type="dxa"/>
            <w:vAlign w:val="bottom"/>
            <w:tcBorders>
              <w:top w:val="single" w:sz="8" w:color="D9D9D9"/>
              <w:bottom w:val="single" w:sz="8" w:color="auto"/>
            </w:tcBorders>
            <w:shd w:val="clear" w:color="auto" w:fill="D9D9D9"/>
          </w:tcPr>
          <w:p>
            <w:pPr>
              <w:spacing w:after="0"/>
              <w:rPr>
                <w:sz w:val="23"/>
                <w:szCs w:val="23"/>
                <w:color w:val="auto"/>
              </w:rPr>
            </w:pPr>
          </w:p>
        </w:tc>
        <w:tc>
          <w:tcPr>
            <w:tcW w:w="960" w:type="dxa"/>
            <w:vAlign w:val="bottom"/>
            <w:tcBorders>
              <w:top w:val="single" w:sz="8" w:color="D9D9D9"/>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56"/>
        </w:trPr>
        <w:tc>
          <w:tcPr>
            <w:tcW w:w="1420" w:type="dxa"/>
            <w:vAlign w:val="bottom"/>
            <w:tcBorders>
              <w:left w:val="single" w:sz="8" w:color="auto"/>
            </w:tcBorders>
          </w:tcPr>
          <w:p>
            <w:pPr>
              <w:spacing w:after="0"/>
              <w:rPr>
                <w:sz w:val="24"/>
                <w:szCs w:val="24"/>
                <w:color w:val="auto"/>
              </w:rPr>
            </w:pPr>
          </w:p>
        </w:tc>
        <w:tc>
          <w:tcPr>
            <w:tcW w:w="3180" w:type="dxa"/>
            <w:vAlign w:val="bottom"/>
            <w:tcBorders>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9"/>
                <w:szCs w:val="19"/>
                <w:color w:val="auto"/>
              </w:rPr>
              <w:t>May 16, 2024</w:t>
            </w:r>
          </w:p>
        </w:tc>
        <w:tc>
          <w:tcPr>
            <w:tcW w:w="3500" w:type="dxa"/>
            <w:vAlign w:val="bottom"/>
            <w:gridSpan w:val="3"/>
          </w:tcPr>
          <w:p>
            <w:pPr>
              <w:jc w:val="center"/>
              <w:ind w:left="1563"/>
              <w:spacing w:after="0"/>
              <w:rPr>
                <w:sz w:val="20"/>
                <w:szCs w:val="20"/>
                <w:color w:val="auto"/>
              </w:rPr>
            </w:pPr>
            <w:r>
              <w:rPr>
                <w:rFonts w:ascii="Times New Roman" w:cs="Times New Roman" w:eastAsia="Times New Roman" w:hAnsi="Times New Roman"/>
                <w:sz w:val="19"/>
                <w:szCs w:val="19"/>
                <w:color w:val="auto"/>
              </w:rPr>
              <w:t>20%</w:t>
            </w:r>
          </w:p>
        </w:tc>
        <w:tc>
          <w:tcPr>
            <w:tcW w:w="7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420" w:type="dxa"/>
            <w:vAlign w:val="bottom"/>
            <w:tcBorders>
              <w:left w:val="single" w:sz="8" w:color="auto"/>
            </w:tcBorders>
          </w:tcPr>
          <w:p>
            <w:pPr>
              <w:spacing w:after="0"/>
              <w:rPr>
                <w:sz w:val="24"/>
                <w:szCs w:val="24"/>
                <w:color w:val="auto"/>
              </w:rPr>
            </w:pPr>
          </w:p>
        </w:tc>
        <w:tc>
          <w:tcPr>
            <w:tcW w:w="3180" w:type="dxa"/>
            <w:vAlign w:val="bottom"/>
            <w:tcBorders>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9"/>
                <w:szCs w:val="19"/>
                <w:color w:val="auto"/>
              </w:rPr>
              <w:t>November 18, 2024</w:t>
            </w:r>
          </w:p>
        </w:tc>
        <w:tc>
          <w:tcPr>
            <w:tcW w:w="3500" w:type="dxa"/>
            <w:vAlign w:val="bottom"/>
            <w:gridSpan w:val="3"/>
          </w:tcPr>
          <w:p>
            <w:pPr>
              <w:jc w:val="center"/>
              <w:ind w:left="1563"/>
              <w:spacing w:after="0"/>
              <w:rPr>
                <w:sz w:val="20"/>
                <w:szCs w:val="20"/>
                <w:color w:val="auto"/>
              </w:rPr>
            </w:pPr>
            <w:r>
              <w:rPr>
                <w:rFonts w:ascii="Times New Roman" w:cs="Times New Roman" w:eastAsia="Times New Roman" w:hAnsi="Times New Roman"/>
                <w:sz w:val="19"/>
                <w:szCs w:val="19"/>
                <w:color w:val="auto"/>
              </w:rPr>
              <w:t>40%</w:t>
            </w:r>
          </w:p>
        </w:tc>
        <w:tc>
          <w:tcPr>
            <w:tcW w:w="7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420" w:type="dxa"/>
            <w:vAlign w:val="bottom"/>
            <w:tcBorders>
              <w:left w:val="single" w:sz="8" w:color="auto"/>
            </w:tcBorders>
          </w:tcPr>
          <w:p>
            <w:pPr>
              <w:spacing w:after="0"/>
              <w:rPr>
                <w:sz w:val="24"/>
                <w:szCs w:val="24"/>
                <w:color w:val="auto"/>
              </w:rPr>
            </w:pPr>
          </w:p>
        </w:tc>
        <w:tc>
          <w:tcPr>
            <w:tcW w:w="3180" w:type="dxa"/>
            <w:vAlign w:val="bottom"/>
            <w:tcBorders>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9"/>
                <w:szCs w:val="19"/>
                <w:color w:val="auto"/>
              </w:rPr>
              <w:t>May 16, 2025</w:t>
            </w:r>
          </w:p>
        </w:tc>
        <w:tc>
          <w:tcPr>
            <w:tcW w:w="3500" w:type="dxa"/>
            <w:vAlign w:val="bottom"/>
            <w:gridSpan w:val="3"/>
          </w:tcPr>
          <w:p>
            <w:pPr>
              <w:jc w:val="center"/>
              <w:ind w:left="1563"/>
              <w:spacing w:after="0"/>
              <w:rPr>
                <w:sz w:val="20"/>
                <w:szCs w:val="20"/>
                <w:color w:val="auto"/>
              </w:rPr>
            </w:pPr>
            <w:r>
              <w:rPr>
                <w:rFonts w:ascii="Times New Roman" w:cs="Times New Roman" w:eastAsia="Times New Roman" w:hAnsi="Times New Roman"/>
                <w:sz w:val="19"/>
                <w:szCs w:val="19"/>
                <w:color w:val="auto"/>
              </w:rPr>
              <w:t>60%</w:t>
            </w:r>
          </w:p>
        </w:tc>
        <w:tc>
          <w:tcPr>
            <w:tcW w:w="7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420" w:type="dxa"/>
            <w:vAlign w:val="bottom"/>
            <w:tcBorders>
              <w:left w:val="single" w:sz="8" w:color="auto"/>
            </w:tcBorders>
          </w:tcPr>
          <w:p>
            <w:pPr>
              <w:spacing w:after="0"/>
              <w:rPr>
                <w:sz w:val="24"/>
                <w:szCs w:val="24"/>
                <w:color w:val="auto"/>
              </w:rPr>
            </w:pPr>
          </w:p>
        </w:tc>
        <w:tc>
          <w:tcPr>
            <w:tcW w:w="3180" w:type="dxa"/>
            <w:vAlign w:val="bottom"/>
            <w:tcBorders>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9"/>
                <w:szCs w:val="19"/>
                <w:color w:val="auto"/>
              </w:rPr>
              <w:t>November 17, 2025</w:t>
            </w:r>
          </w:p>
        </w:tc>
        <w:tc>
          <w:tcPr>
            <w:tcW w:w="3500" w:type="dxa"/>
            <w:vAlign w:val="bottom"/>
            <w:gridSpan w:val="3"/>
          </w:tcPr>
          <w:p>
            <w:pPr>
              <w:jc w:val="center"/>
              <w:ind w:left="1563"/>
              <w:spacing w:after="0"/>
              <w:rPr>
                <w:sz w:val="20"/>
                <w:szCs w:val="20"/>
                <w:color w:val="auto"/>
              </w:rPr>
            </w:pPr>
            <w:r>
              <w:rPr>
                <w:rFonts w:ascii="Times New Roman" w:cs="Times New Roman" w:eastAsia="Times New Roman" w:hAnsi="Times New Roman"/>
                <w:sz w:val="19"/>
                <w:szCs w:val="19"/>
                <w:color w:val="auto"/>
              </w:rPr>
              <w:t>80%</w:t>
            </w:r>
          </w:p>
        </w:tc>
        <w:tc>
          <w:tcPr>
            <w:tcW w:w="7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1420" w:type="dxa"/>
            <w:vAlign w:val="bottom"/>
            <w:tcBorders>
              <w:left w:val="single" w:sz="8" w:color="auto"/>
            </w:tcBorders>
          </w:tcPr>
          <w:p>
            <w:pPr>
              <w:spacing w:after="0"/>
              <w:rPr>
                <w:sz w:val="24"/>
                <w:szCs w:val="24"/>
                <w:color w:val="auto"/>
              </w:rPr>
            </w:pPr>
          </w:p>
        </w:tc>
        <w:tc>
          <w:tcPr>
            <w:tcW w:w="3180" w:type="dxa"/>
            <w:vAlign w:val="bottom"/>
            <w:tcBorders>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9"/>
                <w:szCs w:val="19"/>
                <w:color w:val="auto"/>
              </w:rPr>
              <w:t>May 18, 2026</w:t>
            </w:r>
          </w:p>
        </w:tc>
        <w:tc>
          <w:tcPr>
            <w:tcW w:w="3500" w:type="dxa"/>
            <w:vAlign w:val="bottom"/>
            <w:gridSpan w:val="3"/>
          </w:tcPr>
          <w:p>
            <w:pPr>
              <w:jc w:val="center"/>
              <w:ind w:left="1583"/>
              <w:spacing w:after="0"/>
              <w:rPr>
                <w:sz w:val="20"/>
                <w:szCs w:val="20"/>
                <w:color w:val="auto"/>
              </w:rPr>
            </w:pPr>
            <w:r>
              <w:rPr>
                <w:rFonts w:ascii="Times New Roman" w:cs="Times New Roman" w:eastAsia="Times New Roman" w:hAnsi="Times New Roman"/>
                <w:sz w:val="19"/>
                <w:szCs w:val="19"/>
                <w:color w:val="auto"/>
              </w:rPr>
              <w:t>100%</w:t>
            </w:r>
          </w:p>
        </w:tc>
        <w:tc>
          <w:tcPr>
            <w:tcW w:w="7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left="640" w:firstLine="2"/>
        <w:spacing w:after="0" w:line="269" w:lineRule="auto"/>
        <w:tabs>
          <w:tab w:leader="none" w:pos="76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Lock-Up Period with respect to Partnership Class A-1 Common Units outstanding and held by those Working Partners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on the Reference Date shall terminate earlier in accordance with the terms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For the avoidance of doubt, if any of the terms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shall conflict with any of the terms set forth elsewhere in this Agreement, the terms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shall control.</w:t>
      </w:r>
    </w:p>
    <w:p>
      <w:pPr>
        <w:spacing w:after="0" w:line="173"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9"/>
          <w:szCs w:val="19"/>
          <w:color w:val="auto"/>
        </w:rPr>
        <w:t>Notwithstanding the foregoing, (i) the Lock-Up Period shall automatically expire on the Reference Date with respect to such number of Partnership Class A-1 Common Units outstanding and held by a Working Partner on the Reference Date that is sufficient to enable such Working Partner to pay any tax liabilities incurred by the Working Partner in connection with its receipt of such Partnership Class A-1 Common Units, (ii) the Lock-Up Period shall expire upon a determination that a Working Partner is required to recognize gain pursuant to section 704(c)(1)(B) of the Code, with respect to such number of Partnership Class A-1 Common Units outstanding and held by a Working Partner on the Reference Date that is sufficient to enable such</w:t>
      </w:r>
    </w:p>
    <w:p>
      <w:pPr>
        <w:sectPr>
          <w:pgSz w:w="11900" w:h="16838" w:orient="portrait"/>
          <w:cols w:equalWidth="0" w:num="1">
            <w:col w:w="11240"/>
          </w:cols>
          <w:pgMar w:left="320" w:top="13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9" w:right="339" w:bottom="1440" w:gutter="0" w:footer="0" w:header="0"/>
          <w:type w:val="continuous"/>
        </w:sectPr>
      </w:pPr>
    </w:p>
    <w:bookmarkStart w:id="120" w:name="page121"/>
    <w:bookmarkEnd w:id="120"/>
    <w:p>
      <w:pPr>
        <w:jc w:val="both"/>
        <w:ind w:left="640"/>
        <w:spacing w:after="0" w:line="269" w:lineRule="auto"/>
        <w:rPr>
          <w:sz w:val="20"/>
          <w:szCs w:val="20"/>
          <w:color w:val="auto"/>
        </w:rPr>
      </w:pPr>
      <w:r>
        <w:rPr>
          <w:rFonts w:ascii="Times New Roman" w:cs="Times New Roman" w:eastAsia="Times New Roman" w:hAnsi="Times New Roman"/>
          <w:sz w:val="19"/>
          <w:szCs w:val="19"/>
          <w:color w:val="auto"/>
        </w:rPr>
        <w:t xml:space="preserve">Working Partner to pay any tax liabilities incurred by the Working Partner in connection with such gain and (iii) except as set forth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the Lock-Up Period shall be re-instated or extended, as the case may be, for twelve (12) months following the applicable date of Termination with respect to each such Partnership Class A-1 Common Unit, if an AdCo Professionals Partner (or its Associated Person) is Terminated as a result of such AdCo Professionals Partner’s (or its Associated Person’s) resignation without Good Reason;</w:t>
      </w:r>
    </w:p>
    <w:p>
      <w:pPr>
        <w:spacing w:after="0" w:line="160" w:lineRule="exact"/>
        <w:rPr>
          <w:sz w:val="20"/>
          <w:szCs w:val="20"/>
          <w:color w:val="auto"/>
        </w:rPr>
      </w:pPr>
    </w:p>
    <w:p>
      <w:pPr>
        <w:jc w:val="both"/>
        <w:ind w:left="640" w:firstLine="638"/>
        <w:spacing w:after="0" w:line="261" w:lineRule="auto"/>
        <w:tabs>
          <w:tab w:leader="none" w:pos="19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to each Partnership Class A-1 Common Unit received in respect of any vested Partnership Class A-2 Common Unit or Partnership Class A-3 Common Unit held by an AdCo Professionals Partner (including, as applicable, any Partnership Class A-2 Common Units or Partnership Class A-3 Common Units received in respect of such Partnership Class A-2 Common Unit or Partnership Class A-3 Common Unit as a result of the reallocation of any forfeited AdCo Common Units pursuant to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or any other equitable adjustment that, in any case, subsequently vests), the period commencing on the date of issuance and ending upon the Vesting Date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the Lock-Up Period shall be re-instated for twelve (12) months following the applicable date of Termination with respect to each Partnership Class A-1 Common Unit received in respect of any such vested Partnership Class A-2 Common Unit or Partnership Class A-3 Common Unit if an AdCo Professionals Partner (or its Associated Person) other than a Working Partner listed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is Terminated as a result of such AdCo Professionals Partner’s (or its Associated Person’s) resignation without Good Reason;</w:t>
      </w:r>
    </w:p>
    <w:p>
      <w:pPr>
        <w:spacing w:after="0" w:line="168" w:lineRule="exact"/>
        <w:rPr>
          <w:sz w:val="20"/>
          <w:szCs w:val="20"/>
          <w:color w:val="auto"/>
        </w:rPr>
      </w:pPr>
    </w:p>
    <w:p>
      <w:pPr>
        <w:jc w:val="both"/>
        <w:ind w:left="640"/>
        <w:spacing w:after="0" w:line="28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(x) in no event will the Lock-Up Period extend beyond the date that is six (6) years after the Reference Date and (y) the Lock-Up Period shall automatically expire with respect to the Partnership Units held by an AdCo Professionals Partner (or its Associated Person) upon such AdCo Professionals Partner’s (or its Associated Person’s) Incapacitation; and</w:t>
      </w:r>
    </w:p>
    <w:p>
      <w:pPr>
        <w:spacing w:after="0" w:line="150" w:lineRule="exact"/>
        <w:rPr>
          <w:sz w:val="20"/>
          <w:szCs w:val="20"/>
          <w:color w:val="auto"/>
        </w:rPr>
      </w:pPr>
    </w:p>
    <w:p>
      <w:pPr>
        <w:ind w:left="640" w:firstLine="638"/>
        <w:spacing w:after="0" w:line="300" w:lineRule="auto"/>
        <w:tabs>
          <w:tab w:leader="none" w:pos="190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all other Partnership Interests not the subject of clause (a) or (b) of this definition, a twelve (12)-month period ending on the day before the first (1st) anniversary of a Holder first acquiring such Partnership Interest;</w:t>
      </w:r>
    </w:p>
    <w:p>
      <w:pPr>
        <w:spacing w:after="0" w:line="130"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any of the foregoing, PWP LLC may, by written agreement with a Holder, shorten, lengthen or waive the Lock-Up Period applicable to such Holder, in the sole discretion of PWP LLC, and without having any obligation to do so for any other Holder.</w:t>
      </w:r>
    </w:p>
    <w:p>
      <w:pPr>
        <w:spacing w:after="0" w:line="169"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 of the AdCo Professionals Partners</w:t>
      </w:r>
      <w:r>
        <w:rPr>
          <w:rFonts w:ascii="Times New Roman" w:cs="Times New Roman" w:eastAsia="Times New Roman" w:hAnsi="Times New Roman"/>
          <w:sz w:val="19"/>
          <w:szCs w:val="19"/>
          <w:color w:val="auto"/>
        </w:rPr>
        <w:t>” means AdCo Professionals Partners entitled to vote on or consent to any matter holding more than fifty percent (50%) of all outstanding AdCo Common Units (or any sub-class of AdCo Common Units) held by all AdCo Professionals Partners entitled to vote on or consent to such matter.</w:t>
      </w:r>
    </w:p>
    <w:p>
      <w:pPr>
        <w:spacing w:after="0" w:line="169"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 of the Limited Partners</w:t>
      </w:r>
      <w:r>
        <w:rPr>
          <w:rFonts w:ascii="Times New Roman" w:cs="Times New Roman" w:eastAsia="Times New Roman" w:hAnsi="Times New Roman"/>
          <w:sz w:val="19"/>
          <w:szCs w:val="19"/>
          <w:color w:val="auto"/>
        </w:rPr>
        <w:t>” means Partners (excluding the General Partner, the Special Limited Partner and any Controlled Entity of either of them) entitled to vote on or consent to any matter holding more than fifty percent (50%) of all outstanding Partnership Units held by all Partners (excluding the General Partner, the Special Limited Partner and any Controlled Entity of either of them) entitled to vote on or consent to such matter.</w:t>
      </w:r>
    </w:p>
    <w:p>
      <w:pPr>
        <w:spacing w:after="0" w:line="160"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in Interest of the Partners</w:t>
      </w:r>
      <w:r>
        <w:rPr>
          <w:rFonts w:ascii="Times New Roman" w:cs="Times New Roman" w:eastAsia="Times New Roman" w:hAnsi="Times New Roman"/>
          <w:sz w:val="19"/>
          <w:szCs w:val="19"/>
          <w:color w:val="auto"/>
        </w:rPr>
        <w:t>” means Partners (including the General Partner, the Special Limited Partner and any Controlled Entity of either of them) entitled to vote on or consent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9" w:right="339" w:bottom="1440" w:gutter="0" w:footer="0" w:header="0"/>
        </w:sectPr>
      </w:pPr>
    </w:p>
    <w:bookmarkStart w:id="121" w:name="page122"/>
    <w:bookmarkEnd w:id="121"/>
    <w:p>
      <w:pPr>
        <w:jc w:val="both"/>
        <w:spacing w:after="0" w:line="273" w:lineRule="auto"/>
        <w:rPr>
          <w:sz w:val="20"/>
          <w:szCs w:val="20"/>
          <w:color w:val="auto"/>
        </w:rPr>
      </w:pPr>
      <w:r>
        <w:rPr>
          <w:rFonts w:ascii="Times New Roman" w:cs="Times New Roman" w:eastAsia="Times New Roman" w:hAnsi="Times New Roman"/>
          <w:sz w:val="19"/>
          <w:szCs w:val="19"/>
          <w:color w:val="auto"/>
        </w:rPr>
        <w:t>matter holding more than fifty percent (50%) of all outstanding Partnership Units held by all Partners (including the General Partner, the Special Limited Partner and any Controlled Entity of either of them) entitled to vote on or consent to such matter. Unless otherwise specified, references in this definition to “Partnership Units” shall mean Partnership Class A Common Units and Partnership Class B Common Units.</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Merger</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jc w:val="both"/>
        <w:ind w:firstLine="1272"/>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Income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Net Loss</w:t>
      </w:r>
      <w:r>
        <w:rPr>
          <w:rFonts w:ascii="Times New Roman" w:cs="Times New Roman" w:eastAsia="Times New Roman" w:hAnsi="Times New Roman"/>
          <w:sz w:val="19"/>
          <w:szCs w:val="19"/>
          <w:color w:val="auto"/>
        </w:rPr>
        <w:t>” means, for each Fiscal Year of the Partnership, an amount equal to the Partnership’s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50" w:lineRule="exact"/>
        <w:rPr>
          <w:sz w:val="20"/>
          <w:szCs w:val="20"/>
          <w:color w:val="auto"/>
        </w:rPr>
      </w:pPr>
    </w:p>
    <w:p>
      <w:pPr>
        <w:jc w:val="both"/>
        <w:ind w:left="1280" w:firstLine="634"/>
        <w:spacing w:after="0" w:line="273" w:lineRule="auto"/>
        <w:tabs>
          <w:tab w:leader="none" w:pos="255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of the Partnership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168"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expenditure of the Partnership described in Code section 705(a)(2)(B) or treated as a Code section 705(a)</w:t>
      </w:r>
    </w:p>
    <w:p>
      <w:pPr>
        <w:spacing w:after="0" w:line="34" w:lineRule="exact"/>
        <w:rPr>
          <w:rFonts w:ascii="Times New Roman" w:cs="Times New Roman" w:eastAsia="Times New Roman" w:hAnsi="Times New Roman"/>
          <w:sz w:val="19"/>
          <w:szCs w:val="19"/>
          <w:color w:val="auto"/>
        </w:rPr>
      </w:pPr>
    </w:p>
    <w:p>
      <w:pPr>
        <w:jc w:val="both"/>
        <w:ind w:left="1280"/>
        <w:spacing w:after="0" w:line="26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(2)(B) expenditure pursuant to Regulations section 1.704-1(b)(2)(iv)(i), and not otherwise taken into account in computing Net Income (or Net Loss) pursuant to this definition of “Net Income” or “Net Loss,” shall be subtracted from (or added to, as the case may be) such taxable income (or loss);</w:t>
      </w:r>
    </w:p>
    <w:p>
      <w:pPr>
        <w:spacing w:after="0" w:line="162" w:lineRule="exact"/>
        <w:rPr>
          <w:rFonts w:ascii="Times New Roman" w:cs="Times New Roman" w:eastAsia="Times New Roman" w:hAnsi="Times New Roman"/>
          <w:sz w:val="19"/>
          <w:szCs w:val="19"/>
          <w:color w:val="auto"/>
        </w:rPr>
      </w:pPr>
    </w:p>
    <w:p>
      <w:pPr>
        <w:jc w:val="both"/>
        <w:ind w:left="1280" w:firstLine="634"/>
        <w:spacing w:after="0" w:line="269" w:lineRule="auto"/>
        <w:tabs>
          <w:tab w:leader="none" w:pos="255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Gross Asset Value of any Partnership asset is adjusted pursuant to subsection (ii) or subsection (iii) of the definition of “Gross Asset Value,” the amount of such adjustment (i.e., the hypothetical gain or loss from the revaluation of the Partnership asset) shall be taken into account as gain or loss from the disposition of such asset for purposes of computing Net Income or Net Loss;</w:t>
      </w:r>
    </w:p>
    <w:p>
      <w:pPr>
        <w:spacing w:after="0" w:line="173" w:lineRule="exact"/>
        <w:rPr>
          <w:rFonts w:ascii="Times New Roman" w:cs="Times New Roman" w:eastAsia="Times New Roman" w:hAnsi="Times New Roman"/>
          <w:sz w:val="19"/>
          <w:szCs w:val="19"/>
          <w:color w:val="auto"/>
        </w:rPr>
      </w:pPr>
    </w:p>
    <w:p>
      <w:pPr>
        <w:jc w:val="both"/>
        <w:ind w:left="1280" w:firstLine="634"/>
        <w:spacing w:after="0" w:line="273" w:lineRule="auto"/>
        <w:tabs>
          <w:tab w:leader="none" w:pos="254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55" w:lineRule="exact"/>
        <w:rPr>
          <w:rFonts w:ascii="Times New Roman" w:cs="Times New Roman" w:eastAsia="Times New Roman" w:hAnsi="Times New Roman"/>
          <w:sz w:val="19"/>
          <w:szCs w:val="19"/>
          <w:color w:val="auto"/>
        </w:rPr>
      </w:pPr>
    </w:p>
    <w:p>
      <w:pPr>
        <w:ind w:left="1280" w:firstLine="634"/>
        <w:spacing w:after="0" w:line="300" w:lineRule="auto"/>
        <w:tabs>
          <w:tab w:leader="none" w:pos="25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142" w:lineRule="exact"/>
        <w:rPr>
          <w:rFonts w:ascii="Times New Roman" w:cs="Times New Roman" w:eastAsia="Times New Roman" w:hAnsi="Times New Roman"/>
          <w:sz w:val="19"/>
          <w:szCs w:val="19"/>
          <w:color w:val="auto"/>
        </w:rPr>
      </w:pPr>
    </w:p>
    <w:p>
      <w:pPr>
        <w:jc w:val="both"/>
        <w:ind w:left="1280" w:firstLine="634"/>
        <w:spacing w:after="0" w:line="263" w:lineRule="auto"/>
        <w:tabs>
          <w:tab w:leader="none" w:pos="254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 adjustment to the adjusted tax basis of any Partnership asset pursuant to Code 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89" w:right="339" w:bottom="1440" w:gutter="0" w:footer="0" w:header="0"/>
        </w:sectPr>
      </w:pPr>
    </w:p>
    <w:bookmarkStart w:id="122" w:name="page123"/>
    <w:bookmarkEnd w:id="122"/>
    <w:p>
      <w:pPr>
        <w:jc w:val="both"/>
        <w:ind w:left="1280" w:firstLine="634"/>
        <w:spacing w:after="0" w:line="269" w:lineRule="auto"/>
        <w:tabs>
          <w:tab w:leader="none" w:pos="254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definition of “Net Income” or “Net Loss,” any item that is specially allocated pursuant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shall not be taken into account in computing Net Income or Net Loss. The amounts of the items of Partnership income, gain, loss or deduction available to be specially allocated pursuant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shall be determined by applying rules analogous to those set forth in this definition of “Net Income” or “Net Loss.”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Professionals Merger</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Securities</w:t>
      </w:r>
      <w:r>
        <w:rPr>
          <w:rFonts w:ascii="Times New Roman" w:cs="Times New Roman" w:eastAsia="Times New Roman" w:hAnsi="Times New Roman"/>
          <w:sz w:val="19"/>
          <w:szCs w:val="19"/>
          <w:color w:val="auto"/>
        </w:rPr>
        <w:t>” means (i) any rights, options, warrants or convertible or exchangeable securities that entitle the holder thereof to subscribe for or purchase, convert such securities into or exchange such securities for, Common Shares or Preferred Shares, excluding Preferred Shares and grants under the Equity Plans, or (ii) any Debt issued by the Special Limited Partner that provides any of the rights described in clause (i).</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Courts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15.3(f)</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PTET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PTET Credit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PTET Election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PTET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York PTET Year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Nonrecourse Deductions</w:t>
      </w:r>
      <w:r>
        <w:rPr>
          <w:rFonts w:ascii="Times New Roman" w:cs="Times New Roman" w:eastAsia="Times New Roman" w:hAnsi="Times New Roman"/>
          <w:sz w:val="19"/>
          <w:szCs w:val="19"/>
          <w:color w:val="auto"/>
        </w:rPr>
        <w:t>” has the meaning set forth in Regulations section 1.704-2(b)(1), and the amount of Nonrecourse Deductions for a Fiscal Year shall be determined in accordance with the rules of Regulations section 1.704-2(c).</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Nonrecourse Liability</w:t>
      </w:r>
      <w:r>
        <w:rPr>
          <w:rFonts w:ascii="Times New Roman" w:cs="Times New Roman" w:eastAsia="Times New Roman" w:hAnsi="Times New Roman"/>
          <w:sz w:val="19"/>
          <w:szCs w:val="19"/>
          <w:color w:val="auto"/>
        </w:rPr>
        <w:t>” has the meaning set forth in Regulations section 1.752-1(a)(2).</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Period</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Optionee</w:t>
      </w:r>
      <w:r>
        <w:rPr>
          <w:rFonts w:ascii="Times New Roman" w:cs="Times New Roman" w:eastAsia="Times New Roman" w:hAnsi="Times New Roman"/>
          <w:sz w:val="19"/>
          <w:szCs w:val="19"/>
          <w:color w:val="auto"/>
        </w:rPr>
        <w:t>” means a Person to whom a stock option is granted under any Equity Plan.</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Agreement</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Partnership Units</w:t>
      </w:r>
      <w:r>
        <w:rPr>
          <w:rFonts w:ascii="Times New Roman" w:cs="Times New Roman" w:eastAsia="Times New Roman" w:hAnsi="Times New Roman"/>
          <w:sz w:val="19"/>
          <w:szCs w:val="19"/>
          <w:color w:val="auto"/>
        </w:rPr>
        <w:t>” means all Partnership Units, other than AdCo Common Units.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PTET Credit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PTET Election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PTET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PTET Year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w:t>
      </w:r>
      <w:r>
        <w:rPr>
          <w:rFonts w:ascii="Times New Roman" w:cs="Times New Roman" w:eastAsia="Times New Roman" w:hAnsi="Times New Roman"/>
          <w:sz w:val="19"/>
          <w:szCs w:val="19"/>
          <w:color w:val="auto"/>
        </w:rPr>
        <w:t>” means the General Partner or a Limited Partner, and “</w:t>
      </w:r>
      <w:r>
        <w:rPr>
          <w:rFonts w:ascii="Times New Roman" w:cs="Times New Roman" w:eastAsia="Times New Roman" w:hAnsi="Times New Roman"/>
          <w:sz w:val="19"/>
          <w:szCs w:val="19"/>
          <w:u w:val="single" w:color="auto"/>
          <w:color w:val="auto"/>
        </w:rPr>
        <w:t>Partners</w:t>
      </w:r>
      <w:r>
        <w:rPr>
          <w:rFonts w:ascii="Times New Roman" w:cs="Times New Roman" w:eastAsia="Times New Roman" w:hAnsi="Times New Roman"/>
          <w:sz w:val="19"/>
          <w:szCs w:val="19"/>
          <w:color w:val="auto"/>
        </w:rPr>
        <w:t>” means the General Partner and the Limited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9" w:right="339" w:bottom="1440" w:gutter="0" w:footer="0" w:header="0"/>
        </w:sectPr>
      </w:pPr>
    </w:p>
    <w:bookmarkStart w:id="123" w:name="page124"/>
    <w:bookmarkEnd w:id="123"/>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 Minimum Gain</w:t>
      </w:r>
      <w:r>
        <w:rPr>
          <w:rFonts w:ascii="Times New Roman" w:cs="Times New Roman" w:eastAsia="Times New Roman" w:hAnsi="Times New Roman"/>
          <w:sz w:val="19"/>
          <w:szCs w:val="19"/>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 Nonrecourse Debt</w:t>
      </w:r>
      <w:r>
        <w:rPr>
          <w:rFonts w:ascii="Times New Roman" w:cs="Times New Roman" w:eastAsia="Times New Roman" w:hAnsi="Times New Roman"/>
          <w:sz w:val="19"/>
          <w:szCs w:val="19"/>
          <w:color w:val="auto"/>
        </w:rPr>
        <w:t>” has the meaning set forth in Regulations section 1.704-2(b)(4).</w:t>
      </w:r>
    </w:p>
    <w:p>
      <w:pPr>
        <w:spacing w:after="0" w:line="219" w:lineRule="exact"/>
        <w:rPr>
          <w:sz w:val="20"/>
          <w:szCs w:val="20"/>
          <w:color w:val="auto"/>
        </w:rPr>
      </w:pPr>
    </w:p>
    <w:p>
      <w:pPr>
        <w:jc w:val="both"/>
        <w:ind w:firstLine="1272"/>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 Nonrecourse Deductions</w:t>
      </w:r>
      <w:r>
        <w:rPr>
          <w:rFonts w:ascii="Times New Roman" w:cs="Times New Roman" w:eastAsia="Times New Roman" w:hAnsi="Times New Roman"/>
          <w:sz w:val="19"/>
          <w:szCs w:val="19"/>
          <w:color w:val="auto"/>
        </w:rPr>
        <w:t>” has the meaning set forth in Regulations section 1.704-2(i)(1) and 1.704-2(i)(2), and the amount of Partner Nonrecourse Deductions with respect to a Partner Nonrecourse Debt for a Fiscal Year shall be determined in accordance with the rules of Regulations section 1.704-2(i)(1) and 1.704-2(i)(2).</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Audit Procedures</w:t>
      </w:r>
      <w:r>
        <w:rPr>
          <w:rFonts w:ascii="Times New Roman" w:cs="Times New Roman" w:eastAsia="Times New Roman" w:hAnsi="Times New Roman"/>
          <w:sz w:val="19"/>
          <w:szCs w:val="19"/>
          <w:color w:val="auto"/>
        </w:rPr>
        <w:t>” means Code sections 6221 through 6241 and any successor statutes thereto or the Regulations promulgated thereunder.</w:t>
      </w:r>
    </w:p>
    <w:p>
      <w:pPr>
        <w:spacing w:after="0" w:line="157" w:lineRule="exact"/>
        <w:rPr>
          <w:sz w:val="20"/>
          <w:szCs w:val="20"/>
          <w:color w:val="auto"/>
        </w:rPr>
      </w:pPr>
    </w:p>
    <w:p>
      <w:pPr>
        <w:jc w:val="both"/>
        <w:ind w:firstLine="127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A-0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AdCo Common Unit, Partnership Class B Common Unit, Partnership Junior Unit, Partnership Preferred Unit or any other Partnership Unit specified in a Partnership Unit Designation as being other than a Partnership Class A-0 Common Unit. For the avoidance of doubt, all references to “Partnership Class A Common Units” and “OP Class A Common Units” in the Charter shall be deemed to reference the Partnership Class A-0 Common Units and no other class of Partnership Class A Common Units.</w:t>
      </w:r>
    </w:p>
    <w:p>
      <w:pPr>
        <w:spacing w:after="0" w:line="176"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A-1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A-0 Common Unit, Partnership Class A-2 Common Unit, Partnership Class A-3 Common Unit, Partnership Class B Common Unit, Partnership Junior Unit, Partnership Preferred Unit or any other Partnership Unit specified in a Partnership Unit Designation as being other than a Partnership Class A-1 Common Unit.</w:t>
      </w:r>
    </w:p>
    <w:p>
      <w:pPr>
        <w:spacing w:after="0" w:line="160"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A-2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A-0 Common Unit, Partnership Class A-1 Common Unit, Partnership Class A-3 Common Unit, Partnership Class B Common Unit, Partnership Junior Unit, Partnership Preferred Unit or any other Partnership Unit specified in a Partnership Unit Designation as being other than a Partnership Class A-2 Common Unit.</w:t>
      </w:r>
    </w:p>
    <w:p>
      <w:pPr>
        <w:spacing w:after="0" w:line="173" w:lineRule="exact"/>
        <w:rPr>
          <w:sz w:val="20"/>
          <w:szCs w:val="20"/>
          <w:color w:val="auto"/>
        </w:rPr>
      </w:pPr>
    </w:p>
    <w:p>
      <w:pPr>
        <w:jc w:val="both"/>
        <w:ind w:firstLine="127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A-3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A-0 Common Unit, Partnership Class A-1 Common Unit, Partnership Class A-2 Common Unit, Partnership Class B Common Unit, Partnership Junior Unit, Partnership Preferred Unit or any other Partnership Unit specified in a Partnership Unit Designation as being other than a Partnership Class A-3 Common Unit.</w:t>
      </w:r>
    </w:p>
    <w:p>
      <w:pPr>
        <w:spacing w:after="0" w:line="178"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A Common Unit</w:t>
      </w:r>
      <w:r>
        <w:rPr>
          <w:rFonts w:ascii="Times New Roman" w:cs="Times New Roman" w:eastAsia="Times New Roman" w:hAnsi="Times New Roman"/>
          <w:sz w:val="19"/>
          <w:szCs w:val="19"/>
          <w:color w:val="auto"/>
        </w:rPr>
        <w:t>” means a Partnership Class A-0 Common Unit, Partnership Class A-1 Common Unit, Partnership Class A-2 Common Unit or a Partnership Class A-3 Common Unit. For the avoidance of doubt, all references to “Partnership Class A Common Units”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89" w:right="339" w:bottom="1440" w:gutter="0" w:footer="0" w:header="0"/>
        </w:sectPr>
      </w:pPr>
    </w:p>
    <w:bookmarkStart w:id="124" w:name="page125"/>
    <w:bookmarkEnd w:id="124"/>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“OP Class A Common Units” in the Charter shall be deemed to reference the Partnership Class A-0 Common Units and no other class of Partnership Class A Common Units.</w:t>
      </w:r>
    </w:p>
    <w:p>
      <w:pPr>
        <w:spacing w:after="0" w:line="130"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B-1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 Common Unit, Partnership Class B-2 Common Unit, Partnership Junior Unit, Partnership Preferred Unit or any other Partnership Unit specified in a Partnership Unit Designation as being other than a Partnership Class B-1 Common Unit.</w:t>
      </w:r>
    </w:p>
    <w:p>
      <w:pPr>
        <w:spacing w:after="0" w:line="173" w:lineRule="exact"/>
        <w:rPr>
          <w:sz w:val="20"/>
          <w:szCs w:val="20"/>
          <w:color w:val="auto"/>
        </w:rPr>
      </w:pPr>
    </w:p>
    <w:p>
      <w:pPr>
        <w:jc w:val="both"/>
        <w:ind w:firstLine="127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B-2 Common Unit</w:t>
      </w:r>
      <w:r>
        <w:rPr>
          <w:rFonts w:ascii="Times New Roman" w:cs="Times New Roman" w:eastAsia="Times New Roman" w:hAnsi="Times New Roman"/>
          <w:sz w:val="19"/>
          <w:szCs w:val="19"/>
          <w:color w:val="auto"/>
        </w:rPr>
        <w:t xml:space="preserve">” means a fractional share of the Partnership Interests of all Partners issued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but does not include any Partnership Class A Common Unit, Partnership Class B-1 Common Unit, Partnership Junior Unit, Partnership Preferred Unit or any other Partnership Unit specified in a Partnership Unit Designation as being other than a Partnership Class B-2 Common Unit.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Class B Common Unit</w:t>
      </w:r>
      <w:r>
        <w:rPr>
          <w:rFonts w:ascii="Times New Roman" w:cs="Times New Roman" w:eastAsia="Times New Roman" w:hAnsi="Times New Roman"/>
          <w:sz w:val="19"/>
          <w:szCs w:val="19"/>
          <w:color w:val="auto"/>
        </w:rPr>
        <w:t>” means a Partnership Class B-1 Common Unit or a Partnership Class B-2 Common Unit.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Common Unit</w:t>
      </w:r>
      <w:r>
        <w:rPr>
          <w:rFonts w:ascii="Times New Roman" w:cs="Times New Roman" w:eastAsia="Times New Roman" w:hAnsi="Times New Roman"/>
          <w:sz w:val="19"/>
          <w:szCs w:val="19"/>
          <w:color w:val="auto"/>
        </w:rPr>
        <w:t>” means a Partnership Class A Common Unit or Partnership Class B Common Unit.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Counsel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15.1</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Employee</w:t>
      </w:r>
      <w:r>
        <w:rPr>
          <w:rFonts w:ascii="Times New Roman" w:cs="Times New Roman" w:eastAsia="Times New Roman" w:hAnsi="Times New Roman"/>
          <w:sz w:val="19"/>
          <w:szCs w:val="19"/>
          <w:color w:val="auto"/>
        </w:rPr>
        <w:t>” means an employee of the Partnership or an employee of a Subsidiary of the Partnership, if any.</w:t>
      </w:r>
    </w:p>
    <w:p>
      <w:pPr>
        <w:spacing w:after="0" w:line="219"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Equivalent Units</w:t>
      </w:r>
      <w:r>
        <w:rPr>
          <w:rFonts w:ascii="Times New Roman" w:cs="Times New Roman" w:eastAsia="Times New Roman" w:hAnsi="Times New Roman"/>
          <w:sz w:val="19"/>
          <w:szCs w:val="19"/>
          <w:color w:val="auto"/>
        </w:rPr>
        <w:t xml:space="preserve">” means, with respect to any class or series of Capital Shares, Partnership Units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Capital Shares as appropriate to reflect the relative rights and preferences of such Capital Shares as to the Common Shares and the other classes and series of Capital Shares as such Partnership Equivalent Units would have as to Partnership Common Units and the other classes and series of Partnership Units corresponding to the other classes of Capital Shares, but not as to matters such as voting for members of the Board of Directors that are not applicable to the Partnership. For the avoidance of doubt, the voting rights, redemption rights and rights to Transfer Partnership Equivalent Units need not be similar to the rights of the corresponding class or series of Capital Shares;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with respect to redemption rights, the terms of Partnership Equivalent Units must be such so that the Partnership complies with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127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Interest</w:t>
      </w:r>
      <w:r>
        <w:rPr>
          <w:rFonts w:ascii="Times New Roman" w:cs="Times New Roman" w:eastAsia="Times New Roman" w:hAnsi="Times New Roman"/>
          <w:sz w:val="19"/>
          <w:szCs w:val="19"/>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 Partnership Interest may be expressed as a number of Partnership Common Units, Partnership Preferred Units or other Partnership Units.</w:t>
      </w:r>
    </w:p>
    <w:p>
      <w:pPr>
        <w:spacing w:after="0" w:line="163"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Junior Unit</w:t>
      </w:r>
      <w:r>
        <w:rPr>
          <w:rFonts w:ascii="Times New Roman" w:cs="Times New Roman" w:eastAsia="Times New Roman" w:hAnsi="Times New Roman"/>
          <w:sz w:val="19"/>
          <w:szCs w:val="19"/>
          <w:color w:val="auto"/>
        </w:rPr>
        <w:t xml:space="preserve">” means a fractional share of the Partnership Interests of a particular class or series that the General Partner has authorized pursuant to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8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color w:val="auto"/>
        </w:rPr>
        <w:t>distribution rights, or rights upon liquidation, winding up and dissolution, that are inferior or junior to the Partnership Common Units.</w:t>
      </w:r>
    </w:p>
    <w:p>
      <w:pPr>
        <w:spacing w:after="0" w:line="232"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Minimum Gain</w:t>
      </w:r>
      <w:r>
        <w:rPr>
          <w:rFonts w:ascii="Times New Roman" w:cs="Times New Roman" w:eastAsia="Times New Roman" w:hAnsi="Times New Roman"/>
          <w:sz w:val="19"/>
          <w:szCs w:val="19"/>
          <w:color w:val="auto"/>
        </w:rPr>
        <w:t>” has the meaning set forth in Regulations section 1.704-2(b)(2) and is computed in accordance with Regulation section 1.704-2(d).</w:t>
      </w:r>
    </w:p>
    <w:p>
      <w:pPr>
        <w:spacing w:after="0" w:line="157"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Preferred Unit</w:t>
      </w:r>
      <w:r>
        <w:rPr>
          <w:rFonts w:ascii="Times New Roman" w:cs="Times New Roman" w:eastAsia="Times New Roman" w:hAnsi="Times New Roman"/>
          <w:sz w:val="19"/>
          <w:szCs w:val="19"/>
          <w:color w:val="auto"/>
        </w:rPr>
        <w:t xml:space="preserve">” means a fractional share of the Partnership Interests of a particular class or series that the General Partner has authorized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that has distribution rights, or rights upon liquidation, winding up and dissolution, that are superior or prior to the Partnership Common Units.</w:t>
      </w:r>
    </w:p>
    <w:p>
      <w:pPr>
        <w:spacing w:after="0" w:line="169" w:lineRule="exact"/>
        <w:rPr>
          <w:sz w:val="20"/>
          <w:szCs w:val="20"/>
          <w:color w:val="auto"/>
        </w:rPr>
      </w:pPr>
    </w:p>
    <w:p>
      <w:pPr>
        <w:jc w:val="both"/>
        <w:ind w:firstLine="1272"/>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Record Date</w:t>
      </w:r>
      <w:r>
        <w:rPr>
          <w:rFonts w:ascii="Times New Roman" w:cs="Times New Roman" w:eastAsia="Times New Roman" w:hAnsi="Times New Roman"/>
          <w:sz w:val="19"/>
          <w:szCs w:val="19"/>
          <w:color w:val="auto"/>
        </w:rPr>
        <w:t>” means the record date established by the General Partner for the purpose of determining the Partners entitled to notice of or to vote at any meeting of Partners or to consent to any matter, or to receive any distribution or the allotment of any other rights, or in order to make a determination of Partners for any other proper purpose, which, in the case of a record date fixed for the determination of Partners entitled to receive any distribution, shall (unless otherwise determined by the General Partner) generally be the same as the record date established by the Special Limited Partner for a distribution to its stockholders.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Representative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9.3(a)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right="20"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Unit</w:t>
      </w:r>
      <w:r>
        <w:rPr>
          <w:rFonts w:ascii="Times New Roman" w:cs="Times New Roman" w:eastAsia="Times New Roman" w:hAnsi="Times New Roman"/>
          <w:sz w:val="19"/>
          <w:szCs w:val="19"/>
          <w:color w:val="auto"/>
        </w:rPr>
        <w:t xml:space="preserve">” means a Partnership Common Unit, a Partnership Preferred Unit, a Partnership Junior Unit or any other fractional share of the Partnership Interests that the General Partner has authorized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 Unit Designation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3.2(c)</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Percentage Interest</w:t>
      </w:r>
      <w:r>
        <w:rPr>
          <w:rFonts w:ascii="Times New Roman" w:cs="Times New Roman" w:eastAsia="Times New Roman" w:hAnsi="Times New Roman"/>
          <w:sz w:val="19"/>
          <w:szCs w:val="19"/>
          <w:color w:val="auto"/>
        </w:rPr>
        <w:t>” means, with respect to each Partner at any time, as to any class or series of Partnership Interests, the fraction, expressed as a percentage, the numerator of which is the aggregate number of Partnership Units of such class or series held by such Partner at such time and the denominator of which is the total number of Partnership Units of such class or series held by all Partners at such time. If not otherwise specified, “Percentage Interest” shall be deemed to refer to Partnership Common Units. A Partner’s Percentage Interest in Partnership Common Units at any time means a fraction, expressed as a percentage, the numerator of which is the sum of (i) the aggregate number of Partnership Class A Common Units held by such Partner and (ii) 0.001 multiplied by the aggregate number of Partnership Class B Common Units held by such Partner, and the denominator of which is the sum of (a) the aggregate number of Partnership Class A Common Units held by all Partners, and (b) 0.001 multiplied by the aggregate number of Partnership Class B Common Units held by all Partners.</w:t>
      </w:r>
    </w:p>
    <w:p>
      <w:pPr>
        <w:spacing w:after="0" w:line="180" w:lineRule="exact"/>
        <w:rPr>
          <w:sz w:val="20"/>
          <w:szCs w:val="20"/>
          <w:color w:val="auto"/>
        </w:rPr>
      </w:pPr>
    </w:p>
    <w:p>
      <w:pPr>
        <w:jc w:val="both"/>
        <w:ind w:firstLine="1272"/>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ATM Distribution Period</w:t>
      </w:r>
      <w:r>
        <w:rPr>
          <w:rFonts w:ascii="Times New Roman" w:cs="Times New Roman" w:eastAsia="Times New Roman" w:hAnsi="Times New Roman"/>
          <w:sz w:val="19"/>
          <w:szCs w:val="19"/>
          <w:color w:val="auto"/>
        </w:rPr>
        <w:t>” means, with respect to any Permitted ATM Funding, the period commencing on the applicable Quarterly Exchange Date and ending on the earlier of (x) the date when all Primary Offering Shares to be sold in such Permitted ATM Funding in respect of the applicable Primary Offering have been sold and (y) the twentieth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Trading Day after such Quarterly Exchange Date.</w:t>
      </w:r>
    </w:p>
    <w:p>
      <w:pPr>
        <w:spacing w:after="0" w:line="200" w:lineRule="exact"/>
        <w:rPr>
          <w:sz w:val="20"/>
          <w:szCs w:val="20"/>
          <w:color w:val="auto"/>
        </w:rPr>
      </w:pPr>
    </w:p>
    <w:p>
      <w:pPr>
        <w:spacing w:after="0" w:line="215"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ATM Funding</w:t>
      </w:r>
      <w:r>
        <w:rPr>
          <w:rFonts w:ascii="Times New Roman" w:cs="Times New Roman" w:eastAsia="Times New Roman" w:hAnsi="Times New Roman"/>
          <w:sz w:val="19"/>
          <w:szCs w:val="19"/>
          <w:color w:val="auto"/>
        </w:rPr>
        <w:t>” means any Primary Offering that satisfies each of the following requirements: (i) sales of the applicable Primary Offering Shares in respect of such Primary Offering are made through one or more sales agents of the Special Limited Partner by means of ordinary brokers’ transactions on the NASDAQ Capital Market or another national securities exchange, or any successor to any of the foregoing, or otherwise at market prices prevailing at the time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9" w:right="339" w:bottom="1440" w:gutter="0" w:footer="0" w:header="0"/>
        </w:sectPr>
      </w:pPr>
    </w:p>
    <w:bookmarkStart w:id="126" w:name="page127"/>
    <w:bookmarkEnd w:id="126"/>
    <w:p>
      <w:pPr>
        <w:jc w:val="both"/>
        <w:spacing w:after="0" w:line="264" w:lineRule="auto"/>
        <w:rPr>
          <w:sz w:val="20"/>
          <w:szCs w:val="20"/>
          <w:color w:val="auto"/>
        </w:rPr>
      </w:pPr>
      <w:r>
        <w:rPr>
          <w:rFonts w:ascii="Times New Roman" w:cs="Times New Roman" w:eastAsia="Times New Roman" w:hAnsi="Times New Roman"/>
          <w:sz w:val="19"/>
          <w:szCs w:val="19"/>
          <w:color w:val="auto"/>
        </w:rPr>
        <w:t>sale; (ii) the fees or commissions payable to such sales agents are determined pursuant to an equity distribution or similar agreement negotiated in good faith by the Special Limited Partner and entered into on arms’ length terms; (iii) sales of the applicable Primary Offering Shares in respect of such Primary Offering are executed during the applicable Permitted ATM Distribution Period; and (iv) to the extent any Primary Offering Shares remain unsold at the end of the applicable Permitted ATM Distribution Period, a corresponding number of Cash Settled Units are deemed withdrawn from the applicable Primary Offering and may be tendered for exchange in respect of any subsequent Quarterly Exchange Date.</w:t>
      </w:r>
    </w:p>
    <w:p>
      <w:pPr>
        <w:spacing w:after="0" w:line="200" w:lineRule="exact"/>
        <w:rPr>
          <w:sz w:val="20"/>
          <w:szCs w:val="20"/>
          <w:color w:val="auto"/>
        </w:rPr>
      </w:pPr>
    </w:p>
    <w:p>
      <w:pPr>
        <w:spacing w:after="0" w:line="215"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Transfer</w:t>
      </w:r>
      <w:r>
        <w:rPr>
          <w:rFonts w:ascii="Times New Roman" w:cs="Times New Roman" w:eastAsia="Times New Roman" w:hAnsi="Times New Roman"/>
          <w:sz w:val="19"/>
          <w:szCs w:val="19"/>
          <w:color w:val="auto"/>
        </w:rPr>
        <w:t>” means, with respect to all Partnership Interests (other than AdCo Common Units), (i) a Transfer by a Limited Partner of all or part of its Partnership Interest to any Family Member, Controlled Entity or Affiliate of such Partner, and (ii) a Pledge and any Transfer of a Partnership Interest to a Permitted Transferee pursuant to the exercise of remedies under a Pledge.</w:t>
      </w:r>
    </w:p>
    <w:p>
      <w:pPr>
        <w:spacing w:after="0" w:line="155"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Transferee</w:t>
      </w:r>
      <w:r>
        <w:rPr>
          <w:rFonts w:ascii="Times New Roman" w:cs="Times New Roman" w:eastAsia="Times New Roman" w:hAnsi="Times New Roman"/>
          <w:sz w:val="19"/>
          <w:szCs w:val="19"/>
          <w:color w:val="auto"/>
        </w:rPr>
        <w:t>” means, with respect to all Partnership Interests (other than AdCo Common Units), (i) any Family Member, Controlled Entity or Affiliate of a Limited Partner, (ii) any lender or lenders secured by a Pledge, or agents acting on their behalf, to whom any Partnership Interest is transferred pursuant to the exercise of remedies under a Pledge and any special purpose entities owned and used by such lenders or agents for the purpose of holding any such Partnership Interest (each a “</w:t>
      </w:r>
      <w:r>
        <w:rPr>
          <w:rFonts w:ascii="Times New Roman" w:cs="Times New Roman" w:eastAsia="Times New Roman" w:hAnsi="Times New Roman"/>
          <w:sz w:val="19"/>
          <w:szCs w:val="19"/>
          <w:u w:val="single" w:color="auto"/>
          <w:color w:val="auto"/>
        </w:rPr>
        <w:t>Permitted Lender Transferee</w:t>
      </w:r>
      <w:r>
        <w:rPr>
          <w:rFonts w:ascii="Times New Roman" w:cs="Times New Roman" w:eastAsia="Times New Roman" w:hAnsi="Times New Roman"/>
          <w:sz w:val="19"/>
          <w:szCs w:val="19"/>
          <w:color w:val="auto"/>
        </w:rPr>
        <w:t>”), and (iii) any Person, including any Third-Party Pledge Transferee designated by any lender or lenders secured by a Pledge, or agents acting on their behalf, to whom a Partnership Interest is transferred pursuant to the exercise of remedies under a Pledge, whether before or after one or more Permitted Lender Transferees take title to such Partnership Interest.</w:t>
      </w:r>
    </w:p>
    <w:p>
      <w:pPr>
        <w:spacing w:after="0" w:line="179"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or a corporation, partnership, trust, unincorporated organization, association, limited liability company or other entity.</w:t>
      </w:r>
    </w:p>
    <w:p>
      <w:pPr>
        <w:spacing w:after="0" w:line="157"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w:t>
      </w:r>
      <w:r>
        <w:rPr>
          <w:rFonts w:ascii="Times New Roman" w:cs="Times New Roman" w:eastAsia="Times New Roman" w:hAnsi="Times New Roman"/>
          <w:sz w:val="19"/>
          <w:szCs w:val="19"/>
          <w:color w:val="auto"/>
        </w:rPr>
        <w:t>” means, with respect to all Partnership Interests (other than AdCo Common Units), a pledge by a Holder of all or any portion of its Partnership Interest to one or more banks or lending institutions, or agents acting on their behalf, which are not Affiliates of such Holder, as collateral or security for a bona fide loan or other extension of credit.</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Predecessor General Partner</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Preferred Share</w:t>
      </w:r>
      <w:r>
        <w:rPr>
          <w:rFonts w:ascii="Times New Roman" w:cs="Times New Roman" w:eastAsia="Times New Roman" w:hAnsi="Times New Roman"/>
          <w:sz w:val="19"/>
          <w:szCs w:val="19"/>
          <w:color w:val="auto"/>
        </w:rPr>
        <w:t>” means a share of stock of the Special Limited Partner now or hereafter authorized or reclassified that has dividend rights, or rights upon liquidation, winding up and dissolution, that are superior or prior to the Common Shares.</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Previous LPA</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Issuance Funding</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Offering</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Offering Notice</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14.2(b)(ii)</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Offering Shares</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Professionals</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Professionals Division</w:t>
      </w:r>
      <w:r>
        <w:rPr>
          <w:rFonts w:ascii="Times New Roman" w:cs="Times New Roman" w:eastAsia="Times New Roman" w:hAnsi="Times New Roman"/>
          <w:sz w:val="19"/>
          <w:szCs w:val="19"/>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89" w:right="339" w:bottom="1440" w:gutter="0" w:footer="0" w:header="0"/>
        </w:sectPr>
      </w:pPr>
    </w:p>
    <w:bookmarkStart w:id="127" w:name="page128"/>
    <w:bookmarkEnd w:id="127"/>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Credit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Deficit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Elections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Share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PTET Year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Publicly Traded</w:t>
      </w:r>
      <w:r>
        <w:rPr>
          <w:rFonts w:ascii="Times New Roman" w:cs="Times New Roman" w:eastAsia="Times New Roman" w:hAnsi="Times New Roman"/>
          <w:sz w:val="19"/>
          <w:szCs w:val="19"/>
          <w:color w:val="auto"/>
        </w:rPr>
        <w:t>” means listed or admitted to trading on the NASDAQ Capital Market or another national securities exchange, or any successor to any of the foregoing.</w:t>
      </w:r>
    </w:p>
    <w:p>
      <w:pPr>
        <w:spacing w:after="0" w:line="157"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PWP Entities</w:t>
      </w:r>
      <w:r>
        <w:rPr>
          <w:rFonts w:ascii="Times New Roman" w:cs="Times New Roman" w:eastAsia="Times New Roman" w:hAnsi="Times New Roman"/>
          <w:sz w:val="19"/>
          <w:szCs w:val="19"/>
          <w:color w:val="auto"/>
        </w:rPr>
        <w:t>” means and includes each of the Partnership, the General Partner, PWP LLC, AmCo Professionals, VoteCo Professionals, the Special Limited Partner and their respective Subsidiaries and Controlled Entities.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PWP GP</w:t>
      </w:r>
      <w:r>
        <w:rPr>
          <w:rFonts w:ascii="Times New Roman" w:cs="Times New Roman" w:eastAsia="Times New Roman" w:hAnsi="Times New Roman"/>
          <w:sz w:val="19"/>
          <w:szCs w:val="19"/>
          <w:color w:val="auto"/>
        </w:rPr>
        <w:t>” has the meaning set forth in the Preamble.</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PWP LLC</w:t>
      </w:r>
      <w:r>
        <w:rPr>
          <w:rFonts w:ascii="Times New Roman" w:cs="Times New Roman" w:eastAsia="Times New Roman" w:hAnsi="Times New Roman"/>
          <w:sz w:val="19"/>
          <w:szCs w:val="19"/>
          <w:color w:val="auto"/>
        </w:rPr>
        <w:t>” has the meaning set forth in the Preamble.</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PWP LLCA</w:t>
      </w:r>
      <w:r>
        <w:rPr>
          <w:rFonts w:ascii="Times New Roman" w:cs="Times New Roman" w:eastAsia="Times New Roman" w:hAnsi="Times New Roman"/>
          <w:sz w:val="19"/>
          <w:szCs w:val="19"/>
          <w:color w:val="auto"/>
        </w:rPr>
        <w:t>” means the limited liability company agreement of PWP LLC, as amended restated, modified or supplemented from time to time.</w:t>
      </w:r>
    </w:p>
    <w:p>
      <w:pPr>
        <w:spacing w:after="0" w:line="130" w:lineRule="exact"/>
        <w:rPr>
          <w:sz w:val="20"/>
          <w:szCs w:val="20"/>
          <w:color w:val="auto"/>
        </w:rPr>
      </w:pPr>
    </w:p>
    <w:p>
      <w:pPr>
        <w:jc w:val="both"/>
        <w:ind w:firstLine="127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DRIP</w:t>
      </w:r>
      <w:r>
        <w:rPr>
          <w:rFonts w:ascii="Times New Roman" w:cs="Times New Roman" w:eastAsia="Times New Roman" w:hAnsi="Times New Roman"/>
          <w:sz w:val="19"/>
          <w:szCs w:val="19"/>
          <w:color w:val="auto"/>
        </w:rPr>
        <w:t xml:space="preserve">” means a dividend reinvestment plan of the Special Limited Partner that permits participants to acquire Class A Shares using the proceeds of dividends paid by the Special Limited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such shares are offered at a discount, such discount must (i) be designed to pass along to the stockholders of the Special Limited Partner the savings enjoyed by the Special Limited Partner in connection with the avoidance of share issuance costs, and (ii) not exceed 5% of the value of a Class A Share as computed under the terms of such dividend reinvestment plan.</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Transferee</w:t>
      </w:r>
      <w:r>
        <w:rPr>
          <w:rFonts w:ascii="Times New Roman" w:cs="Times New Roman" w:eastAsia="Times New Roman" w:hAnsi="Times New Roman"/>
          <w:sz w:val="19"/>
          <w:szCs w:val="19"/>
          <w:color w:val="auto"/>
        </w:rPr>
        <w:t>” means an “accredited investor,” as defined in Rule 501 promulgated under the Securities Act.</w:t>
      </w:r>
    </w:p>
    <w:p>
      <w:pPr>
        <w:spacing w:after="0" w:line="232"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Party</w:t>
      </w:r>
      <w:r>
        <w:rPr>
          <w:rFonts w:ascii="Times New Roman" w:cs="Times New Roman" w:eastAsia="Times New Roman" w:hAnsi="Times New Roman"/>
          <w:sz w:val="19"/>
          <w:szCs w:val="19"/>
          <w:color w:val="auto"/>
        </w:rPr>
        <w:t xml:space="preserve">” means (a) a Limited Partner, (b) an Additional Limited Partner, (c) an Assignee who is the transferee of a Limited Partner’s Partnership Interest in a Permitted Transfer, or (d) a Person, including a lending institution as the pledgee of a Pledge, who is the transferee of a Limited Partner’s Partnership Interest in a Permitted Transfer;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Qualifying Party shall not include the General Partner or the Special Limited Partner.</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w:t>
      </w:r>
      <w:r>
        <w:rPr>
          <w:rFonts w:ascii="Times New Roman" w:cs="Times New Roman" w:eastAsia="Times New Roman" w:hAnsi="Times New Roman"/>
          <w:sz w:val="19"/>
          <w:szCs w:val="19"/>
          <w:color w:val="auto"/>
        </w:rPr>
        <w:t>” means, unless context requires otherwise, a fiscal quarter of the Special Limited Partner.</w:t>
      </w:r>
    </w:p>
    <w:p>
      <w:pPr>
        <w:spacing w:after="0" w:line="232" w:lineRule="exact"/>
        <w:rPr>
          <w:sz w:val="20"/>
          <w:szCs w:val="20"/>
          <w:color w:val="auto"/>
        </w:rPr>
      </w:pPr>
    </w:p>
    <w:p>
      <w:pPr>
        <w:jc w:val="both"/>
        <w:ind w:firstLine="1272"/>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Quarterly Exchange Date</w:t>
      </w:r>
      <w:r>
        <w:rPr>
          <w:rFonts w:ascii="Times New Roman" w:cs="Times New Roman" w:eastAsia="Times New Roman" w:hAnsi="Times New Roman"/>
          <w:sz w:val="19"/>
          <w:szCs w:val="19"/>
          <w:color w:val="auto"/>
        </w:rPr>
        <w:t xml:space="preserve">” means, with respect to each Quarter, the date established by the Special Limited Partner for Exchanges in such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89" w:right="339" w:bottom="1440" w:gutter="0" w:footer="0" w:header="0"/>
        </w:sectPr>
      </w:pPr>
    </w:p>
    <w:bookmarkStart w:id="128" w:name="page129"/>
    <w:bookmarkEnd w:id="128"/>
    <w:p>
      <w:pPr>
        <w:jc w:val="both"/>
        <w:spacing w:after="0" w:line="263" w:lineRule="auto"/>
        <w:rPr>
          <w:sz w:val="20"/>
          <w:szCs w:val="20"/>
          <w:color w:val="auto"/>
        </w:rPr>
      </w:pPr>
      <w:r>
        <w:rPr>
          <w:rFonts w:ascii="Times New Roman" w:cs="Times New Roman" w:eastAsia="Times New Roman" w:hAnsi="Times New Roman"/>
          <w:sz w:val="19"/>
          <w:szCs w:val="19"/>
          <w:color w:val="auto"/>
        </w:rPr>
        <w:t>and executive officers of the Special Limited Partner are permitted to trade under such polices. Notwithstanding the foregoing or anything herein to the contrary: (a) for the Quarter in which the thirty-six (36) month anniversary of the Reference Date is to occur, the Quarterly Exchange Date shall be May 16, 2024; (b) for the Quarter in which the forty-two (42) month anniversary of the Reference Date is to occur, the Quarterly Exchange Date shall be November 18, 2024; (c) for the Quarter in which the forty-eighth (48) month anniversary of the Reference Date is to occur, the Quarterly Exchange Date shall be May 16, 2025; (d) for the Quarter in which the fifty-four (54) month anniversary of the Reference Date is to occur, the Quarterly Exchange Date shall be November 17, 2025; and (e) for the Quarter in which the sixty (60) month anniversary of the Reference Date is to occur, the Quarterly Exchange Date shall be May 18, 2026.</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Date</w:t>
      </w:r>
      <w:r>
        <w:rPr>
          <w:rFonts w:ascii="Times New Roman" w:cs="Times New Roman" w:eastAsia="Times New Roman" w:hAnsi="Times New Roman"/>
          <w:sz w:val="19"/>
          <w:szCs w:val="19"/>
          <w:color w:val="auto"/>
        </w:rPr>
        <w:t>” means June 24, 2021.</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Regulations</w:t>
      </w:r>
      <w:r>
        <w:rPr>
          <w:rFonts w:ascii="Times New Roman" w:cs="Times New Roman" w:eastAsia="Times New Roman" w:hAnsi="Times New Roman"/>
          <w:sz w:val="19"/>
          <w:szCs w:val="19"/>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Regulatory Allocations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5.3(b)(viii)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Securities</w:t>
      </w:r>
      <w:r>
        <w:rPr>
          <w:rFonts w:ascii="Times New Roman" w:cs="Times New Roman" w:eastAsia="Times New Roman" w:hAnsi="Times New Roman"/>
          <w:sz w:val="19"/>
          <w:szCs w:val="19"/>
          <w:color w:val="auto"/>
        </w:rPr>
        <w:t>” means Partnership Common Units and Common Shares.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Restorative Transaction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Securities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10.3(b)(ii)</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as amended, and the rules and regulations of the SEC promulgated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thereunder.</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has the meaning set forth in the Recitals.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Limited Partner</w:t>
      </w:r>
      <w:r>
        <w:rPr>
          <w:rFonts w:ascii="Times New Roman" w:cs="Times New Roman" w:eastAsia="Times New Roman" w:hAnsi="Times New Roman"/>
          <w:sz w:val="19"/>
          <w:szCs w:val="19"/>
          <w:color w:val="auto"/>
        </w:rPr>
        <w:t>” has the meaning set forth in the Preamble.</w:t>
      </w:r>
    </w:p>
    <w:p>
      <w:pPr>
        <w:spacing w:after="0" w:line="232"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Sponsored Fund</w:t>
      </w:r>
      <w:r>
        <w:rPr>
          <w:rFonts w:ascii="Times New Roman" w:cs="Times New Roman" w:eastAsia="Times New Roman" w:hAnsi="Times New Roman"/>
          <w:sz w:val="19"/>
          <w:szCs w:val="19"/>
          <w:color w:val="auto"/>
        </w:rPr>
        <w:t>” means any investment fund, investment vehicle or other initiative (with respect to which any of the Restricted Entities will receive a management fee, carried interest, incentive fee and/or similar economic arrangement) that is sponsored, advised or subadvised by any PWP Entity from time to time.</w:t>
      </w:r>
    </w:p>
    <w:p>
      <w:pPr>
        <w:spacing w:after="0" w:line="169" w:lineRule="exact"/>
        <w:rPr>
          <w:sz w:val="20"/>
          <w:szCs w:val="20"/>
          <w:color w:val="auto"/>
        </w:rPr>
      </w:pPr>
    </w:p>
    <w:p>
      <w:pPr>
        <w:jc w:val="both"/>
        <w:ind w:firstLine="1272"/>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 Amount</w:t>
      </w:r>
      <w:r>
        <w:rPr>
          <w:rFonts w:ascii="Times New Roman" w:cs="Times New Roman" w:eastAsia="Times New Roman" w:hAnsi="Times New Roman"/>
          <w:sz w:val="19"/>
          <w:szCs w:val="19"/>
          <w:color w:val="auto"/>
        </w:rPr>
        <w:t>” means, for each Partnership Class A-0 Common Unit that is exchanged for the Stock Amount, a number of Class A Shares that is equal to the Adjustment Factor.</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 Settlement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14.3(a)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Stockholders Agreement</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any corporation, partnership, limited liability company, joint venture, trust or other legal entity of which such Person (either directly or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89" w:right="339" w:bottom="1440" w:gutter="0" w:footer="0" w:header="0"/>
        </w:sectPr>
      </w:pPr>
    </w:p>
    <w:bookmarkStart w:id="129" w:name="page130"/>
    <w:bookmarkEnd w:id="129"/>
    <w:p>
      <w:pPr>
        <w:jc w:val="both"/>
        <w:spacing w:after="0" w:line="273" w:lineRule="auto"/>
        <w:rPr>
          <w:sz w:val="20"/>
          <w:szCs w:val="20"/>
          <w:color w:val="auto"/>
        </w:rPr>
      </w:pPr>
      <w:r>
        <w:rPr>
          <w:rFonts w:ascii="Times New Roman" w:cs="Times New Roman" w:eastAsia="Times New Roman" w:hAnsi="Times New Roman"/>
          <w:sz w:val="19"/>
          <w:szCs w:val="19"/>
          <w:color w:val="auto"/>
        </w:rPr>
        <w:t>or together with another direct or indirect Subsidiary of such Person) (i) owns a majority of the equity interests having ordinary voting power for the election of directors or trustees or other governing body, or (ii) otherwise controls the management, including through a Person’s status as general partner, manager or managing member of the entity.</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Substituted Limited Partner</w:t>
      </w:r>
      <w:r>
        <w:rPr>
          <w:rFonts w:ascii="Times New Roman" w:cs="Times New Roman" w:eastAsia="Times New Roman" w:hAnsi="Times New Roman"/>
          <w:sz w:val="19"/>
          <w:szCs w:val="19"/>
          <w:color w:val="auto"/>
        </w:rPr>
        <w:t xml:space="preserve">” means a Person who is admitted as a Limited Partner to the Partnership pursuant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Surviving Partnership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10.7(b)</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 Items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5.4(a)</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means, with respect to an AdCo Professionals Partner, the later of (i) the cessation of performance by such AdCo Professionals Partner (or its Associated Person) of services to the Restricted Entities for any reason or for no reason and (ii) the end of such AdCo Professionals Partner’s (or its Associated Person’s) Notice Period, if any. The term “</w:t>
      </w:r>
      <w:r>
        <w:rPr>
          <w:rFonts w:ascii="Times New Roman" w:cs="Times New Roman" w:eastAsia="Times New Roman" w:hAnsi="Times New Roman"/>
          <w:sz w:val="19"/>
          <w:szCs w:val="19"/>
          <w:u w:val="single" w:color="auto"/>
          <w:color w:val="auto"/>
        </w:rPr>
        <w:t>Terminated</w:t>
      </w:r>
      <w:r>
        <w:rPr>
          <w:rFonts w:ascii="Times New Roman" w:cs="Times New Roman" w:eastAsia="Times New Roman" w:hAnsi="Times New Roman"/>
          <w:sz w:val="19"/>
          <w:szCs w:val="19"/>
          <w:color w:val="auto"/>
        </w:rPr>
        <w:t>” shall have a correlative meaning.</w:t>
      </w:r>
    </w:p>
    <w:p>
      <w:pPr>
        <w:spacing w:after="0" w:line="155" w:lineRule="exact"/>
        <w:rPr>
          <w:sz w:val="20"/>
          <w:szCs w:val="20"/>
          <w:color w:val="auto"/>
        </w:rPr>
      </w:pPr>
    </w:p>
    <w:p>
      <w:pPr>
        <w:jc w:val="both"/>
        <w:ind w:firstLine="127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Transaction</w:t>
      </w:r>
      <w:r>
        <w:rPr>
          <w:rFonts w:ascii="Times New Roman" w:cs="Times New Roman" w:eastAsia="Times New Roman" w:hAnsi="Times New Roman"/>
          <w:sz w:val="19"/>
          <w:szCs w:val="19"/>
          <w:color w:val="auto"/>
        </w:rPr>
        <w:t>” means (a) a merger, consolidation or other combination involving the Special Limited Partner or the General Partner, on the one hand, and any other Person, on the other, (b) a sale, lease, exchange or other transfer of all or substantially all of the assets of the Special Limited Partner not in the ordinary course of its business, whether in a single transaction or a series of related transactions,</w:t>
      </w:r>
    </w:p>
    <w:p>
      <w:pPr>
        <w:spacing w:after="0" w:line="1" w:lineRule="exact"/>
        <w:rPr>
          <w:sz w:val="20"/>
          <w:szCs w:val="20"/>
          <w:color w:val="auto"/>
        </w:rPr>
      </w:pPr>
    </w:p>
    <w:p>
      <w:pPr>
        <w:jc w:val="both"/>
        <w:ind w:firstLine="6"/>
        <w:spacing w:after="0" w:line="261" w:lineRule="auto"/>
        <w:tabs>
          <w:tab w:leader="none" w:pos="26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reclassification, recapitalization or change of the outstanding Class A Shares (other than a change in par value, or from par value to no par value, or as a result of a stock split, stock dividend or similar subdivision), (d) the adoption of any plan of liquidation or dissolution of the Special Limited Partner or the General Partner, or (e) a Transfer of all or any portion of the Special Limited Partner’s Partnership Interest or its interest in the General Partner, other than (i) a Transfer to the Partnership, the Special Limited Partner or a direct or indirect wholly owned subsidiary of the Special Limited Partner, or (ii) a Transfer effected in accordance with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Third-Party Pledge Transferee</w:t>
      </w:r>
      <w:r>
        <w:rPr>
          <w:rFonts w:ascii="Times New Roman" w:cs="Times New Roman" w:eastAsia="Times New Roman" w:hAnsi="Times New Roman"/>
          <w:sz w:val="19"/>
          <w:szCs w:val="19"/>
          <w:color w:val="auto"/>
        </w:rPr>
        <w:t>” means, with respect to all Partnership Interests (other than AdCo Common Units), a Qualified Transferee, other than a Permitted Lender Transferee, that acquires a Partnership Interest pursuant to the exercise of remedies by Permitted Lender Transferees under a Pledge and that agrees to be bound by the terms and conditions of this Agreement.</w:t>
      </w:r>
    </w:p>
    <w:p>
      <w:pPr>
        <w:spacing w:after="0" w:line="169" w:lineRule="exact"/>
        <w:rPr>
          <w:sz w:val="20"/>
          <w:szCs w:val="20"/>
          <w:color w:val="auto"/>
        </w:rPr>
      </w:pPr>
    </w:p>
    <w:p>
      <w:pPr>
        <w:jc w:val="both"/>
        <w:ind w:firstLine="127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on which Class A Shares (i) are not suspended from trading at the close of business on the NASDAQ Capital Market or such other national securities exchange where the Class A Shares have been primarily listed or admitted for trading or any successor to any such exchange and (ii) have traded at least once on the NASDAQ Capital Market or such other national securities exchange where the Class A Shares have been primarily listed or admitted for trading or any successor to any such exchange. If the Class A Shares are not listed or admitted for trading on the NASDAQ Capital Market or another national securities exchange, or any successor to any of the foregoing, “Trading Day” means a Business Day.</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Agreement</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xml:space="preserve">” means any sale, assignment, bequest, conveyance, devise, gift (outright or in trust), pledge, encumbrance, hypothecation, mortgage, exchange, transfer or other disposition or act of alienation, whether voluntary or involuntary or by operation of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when the term is used in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“Transfer” does not include (a) any redemption of Partnership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89" w:right="339" w:bottom="1440" w:gutter="0" w:footer="0" w:header="0"/>
        </w:sectPr>
      </w:pPr>
    </w:p>
    <w:bookmarkStart w:id="130" w:name="page131"/>
    <w:bookmarkEnd w:id="130"/>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by the Partnership, or acquisition of Partnership Class A Common Units by the Special Limited Partner, pursuant to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(b) any redemption of Partnership Units pursuant to any Partnership Unit Designation. The terms “</w:t>
      </w:r>
      <w:r>
        <w:rPr>
          <w:rFonts w:ascii="Times New Roman" w:cs="Times New Roman" w:eastAsia="Times New Roman" w:hAnsi="Times New Roman"/>
          <w:sz w:val="19"/>
          <w:szCs w:val="19"/>
          <w:u w:val="single" w:color="auto"/>
          <w:color w:val="auto"/>
        </w:rPr>
        <w:t>Transferred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Transferring</w:t>
      </w:r>
      <w:r>
        <w:rPr>
          <w:rFonts w:ascii="Times New Roman" w:cs="Times New Roman" w:eastAsia="Times New Roman" w:hAnsi="Times New Roman"/>
          <w:sz w:val="19"/>
          <w:szCs w:val="19"/>
          <w:color w:val="auto"/>
        </w:rPr>
        <w:t>” shall have correlative meanings.</w:t>
      </w:r>
    </w:p>
    <w:p>
      <w:pPr>
        <w:spacing w:after="0" w:line="169"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Value</w:t>
      </w:r>
      <w:r>
        <w:rPr>
          <w:rFonts w:ascii="Times New Roman" w:cs="Times New Roman" w:eastAsia="Times New Roman" w:hAnsi="Times New Roman"/>
          <w:sz w:val="19"/>
          <w:szCs w:val="19"/>
          <w:color w:val="auto"/>
        </w:rPr>
        <w:t>” means, with respect to any outstanding Class A Shares that are Publicly Traded, the volume weighted average price per share on the Quarterly Exchange Date. If the Class A Shares are not Publicly Traded, the Value of a Class A Share means the amount that a holder of a Class A Share would receive if each of the assets of the Special Limited Partner were to be sold for its fair market value on the Quarterly Exchange Date, the Special Limited Partner were to pay all of its outstanding liabilities, and the remaining proceeds were to be distributed to the holders of the Special Limited Partner’s equity. Such Value shall be determined by the Special Limited Partner, acting in good faith and based upon a commercially reasonable estimate of the amount that would be realized by the Special Limited Partner if each asset of the Special Limited Partner (and each asset of each partnership, limited liability company, trust, joint venture or other entity in which the Special Limited Partner owns a direct or indirect interest) were sold to an unrelated purchaser in an arms’ length transaction where neither the purchaser nor the seller were under economic compulsion to enter into the transaction (without regard to any discount in value as a result of the Special Limited Partner’s minority interest in any property or any illiquidity of the Special Limited Partner’s interest in any property).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Notwithstanding the foregoing, in the event that the Special Limited Partner elects to settle an Exchange of Partnership Class A Common Units with the proceeds of a Primary Offering pursuant to </w:t>
      </w:r>
      <w:r>
        <w:rPr>
          <w:rFonts w:ascii="Times New Roman" w:cs="Times New Roman" w:eastAsia="Times New Roman" w:hAnsi="Times New Roman"/>
          <w:sz w:val="19"/>
          <w:szCs w:val="19"/>
          <w:u w:val="single" w:color="auto"/>
          <w:color w:val="auto"/>
        </w:rPr>
        <w:t>Section 14.2(b)</w:t>
      </w:r>
      <w:r>
        <w:rPr>
          <w:rFonts w:ascii="Times New Roman" w:cs="Times New Roman" w:eastAsia="Times New Roman" w:hAnsi="Times New Roman"/>
          <w:sz w:val="19"/>
          <w:szCs w:val="19"/>
          <w:color w:val="auto"/>
        </w:rPr>
        <w:t>, “Value” shall mean an amount per Class A Share equal to the net proceeds per Class A Share received by the Special Limited Partner from such Primary Offering, determined after deduction of any discounts and commissions or similar costs payable to any underwriters, broker/dealers or placement or selling agents, but not of any other expenses of the Special Limited Partner or any other Holder related thereto, including without limitation, legal and accounting fees and expenses, Securities and Exchange Commission registration fees, state blue sky and securities laws fees and expenses, printing expenses, FINRA filing fees, exchange listing fees and other out of pocket expenses. For the avoidance of doubt, to the extent the Primary Offering Shares for a given Primary Offering are sold in multiple transactions rather than a single transaction or block, “Value” shall be determined by reference to the volume weighted average price per share received by the Special Limited Partner across all sales in respect of such Primary Offering and otherwise in accordance with this paragraph.</w:t>
      </w:r>
    </w:p>
    <w:p>
      <w:pPr>
        <w:spacing w:after="0" w:line="200" w:lineRule="exact"/>
        <w:rPr>
          <w:sz w:val="20"/>
          <w:szCs w:val="20"/>
          <w:color w:val="auto"/>
        </w:rPr>
      </w:pP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7.9(a)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Common Units</w:t>
      </w:r>
      <w:r>
        <w:rPr>
          <w:rFonts w:ascii="Times New Roman" w:cs="Times New Roman" w:eastAsia="Times New Roman" w:hAnsi="Times New Roman"/>
          <w:sz w:val="19"/>
          <w:szCs w:val="19"/>
          <w:color w:val="auto"/>
        </w:rPr>
        <w:t>” means VoteCo Professionals Class A-1 Common Units, VoteCo Professionals Class A-2 Common Units and VoteCo Professionals Class A-3 Common Units.</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 Class A-1 Common Units</w:t>
      </w:r>
      <w:r>
        <w:rPr>
          <w:rFonts w:ascii="Times New Roman" w:cs="Times New Roman" w:eastAsia="Times New Roman" w:hAnsi="Times New Roman"/>
          <w:sz w:val="19"/>
          <w:szCs w:val="19"/>
          <w:color w:val="auto"/>
        </w:rPr>
        <w:t>” means the “Partnership Class A-1 Common Units” of VoteCo Professionals, as defined in the VoteCo Professionals LPA.</w:t>
      </w:r>
    </w:p>
    <w:p>
      <w:pPr>
        <w:spacing w:after="0" w:line="130" w:lineRule="exact"/>
        <w:rPr>
          <w:sz w:val="20"/>
          <w:szCs w:val="20"/>
          <w:color w:val="auto"/>
        </w:rPr>
      </w:pPr>
    </w:p>
    <w:p>
      <w:pPr>
        <w:jc w:val="both"/>
        <w:ind w:firstLine="1272"/>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 Class A-2 Common Units</w:t>
      </w:r>
      <w:r>
        <w:rPr>
          <w:rFonts w:ascii="Times New Roman" w:cs="Times New Roman" w:eastAsia="Times New Roman" w:hAnsi="Times New Roman"/>
          <w:sz w:val="19"/>
          <w:szCs w:val="19"/>
          <w:color w:val="auto"/>
        </w:rPr>
        <w:t>” means the “Partnership Class A-2 Common Units” of VoteCo Professionals, as defined in the VoteCo Professionals LPA.</w:t>
      </w:r>
    </w:p>
    <w:p>
      <w:pPr>
        <w:spacing w:after="0" w:line="130" w:lineRule="exact"/>
        <w:rPr>
          <w:sz w:val="20"/>
          <w:szCs w:val="20"/>
          <w:color w:val="auto"/>
        </w:rPr>
      </w:pPr>
    </w:p>
    <w:p>
      <w:pPr>
        <w:ind w:left="640" w:firstLine="636"/>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 Class A-3 Common Units</w:t>
      </w:r>
      <w:r>
        <w:rPr>
          <w:rFonts w:ascii="Times New Roman" w:cs="Times New Roman" w:eastAsia="Times New Roman" w:hAnsi="Times New Roman"/>
          <w:sz w:val="19"/>
          <w:szCs w:val="19"/>
          <w:color w:val="auto"/>
        </w:rPr>
        <w:t>” means the “Partnership Class A-3 Common Units” of VoteCo Professionals, as defined in the VoteCo Professionals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89" w:right="339" w:bottom="1440" w:gutter="0" w:footer="0" w:header="0"/>
        </w:sectPr>
      </w:pPr>
    </w:p>
    <w:bookmarkStart w:id="131" w:name="page132"/>
    <w:bookmarkEnd w:id="131"/>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VoteCo Professionals LPA</w:t>
      </w:r>
      <w:r>
        <w:rPr>
          <w:rFonts w:ascii="Times New Roman" w:cs="Times New Roman" w:eastAsia="Times New Roman" w:hAnsi="Times New Roman"/>
          <w:sz w:val="19"/>
          <w:szCs w:val="19"/>
          <w:color w:val="auto"/>
        </w:rPr>
        <w:t>” has the meaning set forth in the Recitals.</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Withdrawing Partner</w:t>
      </w:r>
      <w:r>
        <w:rPr>
          <w:rFonts w:ascii="Times New Roman" w:cs="Times New Roman" w:eastAsia="Times New Roman" w:hAnsi="Times New Roman"/>
          <w:sz w:val="19"/>
          <w:szCs w:val="19"/>
          <w:color w:val="auto"/>
        </w:rPr>
        <w:t xml:space="preserve">” has the meaning given to such term in </w:t>
      </w:r>
      <w:r>
        <w:rPr>
          <w:rFonts w:ascii="Times New Roman" w:cs="Times New Roman" w:eastAsia="Times New Roman" w:hAnsi="Times New Roman"/>
          <w:sz w:val="19"/>
          <w:szCs w:val="19"/>
          <w:u w:val="single" w:color="auto"/>
          <w:color w:val="auto"/>
        </w:rPr>
        <w:t>Section 14.2(b)(iii)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2"/>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Working Partner</w:t>
      </w:r>
      <w:r>
        <w:rPr>
          <w:rFonts w:ascii="Times New Roman" w:cs="Times New Roman" w:eastAsia="Times New Roman" w:hAnsi="Times New Roman"/>
          <w:sz w:val="19"/>
          <w:szCs w:val="19"/>
          <w:color w:val="auto"/>
        </w:rPr>
        <w:t>” means an AdCo Professionals Partner (or its Associated Person) whose tenure with the PWP Entities was not Terminated (or agreed in definitive documentation to be Terminated) prior to November 1, 2020, as set forth on a schedule maintained by the General Partner in the books and records of the Partnership.</w:t>
      </w:r>
    </w:p>
    <w:p>
      <w:pPr>
        <w:spacing w:after="0" w:line="16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1.2</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In this Agreement and in the exhibits hereto, except to the extent that the context otherwise requires:</w:t>
      </w:r>
    </w:p>
    <w:p>
      <w:pPr>
        <w:spacing w:after="0" w:line="232" w:lineRule="exact"/>
        <w:rPr>
          <w:sz w:val="20"/>
          <w:szCs w:val="20"/>
          <w:color w:val="auto"/>
        </w:rPr>
      </w:pPr>
    </w:p>
    <w:p>
      <w:pPr>
        <w:ind w:left="1900" w:hanging="622"/>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headings are for convenience of reference only and shall not affect the interpretation of this Agreement;</w:t>
      </w:r>
    </w:p>
    <w:p>
      <w:pPr>
        <w:spacing w:after="0" w:line="218"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defined terms include the plural as well as the singular and vice versa;</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importing gender include all genders;</w:t>
      </w:r>
    </w:p>
    <w:p>
      <w:pPr>
        <w:spacing w:after="0" w:line="218"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42" w:lineRule="exact"/>
        <w:rPr>
          <w:rFonts w:ascii="Times New Roman" w:cs="Times New Roman" w:eastAsia="Times New Roman" w:hAnsi="Times New Roman"/>
          <w:sz w:val="19"/>
          <w:szCs w:val="19"/>
          <w:color w:val="auto"/>
        </w:rPr>
      </w:pPr>
    </w:p>
    <w:p>
      <w:pPr>
        <w:ind w:firstLine="1278"/>
        <w:spacing w:after="0" w:line="285" w:lineRule="auto"/>
        <w:tabs>
          <w:tab w:leader="none" w:pos="189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 “day” or a “Business Day” shall mean the whole of such day, being the period of 24 hours running from midnight to midnight;</w:t>
      </w:r>
    </w:p>
    <w:p>
      <w:pPr>
        <w:spacing w:after="0" w:line="156" w:lineRule="exact"/>
        <w:rPr>
          <w:rFonts w:ascii="Times New Roman" w:cs="Times New Roman" w:eastAsia="Times New Roman" w:hAnsi="Times New Roman"/>
          <w:sz w:val="19"/>
          <w:szCs w:val="19"/>
          <w:color w:val="auto"/>
        </w:rPr>
      </w:pPr>
    </w:p>
    <w:p>
      <w:pPr>
        <w:ind w:firstLine="1278"/>
        <w:spacing w:after="0" w:line="285" w:lineRule="auto"/>
        <w:tabs>
          <w:tab w:leader="none" w:pos="190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Articles, Sections, subsections, clauses and Exhibits are references to Articles, Sections, subsections, clauses and Exhibits to, this Agreement;</w:t>
      </w:r>
    </w:p>
    <w:p>
      <w:pPr>
        <w:spacing w:after="0" w:line="156"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“including” and “include” and other words of similar import shall be deemed to be followed by the phrase</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limitation”;</w:t>
      </w:r>
    </w:p>
    <w:p>
      <w:pPr>
        <w:spacing w:after="0" w:line="204"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“or,” “either” and “any” shall not be exclusive;</w:t>
      </w:r>
    </w:p>
    <w:p>
      <w:pPr>
        <w:spacing w:after="0" w:line="232" w:lineRule="exact"/>
        <w:rPr>
          <w:rFonts w:ascii="Times New Roman" w:cs="Times New Roman" w:eastAsia="Times New Roman" w:hAnsi="Times New Roman"/>
          <w:sz w:val="19"/>
          <w:szCs w:val="19"/>
          <w:color w:val="auto"/>
        </w:rPr>
      </w:pPr>
    </w:p>
    <w:p>
      <w:pPr>
        <w:ind w:firstLine="1278"/>
        <w:spacing w:after="0" w:line="285" w:lineRule="auto"/>
        <w:tabs>
          <w:tab w:leader="none" w:pos="190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references to any party to this Agreement or any other document or agreement shall include its successors and permitted assigns; and</w:t>
      </w:r>
    </w:p>
    <w:p>
      <w:pPr>
        <w:spacing w:after="0" w:line="156" w:lineRule="exact"/>
        <w:rPr>
          <w:rFonts w:ascii="Times New Roman" w:cs="Times New Roman" w:eastAsia="Times New Roman" w:hAnsi="Times New Roman"/>
          <w:sz w:val="19"/>
          <w:szCs w:val="19"/>
          <w:color w:val="auto"/>
        </w:rPr>
      </w:pPr>
    </w:p>
    <w:p>
      <w:pPr>
        <w:ind w:right="20" w:firstLine="1278"/>
        <w:spacing w:after="0" w:line="285" w:lineRule="auto"/>
        <w:tabs>
          <w:tab w:leader="none" w:pos="190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word is defined as one part of speech (such as a noun), it shall have a corresponding meaning when used as another part of speech (such as a verb).</w:t>
      </w:r>
    </w:p>
    <w:p>
      <w:pPr>
        <w:spacing w:after="0" w:line="15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Formation</w:t>
      </w:r>
      <w:r>
        <w:rPr>
          <w:rFonts w:ascii="Times New Roman" w:cs="Times New Roman" w:eastAsia="Times New Roman" w:hAnsi="Times New Roman"/>
          <w:sz w:val="19"/>
          <w:szCs w:val="19"/>
          <w:color w:val="auto"/>
        </w:rPr>
        <w:t>. The Partnership is a limited partnership previously formed and continued pursuant to the provisions of the Act and upon the terms and subject to the conditions set forth in this Agreement. Except as expressly provided in this Agreement to the contrary, the rights and obligations of the Partners and the administration and termination of the Partnership shall be governed by the Act. The Certificate, and all actions taken or to be taken by any employee of Skadden, Arps, Slate,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89" w:right="339" w:bottom="1440" w:gutter="0" w:footer="0" w:header="0"/>
        </w:sectPr>
      </w:pPr>
    </w:p>
    <w:bookmarkStart w:id="132" w:name="page133"/>
    <w:bookmarkEnd w:id="132"/>
    <w:p>
      <w:pPr>
        <w:jc w:val="both"/>
        <w:spacing w:after="0" w:line="300" w:lineRule="auto"/>
        <w:rPr>
          <w:sz w:val="20"/>
          <w:szCs w:val="20"/>
          <w:color w:val="auto"/>
        </w:rPr>
      </w:pPr>
      <w:r>
        <w:rPr>
          <w:rFonts w:ascii="Times New Roman" w:cs="Times New Roman" w:eastAsia="Times New Roman" w:hAnsi="Times New Roman"/>
          <w:sz w:val="19"/>
          <w:szCs w:val="19"/>
          <w:color w:val="auto"/>
        </w:rPr>
        <w:t>Meagher &amp; Flom LLP and any other person who executed and filed, the Certificate are hereby adopted and ratified, or authorized, as the case may be.</w:t>
      </w:r>
    </w:p>
    <w:p>
      <w:pPr>
        <w:spacing w:after="0" w:line="130"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2.2 </w:t>
      </w:r>
      <w:r>
        <w:rPr>
          <w:rFonts w:ascii="Times New Roman" w:cs="Times New Roman" w:eastAsia="Times New Roman" w:hAnsi="Times New Roman"/>
          <w:sz w:val="19"/>
          <w:szCs w:val="19"/>
          <w:u w:val="single" w:color="auto"/>
          <w:color w:val="auto"/>
        </w:rPr>
        <w:t>Name</w:t>
      </w:r>
      <w:r>
        <w:rPr>
          <w:rFonts w:ascii="Times New Roman" w:cs="Times New Roman" w:eastAsia="Times New Roman" w:hAnsi="Times New Roman"/>
          <w:sz w:val="19"/>
          <w:szCs w:val="19"/>
          <w:color w:val="auto"/>
        </w:rPr>
        <w:t>. The name of the Partnership is “PWP Holdings LP.” The Partnership may also conduct business at the same time under one or more fictitious names if the General Partner determines that such is in the best interests of the Partnership. The General Partner may change the name of the Partnership, from time to time, in accordance with applicable law.</w:t>
      </w:r>
    </w:p>
    <w:p>
      <w:pPr>
        <w:spacing w:after="0" w:line="169"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2.3 </w:t>
      </w:r>
      <w:r>
        <w:rPr>
          <w:rFonts w:ascii="Times New Roman" w:cs="Times New Roman" w:eastAsia="Times New Roman" w:hAnsi="Times New Roman"/>
          <w:sz w:val="19"/>
          <w:szCs w:val="19"/>
          <w:u w:val="single" w:color="auto"/>
          <w:color w:val="auto"/>
        </w:rPr>
        <w:t>Principal Place of Business; Other Places of Business</w:t>
      </w:r>
      <w:r>
        <w:rPr>
          <w:rFonts w:ascii="Times New Roman" w:cs="Times New Roman" w:eastAsia="Times New Roman" w:hAnsi="Times New Roman"/>
          <w:sz w:val="19"/>
          <w:szCs w:val="19"/>
          <w:color w:val="auto"/>
        </w:rPr>
        <w:t>. The principal business office of the Partnership is located at 767 Fifth Avenue, New York, New York 10153, or such other place within or outside the State of Delaware as the General Partner may from time to time designate. The Partnership may maintain offices and places of business at such other place or places within or outside the State of Delaware as the General Partner deems advisable.</w:t>
      </w:r>
    </w:p>
    <w:p>
      <w:pPr>
        <w:spacing w:after="0" w:line="16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9"/>
          <w:szCs w:val="19"/>
          <w:color w:val="auto"/>
        </w:rPr>
        <w:t xml:space="preserve">Section 2.4 </w:t>
      </w:r>
      <w:r>
        <w:rPr>
          <w:rFonts w:ascii="Times New Roman" w:cs="Times New Roman" w:eastAsia="Times New Roman" w:hAnsi="Times New Roman"/>
          <w:sz w:val="19"/>
          <w:szCs w:val="19"/>
          <w:u w:val="single" w:color="auto"/>
          <w:color w:val="auto"/>
        </w:rPr>
        <w:t>Designated Agent for Service of Process</w:t>
      </w:r>
      <w:r>
        <w:rPr>
          <w:rFonts w:ascii="Times New Roman" w:cs="Times New Roman" w:eastAsia="Times New Roman" w:hAnsi="Times New Roman"/>
          <w:sz w:val="19"/>
          <w:szCs w:val="19"/>
          <w:color w:val="auto"/>
        </w:rPr>
        <w:t>. So long as required by the Act, the Partnership shall continuously maintain a registered office and a designated and duly qualified agent for service of process on the Partnership in the State of Delaware. As of the date of this Agreement, the address of the registered office of the Partnership in the State of Delaware is c/o Corporation Service Company, 2711 Centerville Road, Suite 400, Wilmington, Delaware 19808. The Partnership’s registered agent for service of process at such address is Corporation Service Company.</w:t>
      </w:r>
    </w:p>
    <w:p>
      <w:pPr>
        <w:spacing w:after="0" w:line="163" w:lineRule="exact"/>
        <w:rPr>
          <w:sz w:val="20"/>
          <w:szCs w:val="20"/>
          <w:color w:val="auto"/>
        </w:rPr>
      </w:pPr>
    </w:p>
    <w:p>
      <w:pPr>
        <w:jc w:val="both"/>
        <w:ind w:firstLine="636"/>
        <w:spacing w:after="0" w:line="280" w:lineRule="auto"/>
        <w:rPr>
          <w:sz w:val="20"/>
          <w:szCs w:val="20"/>
          <w:color w:val="auto"/>
        </w:rPr>
      </w:pPr>
      <w:r>
        <w:rPr>
          <w:rFonts w:ascii="Times New Roman" w:cs="Times New Roman" w:eastAsia="Times New Roman" w:hAnsi="Times New Roman"/>
          <w:sz w:val="19"/>
          <w:szCs w:val="19"/>
          <w:color w:val="auto"/>
        </w:rPr>
        <w:t xml:space="preserve">Section 2.5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of the Partnership commenced on the Formation Date and such term shall continue until the Partnership is dissolved in accordance with the Act or this Agreement. Notwithstanding the dissolution of the Partnership, the existence of the Partnership shall continue until termination pursuant to this Agreement or as otherwise provided in the Act.</w:t>
      </w:r>
    </w:p>
    <w:p>
      <w:pPr>
        <w:spacing w:after="0" w:line="15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2.6 </w:t>
      </w:r>
      <w:r>
        <w:rPr>
          <w:rFonts w:ascii="Times New Roman" w:cs="Times New Roman" w:eastAsia="Times New Roman" w:hAnsi="Times New Roman"/>
          <w:sz w:val="19"/>
          <w:szCs w:val="19"/>
          <w:u w:val="single" w:color="auto"/>
          <w:color w:val="auto"/>
        </w:rPr>
        <w:t>No Concerted Action</w:t>
      </w:r>
      <w:r>
        <w:rPr>
          <w:rFonts w:ascii="Times New Roman" w:cs="Times New Roman" w:eastAsia="Times New Roman" w:hAnsi="Times New Roman"/>
          <w:sz w:val="19"/>
          <w:szCs w:val="19"/>
          <w:color w:val="auto"/>
        </w:rPr>
        <w:t>. Each Partner hereby acknowledges and agrees that, except as expressly provided herein, in performing its obligations or exercising its rights hereunder, it is acting independently and is not acting in concert with, on behalf of, as agent for, or as joint venturer of, any other Partner. Other than in respect of the Partnership, nothing contained in this Agreement shall be construed as creating a corporation, association, joint stock company, business trust, organized group of persons, whether incorporated or not, among or involving any Partner or its Affiliates, and nothing in this Agreement shall be construed as creating or requiring any continuing relationship or commitment as between such parties other than as specifically set forth herein.</w:t>
      </w:r>
    </w:p>
    <w:p>
      <w:pPr>
        <w:spacing w:after="0" w:line="180"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19"/>
          <w:szCs w:val="19"/>
          <w:color w:val="auto"/>
        </w:rPr>
        <w:t xml:space="preserve">Section 2.7 </w:t>
      </w:r>
      <w:r>
        <w:rPr>
          <w:rFonts w:ascii="Times New Roman" w:cs="Times New Roman" w:eastAsia="Times New Roman" w:hAnsi="Times New Roman"/>
          <w:sz w:val="19"/>
          <w:szCs w:val="19"/>
          <w:u w:val="single" w:color="auto"/>
          <w:color w:val="auto"/>
        </w:rPr>
        <w:t>Statutory Compliance</w:t>
      </w:r>
      <w:r>
        <w:rPr>
          <w:rFonts w:ascii="Times New Roman" w:cs="Times New Roman" w:eastAsia="Times New Roman" w:hAnsi="Times New Roman"/>
          <w:sz w:val="19"/>
          <w:szCs w:val="19"/>
          <w:color w:val="auto"/>
        </w:rPr>
        <w:t>. All real and personal property owned by the Partnership shall be deemed owned by the Partnership as an entity and held in its name, and no Partner shall have any ownership interests in any such property in its individual name.</w:t>
      </w:r>
    </w:p>
    <w:p>
      <w:pPr>
        <w:spacing w:after="0" w:line="157"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 xml:space="preserve">Section 2.8 </w:t>
      </w:r>
      <w:r>
        <w:rPr>
          <w:rFonts w:ascii="Times New Roman" w:cs="Times New Roman" w:eastAsia="Times New Roman" w:hAnsi="Times New Roman"/>
          <w:sz w:val="19"/>
          <w:szCs w:val="19"/>
          <w:u w:val="single" w:color="auto"/>
          <w:color w:val="auto"/>
        </w:rPr>
        <w:t>Business Purpose</w:t>
      </w:r>
      <w:r>
        <w:rPr>
          <w:rFonts w:ascii="Times New Roman" w:cs="Times New Roman" w:eastAsia="Times New Roman" w:hAnsi="Times New Roman"/>
          <w:sz w:val="19"/>
          <w:szCs w:val="19"/>
          <w:color w:val="auto"/>
        </w:rPr>
        <w:t>. The Partnership may carry on any lawful business, purpose or activity in which a limited partnership may be engaged under applicable law (including the Act).</w:t>
      </w:r>
    </w:p>
    <w:p>
      <w:pPr>
        <w:spacing w:after="0" w:line="157" w:lineRule="exact"/>
        <w:rPr>
          <w:sz w:val="20"/>
          <w:szCs w:val="20"/>
          <w:color w:val="auto"/>
        </w:rPr>
      </w:pPr>
    </w:p>
    <w:p>
      <w:pPr>
        <w:jc w:val="both"/>
        <w:ind w:right="20"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2.9 </w:t>
      </w:r>
      <w:r>
        <w:rPr>
          <w:rFonts w:ascii="Times New Roman" w:cs="Times New Roman" w:eastAsia="Times New Roman" w:hAnsi="Times New Roman"/>
          <w:sz w:val="19"/>
          <w:szCs w:val="19"/>
          <w:u w:val="single" w:color="auto"/>
          <w:color w:val="auto"/>
        </w:rPr>
        <w:t>Powers</w:t>
      </w:r>
      <w:r>
        <w:rPr>
          <w:rFonts w:ascii="Times New Roman" w:cs="Times New Roman" w:eastAsia="Times New Roman" w:hAnsi="Times New Roman"/>
          <w:sz w:val="19"/>
          <w:szCs w:val="19"/>
          <w:color w:val="auto"/>
        </w:rPr>
        <w:t xml:space="preserve">. Subject to the limitations set forth in this Agreement, the Partnership will possess and may exercise all of the powers and privileges granted to it by the Act, by any other applicable law or this Agreement, together with all powers incidental thereto, so far as such powers are necessary or convenient to the conduct, promotion or attainment of the purpose of the Partnership set forth in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 xml:space="preserve">Section 2.10 </w:t>
      </w:r>
      <w:r>
        <w:rPr>
          <w:rFonts w:ascii="Times New Roman" w:cs="Times New Roman" w:eastAsia="Times New Roman" w:hAnsi="Times New Roman"/>
          <w:sz w:val="19"/>
          <w:szCs w:val="19"/>
          <w:u w:val="single" w:color="auto"/>
          <w:color w:val="auto"/>
        </w:rPr>
        <w:t>Certificates; Filings</w:t>
      </w:r>
      <w:r>
        <w:rPr>
          <w:rFonts w:ascii="Times New Roman" w:cs="Times New Roman" w:eastAsia="Times New Roman" w:hAnsi="Times New Roman"/>
          <w:sz w:val="19"/>
          <w:szCs w:val="19"/>
          <w:color w:val="auto"/>
        </w:rPr>
        <w:t>. The Certificate was previously filed on behalf of the Partnership, in the Office of the Secretary of State of the State of Delaware as required by the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89" w:right="33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19"/>
          <w:szCs w:val="19"/>
          <w:color w:val="auto"/>
        </w:rPr>
        <w:t>General Partner may execute and file any duly authorized amendments to the Certificate from time to time in a form prescribed by the Act. The General Partner shall also cause to be made, on behalf of the Partnership, such additional filings and recordings as the General Partner shall deem necessary or advisable. 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200" w:lineRule="exact"/>
        <w:rPr>
          <w:sz w:val="20"/>
          <w:szCs w:val="20"/>
          <w:color w:val="auto"/>
        </w:rPr>
      </w:pPr>
    </w:p>
    <w:p>
      <w:pPr>
        <w:spacing w:after="0" w:line="21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2.11</w:t>
      </w:r>
      <w:r>
        <w:rPr>
          <w:sz w:val="20"/>
          <w:szCs w:val="20"/>
          <w:color w:val="auto"/>
        </w:rPr>
        <w:tab/>
      </w:r>
      <w:r>
        <w:rPr>
          <w:rFonts w:ascii="Times New Roman" w:cs="Times New Roman" w:eastAsia="Times New Roman" w:hAnsi="Times New Roman"/>
          <w:sz w:val="19"/>
          <w:szCs w:val="19"/>
          <w:u w:val="single" w:color="auto"/>
          <w:color w:val="auto"/>
        </w:rPr>
        <w:t>Representations and Warranties by the Partners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3" w:lineRule="auto"/>
        <w:tabs>
          <w:tab w:leader="none" w:pos="189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Partner that is an individual (including each Additional Limited Partner or Substituted Limited Partner as a condition to becoming an Additional Limited Partner or a Substituted Limited Partner) represents and warrants to, and covenants with,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and (ii) this Agreement is binding upon, and enforceable against, such Partner in accordance with its terms.</w:t>
      </w:r>
    </w:p>
    <w:p>
      <w:pPr>
        <w:spacing w:after="0" w:line="180" w:lineRule="exact"/>
        <w:rPr>
          <w:rFonts w:ascii="Times New Roman" w:cs="Times New Roman" w:eastAsia="Times New Roman" w:hAnsi="Times New Roman"/>
          <w:sz w:val="19"/>
          <w:szCs w:val="19"/>
          <w:color w:val="auto"/>
        </w:rPr>
      </w:pPr>
    </w:p>
    <w:p>
      <w:pPr>
        <w:jc w:val="both"/>
        <w:ind w:firstLine="1278"/>
        <w:spacing w:after="0" w:line="262" w:lineRule="auto"/>
        <w:tabs>
          <w:tab w:leader="none" w:pos="189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Partner that is not an individual (including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that of its general partner(s), committee(s), trustee(s), beneficiaries, directors and/or stockholder(s) (as the case may be) as required,</w:t>
      </w:r>
    </w:p>
    <w:p>
      <w:pPr>
        <w:spacing w:after="0" w:line="14" w:lineRule="exact"/>
        <w:rPr>
          <w:sz w:val="20"/>
          <w:szCs w:val="20"/>
          <w:color w:val="auto"/>
        </w:rPr>
      </w:pPr>
    </w:p>
    <w:p>
      <w:pPr>
        <w:jc w:val="both"/>
        <w:ind w:firstLine="6"/>
        <w:spacing w:after="0" w:line="256" w:lineRule="auto"/>
        <w:tabs>
          <w:tab w:leader="none" w:pos="29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such transactions shall not result in a breach or violation of, or a default under, its partnership or operating agreement, trust agreement, charter or bylaws (as the case may be), any material agreement by which 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and</w:t>
      </w:r>
    </w:p>
    <w:p>
      <w:pPr>
        <w:spacing w:after="0" w:line="1"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binding upon, and enforceable against, such Partner in accordance with its terms.</w:t>
      </w:r>
    </w:p>
    <w:p>
      <w:pPr>
        <w:spacing w:after="0" w:line="204"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8"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Partner (including each Additional Limited Partner or Substituted Limited Partner as a condition to becoming an Additional Limited Partner or Substituted Limited Partner) represents and warrants that it is an “accredited investor” as defined in Rule 501 promulgated under the Securities Act and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and that it has a sufficiently high net worth that it does not anticipate a need for the funds that it has invested in the Partnership in what it understands to be a speculative and illiquid investment. Notwithstanding the foregoing, the representations and warranties contained in the first sentence of this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not apply to any Permitted Lender Transferee, it being understood that a Permitted Lender Transferee may be subject to a legal obligation to sell, distribute or otherwise dispose of any Partnership Interest acquired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8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 xml:space="preserve">exercise of remedies under a Pledge;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such Permitted Lender Transferee must be a Qualified Transferee.</w:t>
      </w:r>
    </w:p>
    <w:p>
      <w:pPr>
        <w:spacing w:after="0" w:line="232" w:lineRule="exact"/>
        <w:rPr>
          <w:sz w:val="20"/>
          <w:szCs w:val="20"/>
          <w:color w:val="auto"/>
        </w:rPr>
      </w:pPr>
    </w:p>
    <w:p>
      <w:pPr>
        <w:jc w:val="both"/>
        <w:ind w:firstLine="1278"/>
        <w:spacing w:after="0" w:line="264" w:lineRule="auto"/>
        <w:tabs>
          <w:tab w:leader="none" w:pos="1896"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contained in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78"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Partner (including each Additional Limited Partner or Substituted Limited Partner as a condition to becoming an Additional Limited Partner or Substituted Limited Partner) hereby acknowledges that no representations as to potential profit, cash flows, funds from operations or yield, if any, in respect of the Partnership or the Special Limited Partner have been made by any Partner or any employee or representative or Affiliate of any Partner, and that projections and any other information, including financial and descriptive information and documentation, that may have been in any manner submitted to such Partner shall not constitute any representation or warranty of any kind or nature, express or implied.</w:t>
      </w:r>
    </w:p>
    <w:p>
      <w:pPr>
        <w:spacing w:after="0" w:line="180" w:lineRule="exact"/>
        <w:rPr>
          <w:rFonts w:ascii="Times New Roman" w:cs="Times New Roman" w:eastAsia="Times New Roman" w:hAnsi="Times New Roman"/>
          <w:sz w:val="19"/>
          <w:szCs w:val="19"/>
          <w:color w:val="auto"/>
        </w:rPr>
      </w:pPr>
    </w:p>
    <w:p>
      <w:pPr>
        <w:jc w:val="both"/>
        <w:ind w:firstLine="1278"/>
        <w:spacing w:after="0" w:line="264" w:lineRule="auto"/>
        <w:tabs>
          <w:tab w:leader="none" w:pos="1903"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the General Partner may permit the modification of any of the representations and warranties contained in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as applicable to any Partner (including any Additional Limited Partner or Substituted Limited Partner or any transferee of either) provided that such representations and warranties, as modified, shall be set forth in either (i) a Partnership Unit Designation applicable to the Partnership Units held by such Partner or (ii) a separate writing addressed to the Partnership and the General Partner.</w:t>
      </w:r>
    </w:p>
    <w:p>
      <w:pPr>
        <w:spacing w:after="0" w:line="1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CAPITAL CONTRIBUTIONS</w:t>
      </w:r>
    </w:p>
    <w:p>
      <w:pPr>
        <w:spacing w:after="0" w:line="22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Capital Contributions of the Partners</w:t>
      </w:r>
      <w:r>
        <w:rPr>
          <w:rFonts w:ascii="Times New Roman" w:cs="Times New Roman" w:eastAsia="Times New Roman" w:hAnsi="Times New Roman"/>
          <w:sz w:val="19"/>
          <w:szCs w:val="19"/>
          <w:color w:val="auto"/>
        </w:rPr>
        <w:t xml:space="preserve">. The Partners as of the Effective Date (or their predecessors in interest) have heretofore made Capital Contributions to the Partnership. Except as provided by applicable law or in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the Partners shall have no obligation or, except with the prior written consent of the General Partner, right to make any other Capital Contributions or any loans to the Partnership. The General Partner shall cause to be maintained in the principal business office of the Partnership, or such other place as may be determined by the General Partner, the books and records of the Partnership, which shall include, among other things, a register containing the name, address, and number and class of Partnership Units of each Partner, and such other information as the General Partner may deem necessary or desirable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Register shall not be deemed part of this Agreement. The General Partner shall from time to time update the Register as necessary to accurately reflect the information therein, including as a result of any sales, exchanges or other Transfers, or any redemptions, issuances or similar events involving Partnership Units. Any reference in this Agreement to the Register shall be deemed a reference to the Register as in effect from time to time. Subject to the terms of this Agreement, the General Partner may take any action authorized hereunder in respect of the Register without any need to obtain the consent of any other Partner. No action of any Limited Partner (other than the Special Limited Partner) shall be required to amend or update the Register. Except as required by law, no Limited Partner shall be entitled to receive a copy of the information set forth in the Register relating to any Partner other than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89" w:right="339" w:bottom="1440" w:gutter="0" w:footer="0" w:header="0"/>
        </w:sectPr>
      </w:pPr>
    </w:p>
    <w:bookmarkStart w:id="135" w:name="page136"/>
    <w:bookmarkEnd w:id="135"/>
    <w:p>
      <w:pPr>
        <w:ind w:firstLine="636"/>
        <w:spacing w:after="0" w:line="270" w:lineRule="auto"/>
        <w:rPr>
          <w:sz w:val="20"/>
          <w:szCs w:val="20"/>
          <w:color w:val="auto"/>
        </w:rPr>
      </w:pPr>
      <w:r>
        <w:rPr>
          <w:rFonts w:ascii="Times New Roman" w:cs="Times New Roman" w:eastAsia="Times New Roman" w:hAnsi="Times New Roman"/>
          <w:sz w:val="19"/>
          <w:szCs w:val="19"/>
          <w:color w:val="auto"/>
        </w:rPr>
        <w:t xml:space="preserve">Section 3.2 </w:t>
      </w:r>
      <w:r>
        <w:rPr>
          <w:rFonts w:ascii="Times New Roman" w:cs="Times New Roman" w:eastAsia="Times New Roman" w:hAnsi="Times New Roman"/>
          <w:sz w:val="19"/>
          <w:szCs w:val="19"/>
          <w:u w:val="single" w:color="auto"/>
          <w:color w:val="auto"/>
        </w:rPr>
        <w:t>Issuances of Additional Partnership Interests</w:t>
      </w:r>
      <w:r>
        <w:rPr>
          <w:rFonts w:ascii="Times New Roman" w:cs="Times New Roman" w:eastAsia="Times New Roman" w:hAnsi="Times New Roman"/>
          <w:sz w:val="19"/>
          <w:szCs w:val="19"/>
          <w:color w:val="auto"/>
        </w:rPr>
        <w:t>. Subject to the rights of any Holder set forth in a Partnership Unit Designation:</w:t>
      </w:r>
    </w:p>
    <w:p>
      <w:pPr>
        <w:spacing w:after="0" w:line="200" w:lineRule="exact"/>
        <w:rPr>
          <w:sz w:val="20"/>
          <w:szCs w:val="20"/>
          <w:color w:val="auto"/>
        </w:rPr>
      </w:pPr>
    </w:p>
    <w:p>
      <w:pPr>
        <w:spacing w:after="0" w:line="230" w:lineRule="exact"/>
        <w:rPr>
          <w:sz w:val="20"/>
          <w:szCs w:val="20"/>
          <w:color w:val="auto"/>
        </w:rPr>
      </w:pPr>
    </w:p>
    <w:p>
      <w:pPr>
        <w:jc w:val="both"/>
        <w:ind w:firstLine="1278"/>
        <w:spacing w:after="0" w:line="261" w:lineRule="auto"/>
        <w:tabs>
          <w:tab w:leader="none" w:pos="189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Partnership Interests shall be represented by Partnership Units. Initially, all Partnership Units shall be designated as either “Partnership Class A-0 Common Units,” “Partnership Class A-1 Common Units,” “Partnership Class A-2 Common Units,” “Partnership Class A-3 Common Units,” “Partnership Class B-1 Common Units” or “Partnership Class B-2 Common Units.” Partnership Class A-0 Common Units, Partnership Class A-1 Common Units, Partnership Class A-2 Common Units and Partnership Class A-3 Common Units may be held by the General Partner or any Limited Partner; and Partnership Class B-1 Common Units and Partnership Class B-2 Common Units may be held only by the General Partner or the Special Limited Partner. Except as expressly provided herein, Partnership Class A-0 Common Units, Partnership Class A-1 Common Units, Partnership Class A-2 Common Units, Partnership Class A-3 Common Units, Partnership Class B-1 Common Units and Partnership Class B-2 Common Units shall entitle the holders thereof to equal rights under this Agreement. The Partners, and the number and class of Partnership Units held by each Partner, as of the effectiveness of this Agreement is set forth in the Register.</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Issuances of AdCo Common Units</w:t>
      </w:r>
      <w:r>
        <w:rPr>
          <w:rFonts w:ascii="Times New Roman" w:cs="Times New Roman" w:eastAsia="Times New Roman" w:hAnsi="Times New Roman"/>
          <w:sz w:val="19"/>
          <w:szCs w:val="19"/>
          <w:color w:val="auto"/>
        </w:rPr>
        <w:t xml:space="preserve">. The General Partner shall not issue any additional AdCo Common Units without the Consent of the AdCo Professionals Partners that are Limited Partners at the time of such issuance. For the avoidance of doubt,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3.2(b)</w:t>
      </w:r>
      <w:r>
        <w:rPr>
          <w:rFonts w:ascii="Times New Roman" w:cs="Times New Roman" w:eastAsia="Times New Roman" w:hAnsi="Times New Roman"/>
          <w:sz w:val="19"/>
          <w:szCs w:val="19"/>
          <w:color w:val="auto"/>
        </w:rPr>
        <w:t xml:space="preserve"> shall in no way limit the re-allocation provisions set forth in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firstLine="1278"/>
        <w:spacing w:after="0" w:line="258" w:lineRule="auto"/>
        <w:tabs>
          <w:tab w:leader="none" w:pos="189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Issuances of Other Partnership Interests</w:t>
      </w:r>
      <w:r>
        <w:rPr>
          <w:rFonts w:ascii="Times New Roman" w:cs="Times New Roman" w:eastAsia="Times New Roman" w:hAnsi="Times New Roman"/>
          <w:sz w:val="19"/>
          <w:szCs w:val="19"/>
          <w:color w:val="auto"/>
        </w:rPr>
        <w:t>. The General Partner is hereby authorized to cause the Partnership to issue additional Partnership Interests (other than AdCo Common Units), in the form of Units, for any Partnership purpose, at any time or from time to time, to the Partners (including the General Partner and the Special Limited Partner) or to other Persons, and to admit such Persons as Additional Limited Partners, for such consideration and on such terms and conditions as shall be established by the General Partner, all without the approval of any Limited Partner or any other Person. Without limiting the foregoing, the General Partner is expressly authorized to cause the Partnership to issue Partnership Units (other than AdCo Common Units) (i) upon the conversion, redemption or exchange of any Debt, Partnership Units, or other securities issued by the Partnership, (ii) for less than fair market value, (iii) for no consideration, (iv) in connection with any merger of any other Person into the Partnership, or (v) upon the contribution of property or assets to the Partnership. Any additional Partnership Interests (other than AdCo Common Units)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this Agreement, which exhibit shall be an amendment to this Agreement and shall be incorporated herein by this reference (each, a “</w:t>
      </w:r>
      <w:r>
        <w:rPr>
          <w:rFonts w:ascii="Times New Roman" w:cs="Times New Roman" w:eastAsia="Times New Roman" w:hAnsi="Times New Roman"/>
          <w:sz w:val="19"/>
          <w:szCs w:val="19"/>
          <w:u w:val="single" w:color="auto"/>
          <w:color w:val="auto"/>
        </w:rPr>
        <w:t>Partnership Unit Designation</w:t>
      </w:r>
      <w:r>
        <w:rPr>
          <w:rFonts w:ascii="Times New Roman" w:cs="Times New Roman" w:eastAsia="Times New Roman" w:hAnsi="Times New Roman"/>
          <w:sz w:val="19"/>
          <w:szCs w:val="19"/>
          <w:color w:val="auto"/>
        </w:rPr>
        <w:t>”). Without limiting the generality of the foregoing, the General Partner shall have authority to specify the allocations of items of Partnership income, gain, loss, deduction and credit to each such class or series of Partnership Interests. Except to the extent specifically set forth in any Partnership Unit Designation, a Partnership Interest of any class or series other than a Partnership Common Unit shall not entitle the holder thereof to vote on, or consent to, any matter.</w:t>
      </w:r>
    </w:p>
    <w:p>
      <w:pPr>
        <w:spacing w:after="0" w:line="181"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Issuances to the General Partner or Special Limited Partner</w:t>
      </w:r>
      <w:r>
        <w:rPr>
          <w:rFonts w:ascii="Times New Roman" w:cs="Times New Roman" w:eastAsia="Times New Roman" w:hAnsi="Times New Roman"/>
          <w:sz w:val="19"/>
          <w:szCs w:val="19"/>
          <w:color w:val="auto"/>
        </w:rPr>
        <w:t>. No additional Partnership Units shall be issued to the General Partner or the Special Limited Partner unless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89" w:right="339" w:bottom="1440" w:gutter="0" w:footer="0" w:header="0"/>
        </w:sectPr>
      </w:pPr>
    </w:p>
    <w:bookmarkStart w:id="136" w:name="page137"/>
    <w:bookmarkEnd w:id="136"/>
    <w:p>
      <w:pPr>
        <w:jc w:val="both"/>
        <w:spacing w:after="0" w:line="262" w:lineRule="auto"/>
        <w:rPr>
          <w:sz w:val="20"/>
          <w:szCs w:val="20"/>
          <w:color w:val="auto"/>
        </w:rPr>
      </w:pPr>
      <w:r>
        <w:rPr>
          <w:rFonts w:ascii="Times New Roman" w:cs="Times New Roman" w:eastAsia="Times New Roman" w:hAnsi="Times New Roman"/>
          <w:sz w:val="19"/>
          <w:szCs w:val="19"/>
          <w:color w:val="auto"/>
        </w:rPr>
        <w:t>additional Partnership Units are issued to all Partners holding Partnership Common Units in proportion to their respective Percentage Interests in the Partnership Common Units, (ii) (a) the additional Partnership Units are (w) Partnership Class A-0 Common Units issued in connection with an issuance of Class A Shares, (x) Partnership Class B-1 Common Units issued in connection with an issuance of Class B-1 Shares,</w:t>
      </w:r>
    </w:p>
    <w:p>
      <w:pPr>
        <w:spacing w:after="0" w:line="1" w:lineRule="exact"/>
        <w:rPr>
          <w:sz w:val="20"/>
          <w:szCs w:val="20"/>
          <w:color w:val="auto"/>
        </w:rPr>
      </w:pPr>
    </w:p>
    <w:p>
      <w:pPr>
        <w:jc w:val="both"/>
        <w:ind w:firstLine="6"/>
        <w:spacing w:after="0" w:line="257" w:lineRule="auto"/>
        <w:tabs>
          <w:tab w:leader="none" w:pos="28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Partnership Class B-2 Common Units issued in connection with an issuance of Class B-2 Shares or (z) Partnership Equivalent Units (other than Partnership Common Units) issued in connection with an issuance of Preferred Shares, New Securities or other interests in the Special Limited Partner (other than Common Shares), and (b) the General Partner or the Special Limited Partner (as the case may be) contributes to the Partnership the cash proceeds or other consideration received in connection with the issuance of such Common Shares, Preferred Shares, New Securities or other interests in the Special Limited Partner, (iii) the additional Partnership Units are issued upon the conversion, redemption or exchange of Debt, Partnership Units or other securities issued by the Partnership, (iv) the additional Partnership Units are Partnership Class A-0 Common Units issued to the Special Limited Partner or the General Partner (a) for a cash price per unit determined by the General Partner, in its discretion, which is equal to (x) the Value of a Class A Share as of the date of such issuance, multiplied by the Adjustment Factor, or (y) the fair market value of a Partnership Class A-0 Common Unit as of the date of such issuance, as determined by the General Partner, in its discretion, and (b) no portion of the purchase price consists of proceeds or other consideration received in connection with the issuance of Common Shares, Preferred Shares, New Securities or other interests in the Special Limited Partner, or (v) the additional Partnership Units are issued pursuant to the other provisions of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8"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Partnership Class A-3 Common Units</w:t>
      </w:r>
      <w:r>
        <w:rPr>
          <w:rFonts w:ascii="Times New Roman" w:cs="Times New Roman" w:eastAsia="Times New Roman" w:hAnsi="Times New Roman"/>
          <w:sz w:val="19"/>
          <w:szCs w:val="19"/>
          <w:color w:val="auto"/>
        </w:rPr>
        <w:t xml:space="preserve">. Notwithstanding anything to the contrary in this Agreement, a Partnership Class A-3 Common Unit shall not be treated as an issued and outstanding partnership interest for U.S. federal income tax purposes prior to conversion into a Partnership Class A-1 Common Unit in accordance with </w:t>
      </w:r>
      <w:r>
        <w:rPr>
          <w:rFonts w:ascii="Times New Roman" w:cs="Times New Roman" w:eastAsia="Times New Roman" w:hAnsi="Times New Roman"/>
          <w:sz w:val="19"/>
          <w:szCs w:val="19"/>
          <w:u w:val="single" w:color="auto"/>
          <w:color w:val="auto"/>
        </w:rPr>
        <w:t>Section 7.9(b)</w:t>
      </w:r>
      <w:r>
        <w:rPr>
          <w:rFonts w:ascii="Times New Roman" w:cs="Times New Roman" w:eastAsia="Times New Roman" w:hAnsi="Times New Roman"/>
          <w:sz w:val="19"/>
          <w:szCs w:val="19"/>
          <w:color w:val="auto"/>
        </w:rPr>
        <w:t xml:space="preserve">. For purposes of clarity and the avoidance of doubt, (i) prior to such conversion, Net Income and Net Loss will not be allocated to Partnership Class A-3 Common Units in accordance with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but Holders will be entitled to any distributions with respect to Partnership Class A-3 Common Units and (ii) Partnership Class A-3 Common Units shall be treated as outstanding for all other purposes under this Agreement. Any distribution with respect to Partnership Class A-3 Common Units to a Holder that also holds Partnership Class A-1 Common Units or Partnership Class A-2 Common Units shall be treated as a guaranteed payment for U.S. federal income tax purposes.</w:t>
      </w:r>
    </w:p>
    <w:p>
      <w:pPr>
        <w:spacing w:after="0" w:line="179" w:lineRule="exact"/>
        <w:rPr>
          <w:rFonts w:ascii="Times New Roman" w:cs="Times New Roman" w:eastAsia="Times New Roman" w:hAnsi="Times New Roman"/>
          <w:sz w:val="19"/>
          <w:szCs w:val="19"/>
          <w:color w:val="auto"/>
        </w:rPr>
      </w:pPr>
    </w:p>
    <w:p>
      <w:pPr>
        <w:jc w:val="both"/>
        <w:ind w:firstLine="1278"/>
        <w:spacing w:after="0" w:line="273" w:lineRule="auto"/>
        <w:tabs>
          <w:tab w:leader="none" w:pos="1903"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Preemptive Rights</w:t>
      </w:r>
      <w:r>
        <w:rPr>
          <w:rFonts w:ascii="Times New Roman" w:cs="Times New Roman" w:eastAsia="Times New Roman" w:hAnsi="Times New Roman"/>
          <w:sz w:val="19"/>
          <w:szCs w:val="19"/>
          <w:color w:val="auto"/>
        </w:rPr>
        <w:t>. Except as expressly provided in this Agreement or in any Partnership Unit Designation, no Person, including any Holder, shall have any preemptive, preferential, participation or similar right or rights to subscribe for or acquire any Partnership Interest.</w:t>
      </w:r>
    </w:p>
    <w:p>
      <w:pPr>
        <w:spacing w:after="0" w:line="155"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Upon the issuance of any additional Partnership Interest, the General Partner shall amend the Register and the books and records of the Partnership as appropriate to reflect such issuance.</w:t>
      </w:r>
    </w:p>
    <w:p>
      <w:pPr>
        <w:spacing w:after="0" w:line="142" w:lineRule="exact"/>
        <w:rPr>
          <w:rFonts w:ascii="Times New Roman" w:cs="Times New Roman" w:eastAsia="Times New Roman" w:hAnsi="Times New Roman"/>
          <w:sz w:val="19"/>
          <w:szCs w:val="19"/>
          <w:color w:val="auto"/>
        </w:rPr>
      </w:pPr>
    </w:p>
    <w:p>
      <w:pPr>
        <w:ind w:firstLine="1278"/>
        <w:spacing w:after="0" w:line="285" w:lineRule="auto"/>
        <w:tabs>
          <w:tab w:leader="none" w:pos="1896"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Partnership Units</w:t>
      </w:r>
      <w:r>
        <w:rPr>
          <w:rFonts w:ascii="Times New Roman" w:cs="Times New Roman" w:eastAsia="Times New Roman" w:hAnsi="Times New Roman"/>
          <w:sz w:val="19"/>
          <w:szCs w:val="19"/>
          <w:color w:val="auto"/>
        </w:rPr>
        <w:t>. The Partnership may issue fractional Partnership Units, and all Partnership Units shall be rounded to the third decimal place.</w:t>
      </w:r>
    </w:p>
    <w:p>
      <w:pPr>
        <w:spacing w:after="0" w:line="156" w:lineRule="exact"/>
        <w:rPr>
          <w:rFonts w:ascii="Times New Roman" w:cs="Times New Roman" w:eastAsia="Times New Roman" w:hAnsi="Times New Roman"/>
          <w:sz w:val="19"/>
          <w:szCs w:val="19"/>
          <w:color w:val="auto"/>
        </w:rPr>
      </w:pPr>
    </w:p>
    <w:p>
      <w:pPr>
        <w:ind w:firstLine="1278"/>
        <w:spacing w:after="0" w:line="285" w:lineRule="auto"/>
        <w:tabs>
          <w:tab w:leader="none" w:pos="1906"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Charter</w:t>
      </w:r>
      <w:r>
        <w:rPr>
          <w:rFonts w:ascii="Times New Roman" w:cs="Times New Roman" w:eastAsia="Times New Roman" w:hAnsi="Times New Roman"/>
          <w:sz w:val="19"/>
          <w:szCs w:val="19"/>
          <w:color w:val="auto"/>
        </w:rPr>
        <w:t>. All references to “Partnership Class A Common Units” and “OP Class A Common Units” in the Charter shall be deemed to reference the Partnership Class A-0 Common Units and no other class of Partnership Class A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89" w:right="339" w:bottom="1440" w:gutter="0" w:footer="0" w:header="0"/>
        </w:sectPr>
      </w:pPr>
    </w:p>
    <w:bookmarkStart w:id="137" w:name="page138"/>
    <w:bookmarkEnd w:id="137"/>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3.3</w:t>
      </w:r>
      <w:r>
        <w:rPr>
          <w:sz w:val="20"/>
          <w:szCs w:val="20"/>
          <w:color w:val="auto"/>
        </w:rPr>
        <w:tab/>
      </w:r>
      <w:r>
        <w:rPr>
          <w:rFonts w:ascii="Times New Roman" w:cs="Times New Roman" w:eastAsia="Times New Roman" w:hAnsi="Times New Roman"/>
          <w:sz w:val="19"/>
          <w:szCs w:val="19"/>
          <w:u w:val="single" w:color="auto"/>
          <w:color w:val="auto"/>
        </w:rPr>
        <w:t>Additional Funds and Capital Contributions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4" w:lineRule="auto"/>
        <w:tabs>
          <w:tab w:leader="none" w:pos="189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General Partner may, at any time and from time to time, determine that the Partnership requires additional funds (“</w:t>
      </w:r>
      <w:r>
        <w:rPr>
          <w:rFonts w:ascii="Times New Roman" w:cs="Times New Roman" w:eastAsia="Times New Roman" w:hAnsi="Times New Roman"/>
          <w:sz w:val="19"/>
          <w:szCs w:val="19"/>
          <w:u w:val="single" w:color="auto"/>
          <w:color w:val="auto"/>
        </w:rPr>
        <w:t>Additional Funds</w:t>
      </w:r>
      <w:r>
        <w:rPr>
          <w:rFonts w:ascii="Times New Roman" w:cs="Times New Roman" w:eastAsia="Times New Roman" w:hAnsi="Times New Roman"/>
          <w:sz w:val="19"/>
          <w:szCs w:val="19"/>
          <w:color w:val="auto"/>
        </w:rPr>
        <w:t xml:space="preserve">”) for the acquisition or development of additional Assets, for the redemption of Partnership Units or for such other purposes as the General Partner may determine. Additional Funds may be obtained by the Partnership, at the election of the General Partner, in any manner provided in, and in accordance with, the terms of this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without the approval of any Limited Partner or any other Person.</w:t>
      </w:r>
    </w:p>
    <w:p>
      <w:pPr>
        <w:spacing w:after="0" w:line="178"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Capital Contributions</w:t>
      </w:r>
      <w:r>
        <w:rPr>
          <w:rFonts w:ascii="Times New Roman" w:cs="Times New Roman" w:eastAsia="Times New Roman" w:hAnsi="Times New Roman"/>
          <w:sz w:val="19"/>
          <w:szCs w:val="19"/>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above) in consideration therefor and the Percentage Interests of the General Partner and the Limited Partners shall be adjusted to reflect the issuance of such additional Partnership Units.</w:t>
      </w:r>
    </w:p>
    <w:p>
      <w:pPr>
        <w:spacing w:after="0" w:line="176"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Loans by Third Parties</w:t>
      </w:r>
      <w:r>
        <w:rPr>
          <w:rFonts w:ascii="Times New Roman" w:cs="Times New Roman" w:eastAsia="Times New Roman" w:hAnsi="Times New Roman"/>
          <w:sz w:val="19"/>
          <w:szCs w:val="19"/>
          <w:color w:val="auto"/>
        </w:rPr>
        <w:t xml:space="preserve">. The General Partner, on behalf of the Partnership, may obtain any Additional Funds by causing the Partnership to incur Debt to any Person (other than, except as contemplated in </w:t>
      </w:r>
      <w:r>
        <w:rPr>
          <w:rFonts w:ascii="Times New Roman" w:cs="Times New Roman" w:eastAsia="Times New Roman" w:hAnsi="Times New Roman"/>
          <w:sz w:val="19"/>
          <w:szCs w:val="19"/>
          <w:u w:val="single" w:color="auto"/>
          <w:color w:val="auto"/>
        </w:rPr>
        <w:t>Section 3.3(d)</w:t>
      </w:r>
      <w:r>
        <w:rPr>
          <w:rFonts w:ascii="Times New Roman" w:cs="Times New Roman" w:eastAsia="Times New Roman" w:hAnsi="Times New Roman"/>
          <w:sz w:val="19"/>
          <w:szCs w:val="19"/>
          <w:color w:val="auto"/>
        </w:rPr>
        <w:t xml:space="preserve">, the General Partner or the Special Limited Partner) upon such terms as the General Partner determines appropriate, including making such Debt convertible, redeemable or exchangeable for Partnership Units;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Partnership shall not incur any such Debt if any Partner would be personally liable for the repayment of such Debt (unless such Partner otherwise agrees).</w:t>
      </w:r>
    </w:p>
    <w:p>
      <w:pPr>
        <w:spacing w:after="0" w:line="176"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Partner and Special Limited Partner Loans</w:t>
      </w:r>
      <w:r>
        <w:rPr>
          <w:rFonts w:ascii="Times New Roman" w:cs="Times New Roman" w:eastAsia="Times New Roman" w:hAnsi="Times New Roman"/>
          <w:sz w:val="19"/>
          <w:szCs w:val="19"/>
          <w:color w:val="auto"/>
        </w:rPr>
        <w:t xml:space="preserve">. The General Partner, on behalf of the Partnership, may obtain any Additional Funds by causing the Partnership to incur Debt with the General Partner and/or the Special Limited Partner if (i) such Debt is, to the extent permitted by law, on substantially the same terms and conditions (including interest rate, repayment schedule, and conversion, redemption, repurchase and exchange rights) as Funding Debt incurred by the General Partner or the Special Limited Partner, as applicable, the net proceeds of which are loaned to the Partnership to provide such Additional Funds, or (ii) such Debt is on terms and conditions no less favorable to the Partnership than would be available to the Partnership from any third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Partnership shall not incur any such Debt if any Partner would be personally liable for the repayment of such Debt (unless such Partner otherwise agrees).</w:t>
      </w:r>
    </w:p>
    <w:p>
      <w:pPr>
        <w:spacing w:after="0" w:line="178"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 of Securities by the Special Limited Partner</w:t>
      </w:r>
      <w:r>
        <w:rPr>
          <w:rFonts w:ascii="Times New Roman" w:cs="Times New Roman" w:eastAsia="Times New Roman" w:hAnsi="Times New Roman"/>
          <w:sz w:val="19"/>
          <w:szCs w:val="19"/>
          <w:color w:val="auto"/>
        </w:rPr>
        <w:t xml:space="preserve">. The Special Limited Partner shall not issue any additional Common Shares, Preferred Shares or New Securities unless the Special Limited Partner contributes the cash proceeds or other consideration received from the issuance of such additional Common Shares, Preferred Shares or New Securities (as the case may be) and from the exercise of the rights contained in any such additional New Securities to the Partnership in exchange for (w) in the case of an issuance of Class A Shares, Partnership Class A-0 Common Units, (x) in the case of an issuance of Class B-1 Shares, Partnership Class B-1 Common Units, (y) in the case of an issuance of Class B-2 Shares, Partnership Class B-2 Common Units or (z) in the case of an issuance of Preferred Shares or New Securities, Partnership Equivalent Units;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notwithstanding the foregoing, the Special Limited Partner may issue Common Shares, Preferred Shares or New Securities (a) pursuant to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(b) pursuant to a dividend or distribution (including any stock split) of Common Shares, Preferred Shares or New Securities to all of the holders of Common Shares, Preferred Shares or New Securities (as the case may be), (c) upon a conversion of Class B-1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89" w:right="339" w:bottom="1440" w:gutter="0" w:footer="0" w:header="0"/>
        </w:sectPr>
      </w:pPr>
    </w:p>
    <w:bookmarkStart w:id="138" w:name="page139"/>
    <w:bookmarkEnd w:id="138"/>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Class B-2 Shares, (d) upon a conversion, redemption or exchange of Preferred Shares, (e) upon a conversion, redemption, exchange or exercise of New Securities, or (f) in connection with an acquisition of Partnership Units or a property or other asset to be owned, directly or indirectly, by the Special Limited Partner. In the event of any issuance of additional Common Shares, Preferred Shares or New Securities by the Special Limited Partner, and the contribution to the Partnership, by the Special Limited Partner, of the cash proceeds or other consideration received from such issuance, the Partnership shall pay the Special Limited Partner’s expenses associated with such issuance, including any underwriting discounts or commissions. In the event that the Special Limited Partner issues any additional Common Shares, Capital Shares or New Securities and contributes the cash proceeds or other consideration received from the issuance thereof to the Partnership, the Partnership is authorized to, and shall, issue to the Special Limited Partner (i) a number and type of Partnership Common Units equal to the number and type of Common Shares so issued, divided by the Adjustment Factor then in effect, or (ii) a number of Partnership Equivalent Units that correspond to the class or series of Capital Shares or New Securities so issued, in either case, in accordance with this </w:t>
      </w:r>
      <w:r>
        <w:rPr>
          <w:rFonts w:ascii="Times New Roman" w:cs="Times New Roman" w:eastAsia="Times New Roman" w:hAnsi="Times New Roman"/>
          <w:sz w:val="19"/>
          <w:szCs w:val="19"/>
          <w:u w:val="single" w:color="auto"/>
          <w:color w:val="auto"/>
        </w:rPr>
        <w:t>Section 3.3(e)</w:t>
      </w:r>
      <w:r>
        <w:rPr>
          <w:rFonts w:ascii="Times New Roman" w:cs="Times New Roman" w:eastAsia="Times New Roman" w:hAnsi="Times New Roman"/>
          <w:sz w:val="19"/>
          <w:szCs w:val="19"/>
          <w:color w:val="auto"/>
        </w:rPr>
        <w:t xml:space="preserve"> without any further act, approval or vote of any Partner or any other Persons.</w:t>
      </w:r>
    </w:p>
    <w:p>
      <w:pPr>
        <w:spacing w:after="0" w:line="18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3.4</w:t>
      </w:r>
      <w:r>
        <w:rPr>
          <w:sz w:val="20"/>
          <w:szCs w:val="20"/>
          <w:color w:val="auto"/>
        </w:rPr>
        <w:tab/>
      </w:r>
      <w:r>
        <w:rPr>
          <w:rFonts w:ascii="Times New Roman" w:cs="Times New Roman" w:eastAsia="Times New Roman" w:hAnsi="Times New Roman"/>
          <w:sz w:val="19"/>
          <w:szCs w:val="19"/>
          <w:u w:val="single" w:color="auto"/>
          <w:color w:val="auto"/>
        </w:rPr>
        <w:t>Equity Plans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73" w:lineRule="auto"/>
        <w:tabs>
          <w:tab w:leader="none" w:pos="189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Options Granted to Persons other than Partnership Employees</w:t>
      </w:r>
      <w:r>
        <w:rPr>
          <w:rFonts w:ascii="Times New Roman" w:cs="Times New Roman" w:eastAsia="Times New Roman" w:hAnsi="Times New Roman"/>
          <w:sz w:val="19"/>
          <w:szCs w:val="19"/>
          <w:color w:val="auto"/>
        </w:rPr>
        <w:t>. If at any time or from time to time, in connection with any Equity Plan, an option to purchase Class A Shares granted to a Person other than a Partnership Employee is duly exercised, the following events will be deemed to have occurred:</w:t>
      </w:r>
    </w:p>
    <w:p>
      <w:pPr>
        <w:spacing w:after="0" w:line="168"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6"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shall, as soon as practicable after such exercise, make a Capital Contribution to the Partnership in an amount equal to the exercise price paid to the Special Limited Partner by such exercising party in connection with the exercise of such stock option.</w:t>
      </w:r>
    </w:p>
    <w:p>
      <w:pPr>
        <w:spacing w:after="0" w:line="168" w:lineRule="exact"/>
        <w:rPr>
          <w:rFonts w:ascii="Times New Roman" w:cs="Times New Roman" w:eastAsia="Times New Roman" w:hAnsi="Times New Roman"/>
          <w:sz w:val="19"/>
          <w:szCs w:val="19"/>
          <w:color w:val="auto"/>
        </w:rPr>
      </w:pPr>
    </w:p>
    <w:p>
      <w:pPr>
        <w:jc w:val="both"/>
        <w:ind w:left="640" w:firstLine="1274"/>
        <w:spacing w:after="0" w:line="263" w:lineRule="auto"/>
        <w:tabs>
          <w:tab w:leader="none" w:pos="2547"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amount of the Capital Contribution actually made pursuant to </w:t>
      </w:r>
      <w:r>
        <w:rPr>
          <w:rFonts w:ascii="Times New Roman" w:cs="Times New Roman" w:eastAsia="Times New Roman" w:hAnsi="Times New Roman"/>
          <w:sz w:val="19"/>
          <w:szCs w:val="19"/>
          <w:u w:val="single" w:color="auto"/>
          <w:color w:val="auto"/>
        </w:rPr>
        <w:t>Section 3.4(a)(i)</w:t>
      </w:r>
      <w:r>
        <w:rPr>
          <w:rFonts w:ascii="Times New Roman" w:cs="Times New Roman" w:eastAsia="Times New Roman" w:hAnsi="Times New Roman"/>
          <w:sz w:val="19"/>
          <w:szCs w:val="19"/>
          <w:color w:val="auto"/>
        </w:rPr>
        <w:t xml:space="preserve">, the Special Limited Partner shall be deemed to have contributed to the Partnership as a Capital Contribution an amount equal to the Value of a Class A Share as of the date of exercise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xml:space="preserve"> the number of Class A Shares then being issued in connection with the exercise of such stock option. In exchange for such Capital Contribution, the Partnership shall issue a number of Partnership Class A-0 Common Units to the Special Limited Partner equal to the quotient of (a) the number of Class A Shares issued in connection with the exercise of such stock option,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(b) the Adjustment Factor then in effect.</w:t>
      </w:r>
    </w:p>
    <w:p>
      <w:pPr>
        <w:spacing w:after="0" w:line="166" w:lineRule="exact"/>
        <w:rPr>
          <w:rFonts w:ascii="Times New Roman" w:cs="Times New Roman" w:eastAsia="Times New Roman" w:hAnsi="Times New Roman"/>
          <w:sz w:val="19"/>
          <w:szCs w:val="19"/>
          <w:color w:val="auto"/>
        </w:rPr>
      </w:pPr>
    </w:p>
    <w:p>
      <w:pPr>
        <w:jc w:val="both"/>
        <w:ind w:firstLine="1278"/>
        <w:spacing w:after="0" w:line="284" w:lineRule="auto"/>
        <w:tabs>
          <w:tab w:leader="none" w:pos="189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Options Granted to Partnership Employees</w:t>
      </w:r>
      <w:r>
        <w:rPr>
          <w:rFonts w:ascii="Times New Roman" w:cs="Times New Roman" w:eastAsia="Times New Roman" w:hAnsi="Times New Roman"/>
          <w:sz w:val="19"/>
          <w:szCs w:val="19"/>
          <w:color w:val="auto"/>
        </w:rPr>
        <w:t>. If at any time or from time to time, in connection with any Equity Plan, an option to purchase Class A Shares granted to a Partnership Employee is duly exercised, the following events will be deemed to have occurred:</w:t>
      </w:r>
    </w:p>
    <w:p>
      <w:pPr>
        <w:spacing w:after="0" w:line="397"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6"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shall sell to the Partnership, and the Partnership shall purchase from the Special Limited Partner, the number of Class A Shares as to which such stock option is being exercised. The purchase price per Class A Share for such sale of Class A Shares to the Partnership shall be the Value of a Class A Share as of the date of exercise of such stock option.</w:t>
      </w:r>
    </w:p>
    <w:p>
      <w:pPr>
        <w:spacing w:after="0" w:line="168" w:lineRule="exact"/>
        <w:rPr>
          <w:rFonts w:ascii="Times New Roman" w:cs="Times New Roman" w:eastAsia="Times New Roman" w:hAnsi="Times New Roman"/>
          <w:sz w:val="19"/>
          <w:szCs w:val="19"/>
          <w:color w:val="auto"/>
        </w:rPr>
      </w:pPr>
    </w:p>
    <w:p>
      <w:pPr>
        <w:ind w:left="640" w:firstLine="1274"/>
        <w:spacing w:after="0" w:line="285" w:lineRule="auto"/>
        <w:tabs>
          <w:tab w:leader="none" w:pos="2547"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sell to the Optionee (or if the Optionee is an employee of a Partnership Subsidiary, the Partnership shall sell to such Partnership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89" w:right="339" w:bottom="1440" w:gutter="0" w:footer="0" w:header="0"/>
        </w:sectPr>
      </w:pPr>
    </w:p>
    <w:bookmarkStart w:id="139" w:name="page140"/>
    <w:bookmarkEnd w:id="139"/>
    <w:p>
      <w:pPr>
        <w:jc w:val="both"/>
        <w:ind w:left="640"/>
        <w:spacing w:after="0" w:line="273" w:lineRule="auto"/>
        <w:rPr>
          <w:sz w:val="20"/>
          <w:szCs w:val="20"/>
          <w:color w:val="auto"/>
        </w:rPr>
      </w:pPr>
      <w:r>
        <w:rPr>
          <w:rFonts w:ascii="Times New Roman" w:cs="Times New Roman" w:eastAsia="Times New Roman" w:hAnsi="Times New Roman"/>
          <w:sz w:val="19"/>
          <w:szCs w:val="19"/>
          <w:color w:val="auto"/>
        </w:rPr>
        <w:t xml:space="preserve">which in turn shall sell to the Optionee), for a cash price per share equal to the Value of a Class A Share at the time of the exercise, the number of Class A Shares equal to (a) the exercise price paid to the Special Limited Partner by the exercising party in connection with the exercise of such stock option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(b) the Value of a Class A Share at the time of such exercise.</w:t>
      </w:r>
    </w:p>
    <w:p>
      <w:pPr>
        <w:spacing w:after="0" w:line="169" w:lineRule="exact"/>
        <w:rPr>
          <w:sz w:val="20"/>
          <w:szCs w:val="20"/>
          <w:color w:val="auto"/>
        </w:rPr>
      </w:pPr>
    </w:p>
    <w:p>
      <w:pPr>
        <w:jc w:val="both"/>
        <w:ind w:left="640" w:firstLine="1274"/>
        <w:spacing w:after="0" w:line="269" w:lineRule="auto"/>
        <w:tabs>
          <w:tab w:leader="none" w:pos="254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Partnership shall transfer to the Optionee (or if the Optionee is an employee of a Partnership Subsidiary, the Partnership shall transfer to such Partnership Subsidiary, which in turn shall transfer to the Optionee) at no additional cost, as additional compensation, the number of Class A Shares equal to the number of Class A Shares described in </w:t>
      </w:r>
      <w:r>
        <w:rPr>
          <w:rFonts w:ascii="Times New Roman" w:cs="Times New Roman" w:eastAsia="Times New Roman" w:hAnsi="Times New Roman"/>
          <w:sz w:val="19"/>
          <w:szCs w:val="19"/>
          <w:u w:val="single" w:color="auto"/>
          <w:color w:val="auto"/>
        </w:rPr>
        <w:t>Section 3.4(b)(i) less</w:t>
      </w:r>
      <w:r>
        <w:rPr>
          <w:rFonts w:ascii="Times New Roman" w:cs="Times New Roman" w:eastAsia="Times New Roman" w:hAnsi="Times New Roman"/>
          <w:sz w:val="19"/>
          <w:szCs w:val="19"/>
          <w:color w:val="auto"/>
        </w:rPr>
        <w:t xml:space="preserve"> the number of Class A Shares described in </w:t>
      </w:r>
      <w:r>
        <w:rPr>
          <w:rFonts w:ascii="Times New Roman" w:cs="Times New Roman" w:eastAsia="Times New Roman" w:hAnsi="Times New Roman"/>
          <w:sz w:val="19"/>
          <w:szCs w:val="19"/>
          <w:u w:val="single" w:color="auto"/>
          <w:color w:val="auto"/>
        </w:rPr>
        <w:t>Section 3.4(b)(ii)</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jc w:val="both"/>
        <w:ind w:left="640" w:firstLine="1274"/>
        <w:spacing w:after="0" w:line="263" w:lineRule="auto"/>
        <w:tabs>
          <w:tab w:leader="none" w:pos="2537"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Special Limited Partner shall, as soon as practicable after such exercise, make a Capital Contribution to the Partnership of an amount equal to all proceeds received (from whatever source, but excluding any payment in respect of payroll taxes or other withholdings) by the Special Limited Partner in connection with the exercise of such stock option. In exchange for such Capital Contribution, the Partnership shall issue a number of Partnership Class A-0 Common Units to the Special Limited Partner equal to the quotient of (a) the number of Class A Shares issued in connection with the exercise of such stock option,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(b) the Adjustment Factor then in effect.</w:t>
      </w:r>
    </w:p>
    <w:p>
      <w:pPr>
        <w:spacing w:after="0" w:line="180" w:lineRule="exact"/>
        <w:rPr>
          <w:rFonts w:ascii="Times New Roman" w:cs="Times New Roman" w:eastAsia="Times New Roman" w:hAnsi="Times New Roman"/>
          <w:sz w:val="19"/>
          <w:szCs w:val="19"/>
          <w:color w:val="auto"/>
        </w:rPr>
      </w:pPr>
    </w:p>
    <w:p>
      <w:pPr>
        <w:jc w:val="both"/>
        <w:ind w:firstLine="1278"/>
        <w:spacing w:after="0" w:line="265" w:lineRule="auto"/>
        <w:tabs>
          <w:tab w:leader="none" w:pos="189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Class A Shares Issued to Partnership Employees Under Equity Plans</w:t>
      </w:r>
      <w:r>
        <w:rPr>
          <w:rFonts w:ascii="Times New Roman" w:cs="Times New Roman" w:eastAsia="Times New Roman" w:hAnsi="Times New Roman"/>
          <w:sz w:val="19"/>
          <w:szCs w:val="19"/>
          <w:color w:val="auto"/>
        </w:rPr>
        <w:t>. If at any time or from time to time, in connection with any Equity Plan (other than in respect of the exercise of a stock option), any Class A Shares are issued to a Partnership Employee (including any Class A Shares that are subject to forfeiture in the event specified vesting conditions are not achieved and any Class A Shares issued in settlement of a restricted stock unit or similar award) in consideration for services performed for the Partnership or a Partnership Subsidiary:</w:t>
      </w:r>
    </w:p>
    <w:p>
      <w:pPr>
        <w:spacing w:after="0" w:line="200" w:lineRule="exact"/>
        <w:rPr>
          <w:rFonts w:ascii="Times New Roman" w:cs="Times New Roman" w:eastAsia="Times New Roman" w:hAnsi="Times New Roman"/>
          <w:sz w:val="19"/>
          <w:szCs w:val="19"/>
          <w:color w:val="auto"/>
        </w:rPr>
      </w:pPr>
    </w:p>
    <w:p>
      <w:pPr>
        <w:spacing w:after="0" w:line="213" w:lineRule="exact"/>
        <w:rPr>
          <w:rFonts w:ascii="Times New Roman" w:cs="Times New Roman" w:eastAsia="Times New Roman" w:hAnsi="Times New Roman"/>
          <w:sz w:val="19"/>
          <w:szCs w:val="19"/>
          <w:color w:val="auto"/>
        </w:rPr>
      </w:pPr>
    </w:p>
    <w:p>
      <w:pPr>
        <w:ind w:left="640" w:firstLine="1274"/>
        <w:spacing w:after="0" w:line="285" w:lineRule="auto"/>
        <w:tabs>
          <w:tab w:leader="none" w:pos="2546"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shall issue such number of Class A Shares as are to be issued to the Partnership Employee in accordance with the Equity Plan;</w:t>
      </w:r>
    </w:p>
    <w:p>
      <w:pPr>
        <w:spacing w:after="0" w:line="156" w:lineRule="exact"/>
        <w:rPr>
          <w:rFonts w:ascii="Times New Roman" w:cs="Times New Roman" w:eastAsia="Times New Roman" w:hAnsi="Times New Roman"/>
          <w:sz w:val="19"/>
          <w:szCs w:val="19"/>
          <w:color w:val="auto"/>
        </w:rPr>
      </w:pPr>
    </w:p>
    <w:p>
      <w:pPr>
        <w:jc w:val="both"/>
        <w:ind w:left="640" w:firstLine="1274"/>
        <w:spacing w:after="0" w:line="261" w:lineRule="auto"/>
        <w:tabs>
          <w:tab w:leader="none" w:pos="2547"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events will be deemed to have occurred: (a) the Special Limited Partner shall be deemed to have sold such shares to the Partnership (or if the Partnership Employee is an employee or other service provider of a Partnership Subsidiary, to such Partnership Subsidiary) for a purchase price equal to the Value of such shares, (b) the Partnership (or such Partnership Subsidiary) shall be deemed to have delivered the shares to the Partnership Employee, (c) the Special Limited Partner shall be deemed to have contributed the purchase price to the Partnership as a Capital Contribution, and (d) in the case where the Partnership Employee is an employee of a Partnership Subsidiary, the Partnership shall be deemed to have contributed such amount to the capital of the Partnership Subsidiary; and</w:t>
      </w:r>
    </w:p>
    <w:p>
      <w:pPr>
        <w:spacing w:after="0" w:line="178"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4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issue to the Special Limited Partner a number of Partnership Class A-0 Common Units equal to the number of newly issued Class A Shares divided by the Adjustment Factor then in effect in consideration for a deemed Capital Contribution in an amount equal to (x) the number of newly issued Partnership Class A-0 Common Units, multiplied by (y) a fraction the numerator of which is the Value of a Class A Share, and the denominator of which is the Adjustment Factor then in effect.</w:t>
      </w:r>
    </w:p>
    <w:p>
      <w:pPr>
        <w:spacing w:after="0" w:line="160"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Class A Shares Issued to Persons other than Partnership Employees Under Equity Plans</w:t>
      </w:r>
      <w:r>
        <w:rPr>
          <w:rFonts w:ascii="Times New Roman" w:cs="Times New Roman" w:eastAsia="Times New Roman" w:hAnsi="Times New Roman"/>
          <w:sz w:val="19"/>
          <w:szCs w:val="19"/>
          <w:color w:val="auto"/>
        </w:rPr>
        <w:t>. If at any time or from time to time, in connection with any Equity Plan (other than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89" w:right="339" w:bottom="1440" w:gutter="0" w:footer="0" w:header="0"/>
        </w:sectPr>
      </w:pPr>
    </w:p>
    <w:bookmarkStart w:id="140" w:name="page141"/>
    <w:bookmarkEnd w:id="140"/>
    <w:p>
      <w:pPr>
        <w:jc w:val="both"/>
        <w:spacing w:after="0" w:line="269" w:lineRule="auto"/>
        <w:rPr>
          <w:sz w:val="20"/>
          <w:szCs w:val="20"/>
          <w:color w:val="auto"/>
        </w:rPr>
      </w:pPr>
      <w:r>
        <w:rPr>
          <w:rFonts w:ascii="Times New Roman" w:cs="Times New Roman" w:eastAsia="Times New Roman" w:hAnsi="Times New Roman"/>
          <w:sz w:val="19"/>
          <w:szCs w:val="19"/>
          <w:color w:val="auto"/>
        </w:rPr>
        <w:t>respect of the exercise of a stock option), any Class A Shares are issued to a Person other than a Partnership Employee (including any Class A Shares that are subject to forfeiture in the event specified vesting conditions are not achieved and any Class A Shares issued in settlement of a restricted stock unit or similar award) in consideration for services performed for the Special Limited Partner, the General Partner, the Partnership or a Partnership Subsidiary:</w:t>
      </w:r>
    </w:p>
    <w:p>
      <w:pPr>
        <w:spacing w:after="0" w:line="160" w:lineRule="exact"/>
        <w:rPr>
          <w:sz w:val="20"/>
          <w:szCs w:val="20"/>
          <w:color w:val="auto"/>
        </w:rPr>
      </w:pPr>
    </w:p>
    <w:p>
      <w:pPr>
        <w:ind w:left="640" w:firstLine="1274"/>
        <w:spacing w:after="0" w:line="300" w:lineRule="auto"/>
        <w:tabs>
          <w:tab w:leader="none" w:pos="254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shall issue such number of Class A Shares as are to be issued to such Person in accordance with the Equity Plan; and</w:t>
      </w:r>
    </w:p>
    <w:p>
      <w:pPr>
        <w:spacing w:after="0" w:line="142" w:lineRule="exact"/>
        <w:rPr>
          <w:rFonts w:ascii="Times New Roman" w:cs="Times New Roman" w:eastAsia="Times New Roman" w:hAnsi="Times New Roman"/>
          <w:sz w:val="19"/>
          <w:szCs w:val="19"/>
          <w:color w:val="auto"/>
        </w:rPr>
      </w:pPr>
    </w:p>
    <w:p>
      <w:pPr>
        <w:jc w:val="both"/>
        <w:ind w:left="640" w:firstLine="1274"/>
        <w:spacing w:after="0" w:line="268" w:lineRule="auto"/>
        <w:tabs>
          <w:tab w:leader="none" w:pos="254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Special Limited Partner shall be deemed to have contributed the Value of such Class A Shares to the Partnership as a Capital Contribution, and the Partnership shall issue to the Special Limited Partner a number of newly issued Partnership Class A-0 Common Units equal to the number of newly issued Class A Shares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the Adjustment Factor then in effect.</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Future Stock Incentive Plans</w:t>
      </w:r>
      <w:r>
        <w:rPr>
          <w:rFonts w:ascii="Times New Roman" w:cs="Times New Roman" w:eastAsia="Times New Roman" w:hAnsi="Times New Roman"/>
          <w:sz w:val="19"/>
          <w:szCs w:val="19"/>
          <w:color w:val="auto"/>
        </w:rPr>
        <w:t xml:space="preserve">. Nothing in this Agreement shall be construed or applied to preclude or restrain the General Partner or the Special Limited Partner from adopting, modifying or terminating stock incentive plans for the benefit of employees or directors of or other service providers to the General Partner, the Special Limited Partner, the Partnership or any of their Affiliates. The Partners acknowledge and agree that, in the event that any such plan is adopted, modified or terminated by the General Partner or the Special Limited Partner, the General Partner shall have the power, without the Consent of the Limited Partners or the Consent of the Partners, to amend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6.1(g)(ix)</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ind w:firstLine="1278"/>
        <w:spacing w:after="0" w:line="285" w:lineRule="auto"/>
        <w:tabs>
          <w:tab w:leader="none" w:pos="1903"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 of Partnership Common Units</w:t>
      </w:r>
      <w:r>
        <w:rPr>
          <w:rFonts w:ascii="Times New Roman" w:cs="Times New Roman" w:eastAsia="Times New Roman" w:hAnsi="Times New Roman"/>
          <w:sz w:val="19"/>
          <w:szCs w:val="19"/>
          <w:color w:val="auto"/>
        </w:rPr>
        <w:t xml:space="preserve">. The Partnership is expressly authorized to issue Partnership Common Units in the numbers specified in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without any further act, approval or vote of any Partner or any other Persons.</w:t>
      </w:r>
    </w:p>
    <w:p>
      <w:pPr>
        <w:spacing w:after="0" w:line="15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3.5 </w:t>
      </w:r>
      <w:r>
        <w:rPr>
          <w:rFonts w:ascii="Times New Roman" w:cs="Times New Roman" w:eastAsia="Times New Roman" w:hAnsi="Times New Roman"/>
          <w:sz w:val="19"/>
          <w:szCs w:val="19"/>
          <w:u w:val="single" w:color="auto"/>
          <w:color w:val="auto"/>
        </w:rPr>
        <w:t>Stock Incentive Plan or Other Plan</w:t>
      </w:r>
      <w:r>
        <w:rPr>
          <w:rFonts w:ascii="Times New Roman" w:cs="Times New Roman" w:eastAsia="Times New Roman" w:hAnsi="Times New Roman"/>
          <w:sz w:val="19"/>
          <w:szCs w:val="19"/>
          <w:color w:val="auto"/>
        </w:rPr>
        <w:t xml:space="preserve">. Except as may otherwise be provided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all amounts received by the Special Limited Partner in respect of any stock incentive or other stock or subscription plan or agreement, either (a) shall be utilized by the Special Limited Partner to effect open market purchases of Class A Shares, or (b) if the Special Limited Partner elects instead to issue new Class A Shares with respect to such amounts, shall be contributed by the Special Limited Partner to the Partnership in exchange for additional Partnership Common Units. Upon such contribution, the Partnership will issue to the Special Limited Partner a number of Partnership Common Units equal to the number of newly issued Class A Shares divided by the Adjustment Factor then in effect.</w:t>
      </w:r>
    </w:p>
    <w:p>
      <w:pPr>
        <w:spacing w:after="0" w:line="167"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3.6 </w:t>
      </w:r>
      <w:r>
        <w:rPr>
          <w:rFonts w:ascii="Times New Roman" w:cs="Times New Roman" w:eastAsia="Times New Roman" w:hAnsi="Times New Roman"/>
          <w:sz w:val="19"/>
          <w:szCs w:val="19"/>
          <w:u w:val="single" w:color="auto"/>
          <w:color w:val="auto"/>
        </w:rPr>
        <w:t>No Interest; No Return</w:t>
      </w:r>
      <w:r>
        <w:rPr>
          <w:rFonts w:ascii="Times New Roman" w:cs="Times New Roman" w:eastAsia="Times New Roman" w:hAnsi="Times New Roman"/>
          <w:sz w:val="19"/>
          <w:szCs w:val="19"/>
          <w:color w:val="auto"/>
        </w:rPr>
        <w:t>. No Partner shall be entitled to interest on its Capital Contribution or on such Partner’s Capital Account. Except as provided herein or by law, no Partner shall have any right to demand or receive the return of its Capital Contribution from the Partnership.</w:t>
      </w:r>
    </w:p>
    <w:p>
      <w:pPr>
        <w:spacing w:after="0" w:line="169"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 xml:space="preserve">Section 3.7 </w:t>
      </w:r>
      <w:r>
        <w:rPr>
          <w:rFonts w:ascii="Times New Roman" w:cs="Times New Roman" w:eastAsia="Times New Roman" w:hAnsi="Times New Roman"/>
          <w:sz w:val="19"/>
          <w:szCs w:val="19"/>
          <w:u w:val="single" w:color="auto"/>
          <w:color w:val="auto"/>
        </w:rPr>
        <w:t>VoteCo Common Units</w:t>
      </w:r>
      <w:r>
        <w:rPr>
          <w:rFonts w:ascii="Times New Roman" w:cs="Times New Roman" w:eastAsia="Times New Roman" w:hAnsi="Times New Roman"/>
          <w:sz w:val="19"/>
          <w:szCs w:val="19"/>
          <w:color w:val="auto"/>
        </w:rPr>
        <w:t>. To the extent that, at any time and from time to time, (a) the total number of Partnership Class A-1 Common Units held by any Limited Partner do not equal the total number of VoteCo Professionals Class A-1 Common Units held by such Limited Partner, (b) the total number of Partnership Class A-2 Common Units held by any Limited Partner do not equal the total number of VoteCo Professionals Class A-2 Common Units held by such Limited Partner or (c) the total number of Partnership Class A-3 Common Units held by any Limited Partner do not equal the total number of VoteCo Professionals Class A-3 Common Units held by such Limited Partner, the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89" w:right="339" w:bottom="1440" w:gutter="0" w:footer="0" w:header="0"/>
        </w:sectPr>
      </w:pPr>
    </w:p>
    <w:bookmarkStart w:id="141" w:name="page142"/>
    <w:bookmarkEnd w:id="141"/>
    <w:p>
      <w:pPr>
        <w:spacing w:after="0" w:line="300" w:lineRule="auto"/>
        <w:rPr>
          <w:sz w:val="20"/>
          <w:szCs w:val="20"/>
          <w:color w:val="auto"/>
        </w:rPr>
      </w:pPr>
      <w:r>
        <w:rPr>
          <w:rFonts w:ascii="Times New Roman" w:cs="Times New Roman" w:eastAsia="Times New Roman" w:hAnsi="Times New Roman"/>
          <w:sz w:val="19"/>
          <w:szCs w:val="19"/>
          <w:color w:val="auto"/>
        </w:rPr>
        <w:t>Limited Partner shall take such action as is reasonably necessary to cause the applicable units to be equal, including repurchasing certain Class B-1 Shares from VoteCo Professionals.</w:t>
      </w:r>
    </w:p>
    <w:p>
      <w:pPr>
        <w:spacing w:after="0" w:line="13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3.8</w:t>
      </w:r>
      <w:r>
        <w:rPr>
          <w:sz w:val="20"/>
          <w:szCs w:val="20"/>
          <w:color w:val="auto"/>
        </w:rPr>
        <w:tab/>
      </w:r>
      <w:r>
        <w:rPr>
          <w:rFonts w:ascii="Times New Roman" w:cs="Times New Roman" w:eastAsia="Times New Roman" w:hAnsi="Times New Roman"/>
          <w:sz w:val="19"/>
          <w:szCs w:val="19"/>
          <w:u w:val="single" w:color="auto"/>
          <w:color w:val="auto"/>
        </w:rPr>
        <w:t>Conversion or Redemption of Preferred Shares and Common Shares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9" w:lineRule="auto"/>
        <w:tabs>
          <w:tab w:leader="none" w:pos="189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of Preferred Shares</w:t>
      </w:r>
      <w:r>
        <w:rPr>
          <w:rFonts w:ascii="Times New Roman" w:cs="Times New Roman" w:eastAsia="Times New Roman" w:hAnsi="Times New Roman"/>
          <w:sz w:val="19"/>
          <w:szCs w:val="19"/>
          <w:color w:val="auto"/>
        </w:rPr>
        <w:t xml:space="preserve">. If, at any time, any Preferred Shares are converted into Common Shares, in whole or in part, then an equal number of Partnership Equivalent Units held by the Special Limited Partner that correspond to the class or series of Preferred Shares so converted shall automatically be converted or exchanged into a number of Partnership Common Units equal to the quotient of (i) the number of Common Shares issued upon such conversion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(ii) the Adjustment Factor then in effect.</w:t>
      </w:r>
    </w:p>
    <w:p>
      <w:pPr>
        <w:spacing w:after="0" w:line="159"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Redemption of Preferred Shares</w:t>
      </w:r>
      <w:r>
        <w:rPr>
          <w:rFonts w:ascii="Times New Roman" w:cs="Times New Roman" w:eastAsia="Times New Roman" w:hAnsi="Times New Roman"/>
          <w:sz w:val="19"/>
          <w:szCs w:val="19"/>
          <w:color w:val="auto"/>
        </w:rPr>
        <w:t>. If, at any time, any Preferred Shares are redeemed, repurchased or otherwise acquired (whether by exercise of a put or call, automatically or by means of another arrangement) by the Special Limited Partner for cash, then, immediately prior to such redemption, repurchase or acquisition of Preferred Shares, the Partnership shall purchase an equal number of Partnership Equivalent Units held by the Special Limited Partner that correspond to the class or series of Preferred Shares so redeemed, repurchased or acquired upon the same terms and for the same price per Partnership Equivalent Unit, as such Preferred Shares are redeemed, repurchased or acquired.</w:t>
      </w:r>
    </w:p>
    <w:p>
      <w:pPr>
        <w:spacing w:after="0" w:line="200" w:lineRule="exact"/>
        <w:rPr>
          <w:rFonts w:ascii="Times New Roman" w:cs="Times New Roman" w:eastAsia="Times New Roman" w:hAnsi="Times New Roman"/>
          <w:sz w:val="19"/>
          <w:szCs w:val="19"/>
          <w:color w:val="auto"/>
        </w:rPr>
      </w:pPr>
    </w:p>
    <w:p>
      <w:pPr>
        <w:spacing w:after="0" w:line="214"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Redemption, Repurchase or Forfeiture of Common Shares</w:t>
      </w:r>
      <w:r>
        <w:rPr>
          <w:rFonts w:ascii="Times New Roman" w:cs="Times New Roman" w:eastAsia="Times New Roman" w:hAnsi="Times New Roman"/>
          <w:sz w:val="19"/>
          <w:szCs w:val="19"/>
          <w:color w:val="auto"/>
        </w:rPr>
        <w:t xml:space="preserve">. If, at any time, any Common Shares are redeemed, repurchased or otherwise acquired (whether by exercise of a put or call, upon forfeiture of any award granted under any Equity Plan, automatically or by means of another arrangement) by the Special Limited Partner, then, immediately prior to such redemption, repurchase or acquisition of Common Shares, the Partnership may (but shall not be obligated to) redeem a number of Partnership Common Units held by the Special Limited Partner equal to the quotient of (i) the number of Common Shares so redeemed, repurchased or acquired, </w:t>
      </w:r>
      <w:r>
        <w:rPr>
          <w:rFonts w:ascii="Times New Roman" w:cs="Times New Roman" w:eastAsia="Times New Roman" w:hAnsi="Times New Roman"/>
          <w:sz w:val="19"/>
          <w:szCs w:val="19"/>
          <w:u w:val="single" w:color="auto"/>
          <w:color w:val="auto"/>
        </w:rPr>
        <w:t>divided by</w:t>
      </w:r>
      <w:r>
        <w:rPr>
          <w:rFonts w:ascii="Times New Roman" w:cs="Times New Roman" w:eastAsia="Times New Roman" w:hAnsi="Times New Roman"/>
          <w:sz w:val="19"/>
          <w:szCs w:val="19"/>
          <w:color w:val="auto"/>
        </w:rPr>
        <w:t xml:space="preserve"> (ii) the Adjustment Factor then in effect, such redemption, repurchase or acquisition to be upon the same terms and for the same price per Partnership Common Unit (after giving effect to application of the Adjustment Factor) as such Common Shares are redeemed, repurchased or acquired.</w:t>
      </w:r>
    </w:p>
    <w:p>
      <w:pPr>
        <w:spacing w:after="0" w:line="178"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of Class B Shares</w:t>
      </w:r>
      <w:r>
        <w:rPr>
          <w:rFonts w:ascii="Times New Roman" w:cs="Times New Roman" w:eastAsia="Times New Roman" w:hAnsi="Times New Roman"/>
          <w:sz w:val="19"/>
          <w:szCs w:val="19"/>
          <w:color w:val="auto"/>
        </w:rPr>
        <w:t>. If, at any time, any Class B-1 Shares are converted into Class A Shares, in whole or in part, then an equal number of the then outstanding Partnership Class B-1 Common Units, or fractions thereof, shall automatically be converted into a number of Partnership Class A-0 Common Units equal to the number of Class A Shares issued upon such conversion. If, at any time, any Class B-2 Shares are converted into Class A Shares, in whole or in part, then an equal number of the then outstanding Partnership Class B-2 Common Units, or fractions thereof, shall automatically be converted into a number of Partnership Class A-0 Common Units equal to the number of Class A Shares issued upon such conversion.</w:t>
      </w:r>
    </w:p>
    <w:p>
      <w:pPr>
        <w:spacing w:after="0" w:line="16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3.9 </w:t>
      </w:r>
      <w:r>
        <w:rPr>
          <w:rFonts w:ascii="Times New Roman" w:cs="Times New Roman" w:eastAsia="Times New Roman" w:hAnsi="Times New Roman"/>
          <w:sz w:val="19"/>
          <w:szCs w:val="19"/>
          <w:u w:val="single" w:color="auto"/>
          <w:color w:val="auto"/>
        </w:rPr>
        <w:t>Other Contribution Provisions</w:t>
      </w:r>
      <w:r>
        <w:rPr>
          <w:rFonts w:ascii="Times New Roman" w:cs="Times New Roman" w:eastAsia="Times New Roman" w:hAnsi="Times New Roman"/>
          <w:sz w:val="19"/>
          <w:szCs w:val="19"/>
          <w:color w:val="auto"/>
        </w:rPr>
        <w:t>.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to the capital of the Partnership in accordance with the principles promulgated in proposed Regulations section 1.704-1. In addition, with the consent of the General Partner, one or more Partners (including the Special Limited Partner) may enter into contribution agreements with the Partnership which have the effect of providing a guarantee of certain obligations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89" w:right="339" w:bottom="1440" w:gutter="0" w:footer="0" w:header="0"/>
        </w:sectPr>
      </w:pPr>
    </w:p>
    <w:bookmarkStart w:id="142" w:name="page143"/>
    <w:bookmarkEnd w:id="142"/>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DISTRIBUTIONS</w:t>
      </w:r>
    </w:p>
    <w:p>
      <w:pPr>
        <w:spacing w:after="0" w:line="23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Requirement and Characterization of Distributions</w:t>
      </w:r>
      <w:r>
        <w:rPr>
          <w:rFonts w:ascii="Times New Roman" w:cs="Times New Roman" w:eastAsia="Times New Roman" w:hAnsi="Times New Roman"/>
          <w:sz w:val="19"/>
          <w:szCs w:val="19"/>
          <w:color w:val="auto"/>
        </w:rPr>
        <w:t>. Subject to the terms of any Partnership Unit Designation that provides for a class or series of Partnership Preferred Units with a preference with respect to the payment of distributions, from time to time, as determined by the General Partner, the General Partner shall cause the Partnership to pay distributions, in such amounts as the General Partner may determine, to the Holders of Partnership Common Units pro rata in accordance with their respective Percentage Interests of Partnership Common Units on the applicable Partnership Record Date. Subject to the terms of any Partnership Unit Designation, distributions payable with respect to any Partnership Units that were not outstanding during the entire period in respect of which any distribution is made (other than any Partnership Units issued to the Special Limited Partner in connection with the issuance of Common Shares or Capital Shares by the Special Limited Partner) shall be prorated based on the portion of the period that such Partnership Units were outstanding.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Tax Distributions</w:t>
      </w:r>
      <w:r>
        <w:rPr>
          <w:rFonts w:ascii="Times New Roman" w:cs="Times New Roman" w:eastAsia="Times New Roman" w:hAnsi="Times New Roman"/>
          <w:sz w:val="19"/>
          <w:szCs w:val="19"/>
          <w:color w:val="auto"/>
        </w:rPr>
        <w:t xml:space="preserve">. Notwithstanding any provision in this Agreement to the contrary, the Partnership shall use best efforts to make distributions to the Partners pro rata in accordance with their respective Percentage Interests of Partnership Common Units on the applicable Partnership Record Date, of an aggregate amount in cash sufficient to allow each Partner to pay its Annual Income Tax Liability with respect to the calendar year. All distributions made to Partners pursuant to this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shall be treated as advance distributions and shall be taken into account in determining the amount subsequently distributed to Partners under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The amounts distributable pursuant to this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shall be calculated and distributed at the following times: (i) quarterly, on an estimated basis, with respect to the portion of the Fiscal Year through the end of such quarterly period, at least five (5) days prior to the date on which U.S. federal corporate estimated tax payments are due and (ii) with respect to each Fiscal Year, as soon as reasonably practicable after the end of such Fiscal Year (or as soon as reasonably practicable after any event that subsequently adjusts the taxable income of such Fiscal Year).</w:t>
      </w:r>
    </w:p>
    <w:p>
      <w:pPr>
        <w:spacing w:after="0" w:line="18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4.3 </w:t>
      </w:r>
      <w:r>
        <w:rPr>
          <w:rFonts w:ascii="Times New Roman" w:cs="Times New Roman" w:eastAsia="Times New Roman" w:hAnsi="Times New Roman"/>
          <w:sz w:val="19"/>
          <w:szCs w:val="19"/>
          <w:u w:val="single" w:color="auto"/>
          <w:color w:val="auto"/>
        </w:rPr>
        <w:t>Distributions in Kind</w:t>
      </w:r>
      <w:r>
        <w:rPr>
          <w:rFonts w:ascii="Times New Roman" w:cs="Times New Roman" w:eastAsia="Times New Roman" w:hAnsi="Times New Roman"/>
          <w:sz w:val="19"/>
          <w:szCs w:val="19"/>
          <w:color w:val="auto"/>
        </w:rPr>
        <w:t xml:space="preserve">. No Holder may demand to receive property other than cash as provided in this Agreement. The General Partner may cause the Partnership to make a distribution in kind of Partnership Assets or Partnership Interests to the Holders, and such assets or Partnership Interests shall be distributed in such a fashion as to ensure that the fair market value (as determined by the General Partner, whose determination shall be conclusive) is distributed and allocated in accordance with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4.4 </w:t>
      </w:r>
      <w:r>
        <w:rPr>
          <w:rFonts w:ascii="Times New Roman" w:cs="Times New Roman" w:eastAsia="Times New Roman" w:hAnsi="Times New Roman"/>
          <w:sz w:val="19"/>
          <w:szCs w:val="19"/>
          <w:u w:val="single" w:color="auto"/>
          <w:color w:val="auto"/>
        </w:rPr>
        <w:t>Amounts Withheld</w:t>
      </w:r>
      <w:r>
        <w:rPr>
          <w:rFonts w:ascii="Times New Roman" w:cs="Times New Roman" w:eastAsia="Times New Roman" w:hAnsi="Times New Roman"/>
          <w:sz w:val="19"/>
          <w:szCs w:val="19"/>
          <w:color w:val="auto"/>
        </w:rPr>
        <w:t xml:space="preserve">. All amounts withheld pursuant to the Code or any provisions of any state or local tax law and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with respect to any allocation, payment or distribution to any Holder shall be treated as amounts paid or distributed to such Holder pursuant to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for all purposes under this Agreement.</w:t>
      </w:r>
    </w:p>
    <w:p>
      <w:pPr>
        <w:spacing w:after="0" w:line="169"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4.5 </w:t>
      </w:r>
      <w:r>
        <w:rPr>
          <w:rFonts w:ascii="Times New Roman" w:cs="Times New Roman" w:eastAsia="Times New Roman" w:hAnsi="Times New Roman"/>
          <w:sz w:val="19"/>
          <w:szCs w:val="19"/>
          <w:u w:val="single" w:color="auto"/>
          <w:color w:val="auto"/>
        </w:rPr>
        <w:t>Distributions upon Liquidation</w:t>
      </w:r>
      <w:r>
        <w:rPr>
          <w:rFonts w:ascii="Times New Roman" w:cs="Times New Roman" w:eastAsia="Times New Roman" w:hAnsi="Times New Roman"/>
          <w:sz w:val="19"/>
          <w:szCs w:val="19"/>
          <w:color w:val="auto"/>
        </w:rPr>
        <w:t xml:space="preserve">. Notwithstanding the other provisions of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upon the occurrence of a Liquidating Event, the assets of the Partnership shall be distributed to the Holders in accordance with </w:t>
      </w:r>
      <w:r>
        <w:rPr>
          <w:rFonts w:ascii="Times New Roman" w:cs="Times New Roman" w:eastAsia="Times New Roman" w:hAnsi="Times New Roman"/>
          <w:sz w:val="19"/>
          <w:szCs w:val="19"/>
          <w:u w:val="single" w:color="auto"/>
          <w:color w:val="auto"/>
        </w:rPr>
        <w:t>Section 12.3</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4.6 </w:t>
      </w:r>
      <w:r>
        <w:rPr>
          <w:rFonts w:ascii="Times New Roman" w:cs="Times New Roman" w:eastAsia="Times New Roman" w:hAnsi="Times New Roman"/>
          <w:sz w:val="19"/>
          <w:szCs w:val="19"/>
          <w:u w:val="single" w:color="auto"/>
          <w:color w:val="auto"/>
        </w:rPr>
        <w:t>Revisions to Reflect Additional Partnership Units</w:t>
      </w:r>
      <w:r>
        <w:rPr>
          <w:rFonts w:ascii="Times New Roman" w:cs="Times New Roman" w:eastAsia="Times New Roman" w:hAnsi="Times New Roman"/>
          <w:sz w:val="19"/>
          <w:szCs w:val="19"/>
          <w:color w:val="auto"/>
        </w:rPr>
        <w:t xml:space="preserve">. In the event that the Partnership issues additional Partnership Units pursuant to the provisions of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subject to the rights of any Holder set forth in a Partnership Unit Designation, the General Partner is hereby authorized to make such revisions to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and to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as it determines are necessary or desirable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8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reflect the issuance of such additional Partnership Units, including making preferential distributions to certain classes of Partnership Units.</w:t>
      </w:r>
    </w:p>
    <w:p>
      <w:pPr>
        <w:spacing w:after="0" w:line="232"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4.7 </w:t>
      </w:r>
      <w:r>
        <w:rPr>
          <w:rFonts w:ascii="Times New Roman" w:cs="Times New Roman" w:eastAsia="Times New Roman" w:hAnsi="Times New Roman"/>
          <w:sz w:val="19"/>
          <w:szCs w:val="19"/>
          <w:u w:val="single" w:color="auto"/>
          <w:color w:val="auto"/>
        </w:rPr>
        <w:t>Restricted Distributions</w:t>
      </w:r>
      <w:r>
        <w:rPr>
          <w:rFonts w:ascii="Times New Roman" w:cs="Times New Roman" w:eastAsia="Times New Roman" w:hAnsi="Times New Roman"/>
          <w:sz w:val="19"/>
          <w:szCs w:val="19"/>
          <w:color w:val="auto"/>
        </w:rPr>
        <w:t>. Notwithstanding any provision to the contrary contained in this Agreement, neither the Partnership nor the General Partner, on behalf of the Partnership, shall make a distribution to any Holder if such distribution would violate the Act or other applicable law.</w:t>
      </w:r>
    </w:p>
    <w:p>
      <w:pPr>
        <w:spacing w:after="0" w:line="155"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4.8 </w:t>
      </w:r>
      <w:r>
        <w:rPr>
          <w:rFonts w:ascii="Times New Roman" w:cs="Times New Roman" w:eastAsia="Times New Roman" w:hAnsi="Times New Roman"/>
          <w:sz w:val="19"/>
          <w:szCs w:val="19"/>
          <w:u w:val="single" w:color="auto"/>
          <w:color w:val="auto"/>
        </w:rPr>
        <w:t>Calculation of Distributions</w:t>
      </w:r>
      <w:r>
        <w:rPr>
          <w:rFonts w:ascii="Times New Roman" w:cs="Times New Roman" w:eastAsia="Times New Roman" w:hAnsi="Times New Roman"/>
          <w:sz w:val="19"/>
          <w:szCs w:val="19"/>
          <w:color w:val="auto"/>
        </w:rPr>
        <w:t>. In calculating all distributions payable to any holders of Partnership Units, the General Partner shall round the amount per unit to the nearest whole cent ($0.01), with one-half cent rounded upward.</w:t>
      </w:r>
    </w:p>
    <w:p>
      <w:pPr>
        <w:spacing w:after="0" w:line="13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ALLOCATIONS</w:t>
      </w:r>
    </w:p>
    <w:p>
      <w:pPr>
        <w:spacing w:after="0" w:line="22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Timing and Amount of Allocations of Net Income and Net Loss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10.6(c)</w:t>
      </w:r>
      <w:r>
        <w:rPr>
          <w:rFonts w:ascii="Times New Roman" w:cs="Times New Roman" w:eastAsia="Times New Roman" w:hAnsi="Times New Roman"/>
          <w:sz w:val="19"/>
          <w:szCs w:val="19"/>
          <w:color w:val="auto"/>
        </w:rPr>
        <w:t xml:space="preserve">, Net Income and Net Loss of the Partnership shall be determined and allocated with respect to each Fiscal Year as of the end of each such year. Except as otherwise provided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subject to </w:t>
      </w:r>
      <w:r>
        <w:rPr>
          <w:rFonts w:ascii="Times New Roman" w:cs="Times New Roman" w:eastAsia="Times New Roman" w:hAnsi="Times New Roman"/>
          <w:sz w:val="19"/>
          <w:szCs w:val="19"/>
          <w:u w:val="single" w:color="auto"/>
          <w:color w:val="auto"/>
        </w:rPr>
        <w:t>Section 10.6(c)</w:t>
      </w:r>
      <w:r>
        <w:rPr>
          <w:rFonts w:ascii="Times New Roman" w:cs="Times New Roman" w:eastAsia="Times New Roman" w:hAnsi="Times New Roman"/>
          <w:sz w:val="19"/>
          <w:szCs w:val="19"/>
          <w:color w:val="auto"/>
        </w:rPr>
        <w:t>, an allocation to a Holder of a share of Net Income or Net Loss shall be treated as an allocation of the same share of each item of income, gain, loss or deduction that is taken into account in computing Net Income or Net Loss.</w:t>
      </w:r>
    </w:p>
    <w:p>
      <w:pPr>
        <w:spacing w:after="0" w:line="17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9"/>
          <w:szCs w:val="19"/>
          <w:color w:val="auto"/>
        </w:rPr>
        <w:t xml:space="preserve">Section 5.2 </w:t>
      </w:r>
      <w:r>
        <w:rPr>
          <w:rFonts w:ascii="Times New Roman" w:cs="Times New Roman" w:eastAsia="Times New Roman" w:hAnsi="Times New Roman"/>
          <w:sz w:val="19"/>
          <w:szCs w:val="19"/>
          <w:u w:val="single" w:color="auto"/>
          <w:color w:val="auto"/>
        </w:rPr>
        <w:t>General Allocations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10.6(c)</w:t>
      </w:r>
      <w:r>
        <w:rPr>
          <w:rFonts w:ascii="Times New Roman" w:cs="Times New Roman" w:eastAsia="Times New Roman" w:hAnsi="Times New Roman"/>
          <w:sz w:val="19"/>
          <w:szCs w:val="19"/>
          <w:color w:val="auto"/>
        </w:rPr>
        <w:t>, Net Income and Net Loss shall be allocated to each of the Holders as follows:</w:t>
      </w:r>
    </w:p>
    <w:p>
      <w:pPr>
        <w:spacing w:after="0" w:line="200" w:lineRule="exact"/>
        <w:rPr>
          <w:sz w:val="20"/>
          <w:szCs w:val="20"/>
          <w:color w:val="auto"/>
        </w:rPr>
      </w:pPr>
    </w:p>
    <w:p>
      <w:pPr>
        <w:spacing w:after="0" w:line="237" w:lineRule="exact"/>
        <w:rPr>
          <w:sz w:val="20"/>
          <w:szCs w:val="20"/>
          <w:color w:val="auto"/>
        </w:rPr>
      </w:pPr>
    </w:p>
    <w:p>
      <w:pPr>
        <w:ind w:firstLine="1278"/>
        <w:spacing w:after="0" w:line="300" w:lineRule="auto"/>
        <w:tabs>
          <w:tab w:leader="none" w:pos="189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will be allocated to Holders of Partnership Preferred Units in accordance with and subject to the terms of the Partnership Unit Designation applicable to such Partnership Preferred Units;</w:t>
      </w:r>
    </w:p>
    <w:p>
      <w:pPr>
        <w:spacing w:after="0" w:line="129"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remaining Net Income will be allocated to the Holders of Partnership Common Units in accordance with their respective Percentage Interests at the end of each Fiscal Year; and</w:t>
      </w:r>
    </w:p>
    <w:p>
      <w:pPr>
        <w:spacing w:after="0" w:line="129"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any Partnership Unit Designation, Net Loss will be allocated to the Holders of Partnership Common Units in accordance with their respective Percentage Interests at the end of each Fiscal Year.</w:t>
      </w:r>
    </w:p>
    <w:p>
      <w:pPr>
        <w:spacing w:after="0" w:line="129"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provisions (a), (b) and (c),</w:t>
      </w:r>
    </w:p>
    <w:p>
      <w:pPr>
        <w:spacing w:after="0" w:line="232"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46"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Gross Asset Value is adjusted as described in the definition thereof or in connection with a deduction arising as a result of any Partnership Class A-3 Common Unit vesting, the General Partner shall allocate associated Net Income and Net Loss in a manner intended to cause the Capital Account allocable to each Partnership Class A-1 Common Unit and each Partnership Class A-2 Common Unit to be equal;</w:t>
      </w:r>
    </w:p>
    <w:p>
      <w:pPr>
        <w:spacing w:after="0" w:line="160"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4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 Partnership makes any distributions in respect of any Partnership Class A-3 Common Unit, the General Partner shall allocate associated Net Loss to Limited Partners holding Partnership Class A-1 Common Units and Partnership Class A-2 Common Units pro rata in accordance with the number of Partnership Class A-1 Common Units and Partnership Class A-2 Common Units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89" w:right="339" w:bottom="1440" w:gutter="0" w:footer="0" w:header="0"/>
        </w:sectPr>
      </w:pPr>
    </w:p>
    <w:bookmarkStart w:id="144" w:name="page145"/>
    <w:bookmarkEnd w:id="144"/>
    <w:p>
      <w:pPr>
        <w:jc w:val="both"/>
        <w:ind w:left="640" w:firstLine="1274"/>
        <w:spacing w:after="0" w:line="273" w:lineRule="auto"/>
        <w:tabs>
          <w:tab w:leader="none" w:pos="2548"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 Partnership makes a distribution in kind of Assets or Partnership Interests to a Holder, any income, gain, loss or deduction the Partnership derives from such in-kind distribution shall be solely allocated to the Holder who received such distribution; and</w:t>
      </w:r>
    </w:p>
    <w:p>
      <w:pPr>
        <w:spacing w:after="0" w:line="168"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3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any Partnership Units are forfeited and reallocated in accordance with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of this Agreement after the Effective Date, the General Partner (A) shall allocate income to the forfeiting Partners for any periods with respect to which such Partners received or will receive tax distributions and (B) shall not allocate any items of income to the forfeiting Partners for any period with respect to which such Partners will not receive tax distributions.</w:t>
      </w:r>
    </w:p>
    <w:p>
      <w:pPr>
        <w:spacing w:after="0" w:line="16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5.3</w:t>
      </w:r>
      <w:r>
        <w:rPr>
          <w:sz w:val="20"/>
          <w:szCs w:val="20"/>
          <w:color w:val="auto"/>
        </w:rPr>
        <w:tab/>
      </w:r>
      <w:r>
        <w:rPr>
          <w:rFonts w:ascii="Times New Roman" w:cs="Times New Roman" w:eastAsia="Times New Roman" w:hAnsi="Times New Roman"/>
          <w:sz w:val="19"/>
          <w:szCs w:val="19"/>
          <w:u w:val="single" w:color="auto"/>
          <w:color w:val="auto"/>
        </w:rPr>
        <w:t>Additional Allocation Provisions</w:t>
      </w:r>
      <w:r>
        <w:rPr>
          <w:rFonts w:ascii="Times New Roman" w:cs="Times New Roman" w:eastAsia="Times New Roman" w:hAnsi="Times New Roman"/>
          <w:sz w:val="19"/>
          <w:szCs w:val="19"/>
          <w:color w:val="auto"/>
        </w:rPr>
        <w:t>. Notwithstanding the foregoing provisions of this</w:t>
      </w:r>
      <w:r>
        <w:rPr>
          <w:rFonts w:ascii="Times New Roman" w:cs="Times New Roman" w:eastAsia="Times New Roman" w:hAnsi="Times New Roman"/>
          <w:sz w:val="19"/>
          <w:szCs w:val="19"/>
          <w:u w:val="single" w:color="auto"/>
          <w:color w:val="auto"/>
        </w:rPr>
        <w:t xml:space="preserve"> Article V</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58" w:lineRule="auto"/>
        <w:tabs>
          <w:tab w:leader="none" w:pos="18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Allocations Regarding Partnership Preferred Units</w:t>
      </w:r>
      <w:r>
        <w:rPr>
          <w:rFonts w:ascii="Times New Roman" w:cs="Times New Roman" w:eastAsia="Times New Roman" w:hAnsi="Times New Roman"/>
          <w:sz w:val="19"/>
          <w:szCs w:val="19"/>
          <w:color w:val="auto"/>
        </w:rPr>
        <w:t xml:space="preserve">. If any Partnership Preferred Units are redeemed pursuant to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 xml:space="preserve"> (treating a full liquidation of the General Partner’s Partnership Interest or of such Special Limited Partner’s Partnership Interest for purposes of this </w:t>
      </w:r>
      <w:r>
        <w:rPr>
          <w:rFonts w:ascii="Times New Roman" w:cs="Times New Roman" w:eastAsia="Times New Roman" w:hAnsi="Times New Roman"/>
          <w:sz w:val="19"/>
          <w:szCs w:val="19"/>
          <w:u w:val="single" w:color="auto"/>
          <w:color w:val="auto"/>
        </w:rPr>
        <w:t>Section 5.3(a)</w:t>
      </w:r>
      <w:r>
        <w:rPr>
          <w:rFonts w:ascii="Times New Roman" w:cs="Times New Roman" w:eastAsia="Times New Roman" w:hAnsi="Times New Roman"/>
          <w:sz w:val="19"/>
          <w:szCs w:val="19"/>
          <w:color w:val="auto"/>
        </w:rPr>
        <w:t xml:space="preserve"> as including a redemption of any then outstanding Partnership Preferred Units pursuant to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 for the Fiscal Year that includes such redemption (and, if necessary, for subsequent Fiscal Years) (a) gross income and gain (in such relative proportions as the General Partner shall determine) shall be allocated to the holder(s) of such Partnership Preferred Units to the extent that the redemption amounts paid or payable with respect to the Partnership Preferred Units so redeemed (or treated as redeemed) exceeds the aggregate Capital Account balances (net of liabilities assumed or taken subject to by the Partnership) per Partnership Preferred Unit allocable to the Partnership Preferred Units so redeemed (or treated as redeemed) and (b) deductions and losses (in such relative proportions as the General Partner shall determine) shall be allocated to the holder(s) of such Partnership Preferred Units to the extent that the aggregate Capital Account balances (net of liabilities assumed or taken subject to by the Partnership) per Partnership Preferred Unit allocable to the Partnership Preferred Units so redeemed (or treated as redeemed) exceeds the redemption amount paid or payable with respect to the Partnership Preferred Units so redeemed (or treated as redeemed).</w:t>
      </w:r>
    </w:p>
    <w:p>
      <w:pPr>
        <w:spacing w:after="0" w:line="189"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Allocations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640" w:firstLine="1274"/>
        <w:spacing w:after="0" w:line="263" w:lineRule="auto"/>
        <w:tabs>
          <w:tab w:leader="none" w:pos="254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Gain Chargeback</w:t>
      </w:r>
      <w:r>
        <w:rPr>
          <w:rFonts w:ascii="Times New Roman" w:cs="Times New Roman" w:eastAsia="Times New Roman" w:hAnsi="Times New Roman"/>
          <w:sz w:val="19"/>
          <w:szCs w:val="19"/>
          <w:color w:val="auto"/>
        </w:rPr>
        <w:t xml:space="preserve">. Except as otherwise provided in Regulations section 1.704-2(f), notwithstanding the provisions of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or any other provision of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if there is a net decrease in Partnership Minimum Gain during any Fiscal Year, each Holder shall be specially allocated items of Partnership income and gain for such Fiscal Year (and, if necessary, subsequent Fiscal Years) in an amount equal to such Holder’s share of the net decrease in Partnership Minimum Gain, as determined under Regulations section 1.704-2(g)(2). Allocations pursuant to the previous sentence shall be made in proportion to the respective amounts required to be allocated to each Holder pursuant thereto. The items to be allocated shall be determined in accordance with Regulations sections 1.704-2(f)(6) and 1.704-2(j)(2). This </w:t>
      </w:r>
      <w:r>
        <w:rPr>
          <w:rFonts w:ascii="Times New Roman" w:cs="Times New Roman" w:eastAsia="Times New Roman" w:hAnsi="Times New Roman"/>
          <w:sz w:val="19"/>
          <w:szCs w:val="19"/>
          <w:u w:val="single" w:color="auto"/>
          <w:color w:val="auto"/>
        </w:rPr>
        <w:t>Section 5.3(b)(i)</w:t>
      </w:r>
      <w:r>
        <w:rPr>
          <w:rFonts w:ascii="Times New Roman" w:cs="Times New Roman" w:eastAsia="Times New Roman" w:hAnsi="Times New Roman"/>
          <w:sz w:val="19"/>
          <w:szCs w:val="19"/>
          <w:color w:val="auto"/>
        </w:rPr>
        <w:t xml:space="preserve"> is intended to comply with the minimum gain chargeback requirement in Regulations section 1.704-2(f) and shall be interpreted consistently therewith.</w:t>
      </w:r>
    </w:p>
    <w:p>
      <w:pPr>
        <w:spacing w:after="0" w:line="164"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 Nonrecourse Debt Minimum Gain Chargeback</w:t>
      </w:r>
      <w:r>
        <w:rPr>
          <w:rFonts w:ascii="Times New Roman" w:cs="Times New Roman" w:eastAsia="Times New Roman" w:hAnsi="Times New Roman"/>
          <w:sz w:val="19"/>
          <w:szCs w:val="19"/>
          <w:color w:val="auto"/>
        </w:rPr>
        <w:t xml:space="preserve">. Except as otherwise provided in Regulations section 1.704-2(i)(4) or in </w:t>
      </w:r>
      <w:r>
        <w:rPr>
          <w:rFonts w:ascii="Times New Roman" w:cs="Times New Roman" w:eastAsia="Times New Roman" w:hAnsi="Times New Roman"/>
          <w:sz w:val="19"/>
          <w:szCs w:val="19"/>
          <w:u w:val="single" w:color="auto"/>
          <w:color w:val="auto"/>
        </w:rPr>
        <w:t>Section 5.3(b)(i)</w:t>
      </w:r>
      <w:r>
        <w:rPr>
          <w:rFonts w:ascii="Times New Roman" w:cs="Times New Roman" w:eastAsia="Times New Roman" w:hAnsi="Times New Roman"/>
          <w:sz w:val="19"/>
          <w:szCs w:val="19"/>
          <w:color w:val="auto"/>
        </w:rPr>
        <w:t>, if there is a net decrease in Partner Minimum Gain attributable to a Partner Nonrecourse Debt during any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89" w:right="339" w:bottom="1440" w:gutter="0" w:footer="0" w:header="0"/>
        </w:sectPr>
      </w:pPr>
    </w:p>
    <w:bookmarkStart w:id="145" w:name="page146"/>
    <w:bookmarkEnd w:id="145"/>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Year, each Holder who has a share of the Partner Minimum Gain attributable to such Partner Nonrecourse Debt (determined in accordance with Regulations section 1.704-2(i)(5)) as of the beginning of the Fiscal Year shall be specially allocated items of Partnership income and gain for such Fiscal Year (and, if necessary, subsequent Fiscal Years) in an amount equal to such Holder’s respective share of the net decrease in Partner Minimum Gain attributable to such Partner Nonrecourse Debt. A Holder’s share of the net decrease in Partner Minimum Gain shall be determined in accordance with Regulations section 1.704-2(i)(4);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Holder shall not be subject to this provision to the extent that an exception is provided by Regulations section 1.704-2(i)(4) and any IRS revenue rulings, revenue procedures, or notices issued with respect thereto. Allocations pursuant to this </w:t>
      </w:r>
      <w:r>
        <w:rPr>
          <w:rFonts w:ascii="Times New Roman" w:cs="Times New Roman" w:eastAsia="Times New Roman" w:hAnsi="Times New Roman"/>
          <w:sz w:val="19"/>
          <w:szCs w:val="19"/>
          <w:u w:val="single" w:color="auto"/>
          <w:color w:val="auto"/>
        </w:rPr>
        <w:t>Section 5.3(b)(ii)</w:t>
      </w:r>
      <w:r>
        <w:rPr>
          <w:rFonts w:ascii="Times New Roman" w:cs="Times New Roman" w:eastAsia="Times New Roman" w:hAnsi="Times New Roman"/>
          <w:sz w:val="19"/>
          <w:szCs w:val="19"/>
          <w:color w:val="auto"/>
        </w:rPr>
        <w:t xml:space="preserve"> shall be made in proportion to the respective amounts required to be allocated to each Holder pursuant thereto. The items to be so allocated shall be determined in accordance with Regulations sections 1.704-2(i)(4) and 1.704-2(j)(2). This </w:t>
      </w:r>
      <w:r>
        <w:rPr>
          <w:rFonts w:ascii="Times New Roman" w:cs="Times New Roman" w:eastAsia="Times New Roman" w:hAnsi="Times New Roman"/>
          <w:sz w:val="19"/>
          <w:szCs w:val="19"/>
          <w:u w:val="single" w:color="auto"/>
          <w:color w:val="auto"/>
        </w:rPr>
        <w:t>Section 5.3(b)(ii)</w:t>
      </w:r>
      <w:r>
        <w:rPr>
          <w:rFonts w:ascii="Times New Roman" w:cs="Times New Roman" w:eastAsia="Times New Roman" w:hAnsi="Times New Roman"/>
          <w:sz w:val="19"/>
          <w:szCs w:val="19"/>
          <w:color w:val="auto"/>
        </w:rPr>
        <w:t xml:space="preserve"> is intended to comply with the minimum gain chargeback requirement in Regulations section 1.704-2(i) and shall be interpreted consistently therewith.</w:t>
      </w:r>
    </w:p>
    <w:p>
      <w:pPr>
        <w:spacing w:after="0" w:line="186" w:lineRule="exact"/>
        <w:rPr>
          <w:sz w:val="20"/>
          <w:szCs w:val="20"/>
          <w:color w:val="auto"/>
        </w:rPr>
      </w:pPr>
    </w:p>
    <w:p>
      <w:pPr>
        <w:jc w:val="both"/>
        <w:ind w:firstLine="1274"/>
        <w:spacing w:after="0" w:line="265" w:lineRule="auto"/>
        <w:tabs>
          <w:tab w:leader="none" w:pos="190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Nonrecourse Deductions and Partner Nonrecourse Deductions</w:t>
      </w:r>
      <w:r>
        <w:rPr>
          <w:rFonts w:ascii="Times New Roman" w:cs="Times New Roman" w:eastAsia="Times New Roman" w:hAnsi="Times New Roman"/>
          <w:sz w:val="19"/>
          <w:szCs w:val="19"/>
          <w:color w:val="auto"/>
        </w:rPr>
        <w:t>. Any Nonrecourse Deductions for any Fiscal Year shall be specially allocated to the Holders in accordance with their respective Percentage Interests. Any Partner Nonrecourse Deductions for any Fiscal Year shall be specially allocated to the Holder(s) who bears the economic risk of loss with respect to the Partner Nonrecourse Debt to which such Partner Nonrecourse Deductions are attributable, in accordance with Regulations section 1.704-2(i).</w:t>
      </w:r>
    </w:p>
    <w:p>
      <w:pPr>
        <w:spacing w:after="0" w:line="200" w:lineRule="exact"/>
        <w:rPr>
          <w:rFonts w:ascii="Times New Roman" w:cs="Times New Roman" w:eastAsia="Times New Roman" w:hAnsi="Times New Roman"/>
          <w:sz w:val="19"/>
          <w:szCs w:val="19"/>
          <w:color w:val="auto"/>
        </w:rPr>
      </w:pPr>
    </w:p>
    <w:p>
      <w:pPr>
        <w:spacing w:after="0" w:line="213" w:lineRule="exact"/>
        <w:rPr>
          <w:rFonts w:ascii="Times New Roman" w:cs="Times New Roman" w:eastAsia="Times New Roman" w:hAnsi="Times New Roman"/>
          <w:sz w:val="19"/>
          <w:szCs w:val="19"/>
          <w:color w:val="auto"/>
        </w:rPr>
      </w:pPr>
    </w:p>
    <w:p>
      <w:pPr>
        <w:jc w:val="both"/>
        <w:ind w:firstLine="1274"/>
        <w:spacing w:after="0" w:line="261" w:lineRule="auto"/>
        <w:tabs>
          <w:tab w:leader="none" w:pos="189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Qualified Income Offset</w:t>
      </w:r>
      <w:r>
        <w:rPr>
          <w:rFonts w:ascii="Times New Roman" w:cs="Times New Roman" w:eastAsia="Times New Roman" w:hAnsi="Times New Roman"/>
          <w:sz w:val="19"/>
          <w:szCs w:val="19"/>
          <w:color w:val="auto"/>
        </w:rPr>
        <w:t xml:space="preserve">. If any Holder unexpectedly receives an adjustment, allocation or distribution described in Regulations section 1.704-1(b)(2)(ii)(d)(4), (5) or (6), items of Partnership income and gain shall be allocated, in accordance with Regulations section 1.704-1(b)(2)(ii)(d), to such Holder in an amount and manner sufficient to eliminate, to the extent required by such Regulations, the Adjusted Capital Account Deficit of such Holder as quickly as possible;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allocation pursuant to this </w:t>
      </w:r>
      <w:r>
        <w:rPr>
          <w:rFonts w:ascii="Times New Roman" w:cs="Times New Roman" w:eastAsia="Times New Roman" w:hAnsi="Times New Roman"/>
          <w:sz w:val="19"/>
          <w:szCs w:val="19"/>
          <w:u w:val="single" w:color="auto"/>
          <w:color w:val="auto"/>
        </w:rPr>
        <w:t>Section 5.3(b)(iv)</w:t>
      </w:r>
      <w:r>
        <w:rPr>
          <w:rFonts w:ascii="Times New Roman" w:cs="Times New Roman" w:eastAsia="Times New Roman" w:hAnsi="Times New Roman"/>
          <w:sz w:val="19"/>
          <w:szCs w:val="19"/>
          <w:color w:val="auto"/>
        </w:rPr>
        <w:t xml:space="preserve"> shall be made if and only to the extent that such Holder would have an Adjusted Capital Account Deficit after all other allocations provided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have been tentatively made as if this </w:t>
      </w:r>
      <w:r>
        <w:rPr>
          <w:rFonts w:ascii="Times New Roman" w:cs="Times New Roman" w:eastAsia="Times New Roman" w:hAnsi="Times New Roman"/>
          <w:sz w:val="19"/>
          <w:szCs w:val="19"/>
          <w:u w:val="single" w:color="auto"/>
          <w:color w:val="auto"/>
        </w:rPr>
        <w:t>Section 5.3(b)(iv)</w:t>
      </w:r>
      <w:r>
        <w:rPr>
          <w:rFonts w:ascii="Times New Roman" w:cs="Times New Roman" w:eastAsia="Times New Roman" w:hAnsi="Times New Roman"/>
          <w:sz w:val="19"/>
          <w:szCs w:val="19"/>
          <w:color w:val="auto"/>
        </w:rPr>
        <w:t xml:space="preserve"> were not in the Agreement. It is intended that this </w:t>
      </w:r>
      <w:r>
        <w:rPr>
          <w:rFonts w:ascii="Times New Roman" w:cs="Times New Roman" w:eastAsia="Times New Roman" w:hAnsi="Times New Roman"/>
          <w:sz w:val="19"/>
          <w:szCs w:val="19"/>
          <w:u w:val="single" w:color="auto"/>
          <w:color w:val="auto"/>
        </w:rPr>
        <w:t>Section 5.3(b)(iv)</w:t>
      </w:r>
      <w:r>
        <w:rPr>
          <w:rFonts w:ascii="Times New Roman" w:cs="Times New Roman" w:eastAsia="Times New Roman" w:hAnsi="Times New Roman"/>
          <w:sz w:val="19"/>
          <w:szCs w:val="19"/>
          <w:color w:val="auto"/>
        </w:rPr>
        <w:t xml:space="preserve"> comply with the qualified income offset requirement in Regulations section 1.704-1(b)(2)(ii)(d) and shall be interpreted consistently therewith.</w:t>
      </w:r>
    </w:p>
    <w:p>
      <w:pPr>
        <w:spacing w:after="0" w:line="179" w:lineRule="exact"/>
        <w:rPr>
          <w:rFonts w:ascii="Times New Roman" w:cs="Times New Roman" w:eastAsia="Times New Roman" w:hAnsi="Times New Roman"/>
          <w:sz w:val="19"/>
          <w:szCs w:val="19"/>
          <w:color w:val="auto"/>
        </w:rPr>
      </w:pPr>
    </w:p>
    <w:p>
      <w:pPr>
        <w:jc w:val="both"/>
        <w:ind w:firstLine="1274"/>
        <w:spacing w:after="0" w:line="259" w:lineRule="auto"/>
        <w:tabs>
          <w:tab w:leader="none" w:pos="189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Gross Income Allocation</w:t>
      </w:r>
      <w:r>
        <w:rPr>
          <w:rFonts w:ascii="Times New Roman" w:cs="Times New Roman" w:eastAsia="Times New Roman" w:hAnsi="Times New Roman"/>
          <w:sz w:val="19"/>
          <w:szCs w:val="19"/>
          <w:color w:val="auto"/>
        </w:rPr>
        <w:t xml:space="preserve">. In the event that any Holder has a deficit Capital Account at the end of any Fiscal Year that is in excess of the sum of (1) the amount (if any) that such Holder is obligated to restore to the Partnership upon complete liquidation of such Holder’s Partnership Interest (including, the Holder’s interest in outstanding Partnership Preferred Units and other Partnership Units) and (2) the amount that such Holder is deemed to be obligated to restore pursuant to the penultimate sentences of Regulations sections 1.704-2 (g)(1) and 1.704-2(i)(5), each such Holder shall be specially allocated items of Partnership income and gain in the amount of such excess to eliminate such deficit as quickly as possible;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allocation pursuant to this </w:t>
      </w:r>
      <w:r>
        <w:rPr>
          <w:rFonts w:ascii="Times New Roman" w:cs="Times New Roman" w:eastAsia="Times New Roman" w:hAnsi="Times New Roman"/>
          <w:sz w:val="19"/>
          <w:szCs w:val="19"/>
          <w:u w:val="single" w:color="auto"/>
          <w:color w:val="auto"/>
        </w:rPr>
        <w:t>Section 5.3(b)(v)</w:t>
      </w:r>
      <w:r>
        <w:rPr>
          <w:rFonts w:ascii="Times New Roman" w:cs="Times New Roman" w:eastAsia="Times New Roman" w:hAnsi="Times New Roman"/>
          <w:sz w:val="19"/>
          <w:szCs w:val="19"/>
          <w:color w:val="auto"/>
        </w:rPr>
        <w:t xml:space="preserve"> shall be made if and only to the extent that such Holder would have a deficit Capital Account in excess of such sum after all other allocations provided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have been tentatively made as if this </w:t>
      </w:r>
      <w:r>
        <w:rPr>
          <w:rFonts w:ascii="Times New Roman" w:cs="Times New Roman" w:eastAsia="Times New Roman" w:hAnsi="Times New Roman"/>
          <w:sz w:val="19"/>
          <w:szCs w:val="19"/>
          <w:u w:val="single" w:color="auto"/>
          <w:color w:val="auto"/>
        </w:rPr>
        <w:t>Section 5.3(b)(v)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5.3(b)(iv)</w:t>
      </w:r>
      <w:r>
        <w:rPr>
          <w:rFonts w:ascii="Times New Roman" w:cs="Times New Roman" w:eastAsia="Times New Roman" w:hAnsi="Times New Roman"/>
          <w:sz w:val="19"/>
          <w:szCs w:val="19"/>
          <w:color w:val="auto"/>
        </w:rPr>
        <w:t xml:space="preserve"> were not in the Agreement.</w:t>
      </w:r>
    </w:p>
    <w:p>
      <w:pPr>
        <w:spacing w:after="0" w:line="200" w:lineRule="exact"/>
        <w:rPr>
          <w:rFonts w:ascii="Times New Roman" w:cs="Times New Roman" w:eastAsia="Times New Roman" w:hAnsi="Times New Roman"/>
          <w:sz w:val="19"/>
          <w:szCs w:val="19"/>
          <w:color w:val="auto"/>
        </w:rPr>
      </w:pPr>
    </w:p>
    <w:p>
      <w:pPr>
        <w:spacing w:after="0" w:line="219" w:lineRule="exact"/>
        <w:rPr>
          <w:rFonts w:ascii="Times New Roman" w:cs="Times New Roman" w:eastAsia="Times New Roman" w:hAnsi="Times New Roman"/>
          <w:sz w:val="19"/>
          <w:szCs w:val="19"/>
          <w:color w:val="auto"/>
        </w:rPr>
      </w:pPr>
    </w:p>
    <w:p>
      <w:pPr>
        <w:ind w:firstLine="1274"/>
        <w:spacing w:after="0" w:line="300" w:lineRule="auto"/>
        <w:tabs>
          <w:tab w:leader="none" w:pos="189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on Allocation of Net Loss</w:t>
      </w:r>
      <w:r>
        <w:rPr>
          <w:rFonts w:ascii="Times New Roman" w:cs="Times New Roman" w:eastAsia="Times New Roman" w:hAnsi="Times New Roman"/>
          <w:sz w:val="19"/>
          <w:szCs w:val="19"/>
          <w:color w:val="auto"/>
        </w:rPr>
        <w:t>. To the extent that any allocation of Net Loss (or items of loss) would cause or increase an Adjusted Capital Account Deficit as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00"/>
          </w:cols>
          <w:pgMar w:left="960" w:top="1389" w:right="339" w:bottom="1440" w:gutter="0" w:footer="0" w:header="0"/>
        </w:sectPr>
      </w:pPr>
    </w:p>
    <w:bookmarkStart w:id="146" w:name="page147"/>
    <w:bookmarkEnd w:id="146"/>
    <w:p>
      <w:pPr>
        <w:jc w:val="both"/>
        <w:ind w:left="640"/>
        <w:spacing w:after="0" w:line="273" w:lineRule="auto"/>
        <w:rPr>
          <w:sz w:val="20"/>
          <w:szCs w:val="20"/>
          <w:color w:val="auto"/>
        </w:rPr>
      </w:pPr>
      <w:r>
        <w:rPr>
          <w:rFonts w:ascii="Times New Roman" w:cs="Times New Roman" w:eastAsia="Times New Roman" w:hAnsi="Times New Roman"/>
          <w:sz w:val="19"/>
          <w:szCs w:val="19"/>
          <w:color w:val="auto"/>
        </w:rPr>
        <w:t xml:space="preserve">Holder, such allocation of Net Loss (or items of loss) shall be reallocated (x) first, among the other Holders of Partnership Common Units in accordance with their respective Percentage Interests, and (y) thereafter, among the Holders of other Partnership Units, as determined by the General Partner, subject to the limitations of this </w:t>
      </w:r>
      <w:r>
        <w:rPr>
          <w:rFonts w:ascii="Times New Roman" w:cs="Times New Roman" w:eastAsia="Times New Roman" w:hAnsi="Times New Roman"/>
          <w:sz w:val="19"/>
          <w:szCs w:val="19"/>
          <w:u w:val="single" w:color="auto"/>
          <w:color w:val="auto"/>
        </w:rPr>
        <w:t>Section 5.3(b)(vi)</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left="640" w:firstLine="1274"/>
        <w:spacing w:after="0" w:line="261" w:lineRule="auto"/>
        <w:tabs>
          <w:tab w:leader="none" w:pos="2538"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754 Adjustment</w:t>
      </w:r>
      <w:r>
        <w:rPr>
          <w:rFonts w:ascii="Times New Roman" w:cs="Times New Roman" w:eastAsia="Times New Roman" w:hAnsi="Times New Roman"/>
          <w:sz w:val="19"/>
          <w:szCs w:val="19"/>
          <w:color w:val="auto"/>
        </w:rPr>
        <w:t>. To the extent that an adjustment to the adjusted tax basis of any Partnership asset pursuant to Code section 734(b) or Code section 743(b) is required, pursuant to Regulations section 1.704-1(b)(2)(iv)(m)(2) or Regulations section 1.704-1(b)(2) (iv)(m)(4), to be taken into account in determining Capital Accounts as the result of a distribution to a Holder of Partnership Common Units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of Partnership Common Units in accordance with their respective Percentage Interests in the event that Regulations section 1.704-1(b)(2)(iv)(m)(2) applies, or to the Holder(s) to whom such distribution was made in the event that Regulations section 1.704-1(b)(2)(iv)(m)(4) applies.</w:t>
      </w:r>
    </w:p>
    <w:p>
      <w:pPr>
        <w:spacing w:after="0" w:line="179" w:lineRule="exact"/>
        <w:rPr>
          <w:rFonts w:ascii="Times New Roman" w:cs="Times New Roman" w:eastAsia="Times New Roman" w:hAnsi="Times New Roman"/>
          <w:sz w:val="19"/>
          <w:szCs w:val="19"/>
          <w:color w:val="auto"/>
        </w:rPr>
      </w:pPr>
    </w:p>
    <w:p>
      <w:pPr>
        <w:jc w:val="both"/>
        <w:ind w:left="640" w:firstLine="1274"/>
        <w:spacing w:after="0" w:line="261" w:lineRule="auto"/>
        <w:tabs>
          <w:tab w:leader="none" w:pos="2539"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Curative Allocations</w:t>
      </w:r>
      <w:r>
        <w:rPr>
          <w:rFonts w:ascii="Times New Roman" w:cs="Times New Roman" w:eastAsia="Times New Roman" w:hAnsi="Times New Roman"/>
          <w:sz w:val="19"/>
          <w:szCs w:val="19"/>
          <w:color w:val="auto"/>
        </w:rPr>
        <w:t xml:space="preserve">. The allocations set forth in </w:t>
      </w:r>
      <w:r>
        <w:rPr>
          <w:rFonts w:ascii="Times New Roman" w:cs="Times New Roman" w:eastAsia="Times New Roman" w:hAnsi="Times New Roman"/>
          <w:sz w:val="19"/>
          <w:szCs w:val="19"/>
          <w:u w:val="single" w:color="auto"/>
          <w:color w:val="auto"/>
        </w:rPr>
        <w:t>Sections 5.3(b)(i)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Regulatory Allocations</w:t>
      </w:r>
      <w:r>
        <w:rPr>
          <w:rFonts w:ascii="Times New Roman" w:cs="Times New Roman" w:eastAsia="Times New Roman" w:hAnsi="Times New Roman"/>
          <w:sz w:val="19"/>
          <w:szCs w:val="19"/>
          <w:color w:val="auto"/>
        </w:rPr>
        <w:t xml:space="preserve">”) are intended to comply with certain regulatory requirements, including the requirements of Regulations sections 1.704-1(b) and 1.704-2. Notwithstanding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Regulatory Allocations shall be taken into account in allocating other items of income, gain, loss and deduction among the Holders of Partnership Common Units so that to the extent possible without violating the requirements giving rise to the Regulatory Allocations, the net amount of such allocations of other items and the Regulatory Allocations to each Holder of a Partnership Common Unit shall be equal to the net amount that would have been allocated to each such Holder if the Regulatory Allocations had not occurred.</w:t>
      </w:r>
    </w:p>
    <w:p>
      <w:pPr>
        <w:spacing w:after="0" w:line="178"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Allocations Upon Liquidation</w:t>
      </w:r>
      <w:r>
        <w:rPr>
          <w:rFonts w:ascii="Times New Roman" w:cs="Times New Roman" w:eastAsia="Times New Roman" w:hAnsi="Times New Roman"/>
          <w:sz w:val="19"/>
          <w:szCs w:val="19"/>
          <w:color w:val="auto"/>
        </w:rPr>
        <w:t xml:space="preserve">. Notwithstanding any provision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to the contrary, in the event that the Partnership disposes of all or substantially all of its assets in a transaction that will lead to a liquidation of the Partnership pursuant to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then any Net Income or Net Loss realized in connection with such transaction and thereafter (and, if necessary, constituent items of income, gain, loss and deduction) shall be specially allocated for such Fiscal Year or a later Fiscal Year (and to the extent permitted by Code section 761(c), for the immediately preceding Fiscal Year) among the Holders as required so as to cause liquidating distributions pursuant to </w:t>
      </w:r>
      <w:r>
        <w:rPr>
          <w:rFonts w:ascii="Times New Roman" w:cs="Times New Roman" w:eastAsia="Times New Roman" w:hAnsi="Times New Roman"/>
          <w:sz w:val="19"/>
          <w:szCs w:val="19"/>
          <w:u w:val="single" w:color="auto"/>
          <w:color w:val="auto"/>
        </w:rPr>
        <w:t>Section 12.3(a)(iii)</w:t>
      </w:r>
      <w:r>
        <w:rPr>
          <w:rFonts w:ascii="Times New Roman" w:cs="Times New Roman" w:eastAsia="Times New Roman" w:hAnsi="Times New Roman"/>
          <w:sz w:val="19"/>
          <w:szCs w:val="19"/>
          <w:color w:val="auto"/>
        </w:rPr>
        <w:t xml:space="preserve"> to be made in the same amounts and proportions as would have resulted had such distributions instead been made pursuant to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Allocation of Excess Nonrecourse Liabilities</w:t>
      </w:r>
      <w:r>
        <w:rPr>
          <w:rFonts w:ascii="Times New Roman" w:cs="Times New Roman" w:eastAsia="Times New Roman" w:hAnsi="Times New Roman"/>
          <w:sz w:val="19"/>
          <w:szCs w:val="19"/>
          <w:color w:val="auto"/>
        </w:rPr>
        <w:t>. For purposes of determining a Holder’s proportional share of the “excess nonrecourse liabilities” of the Partnership within the meaning of Regulations section 1.752-3(a)(3), each Holder’s respective interest in Partnership profits shall be equal to such Holder’s Percentage Interest with respect to Partnership Common Units.</w:t>
      </w:r>
    </w:p>
    <w:p>
      <w:pPr>
        <w:spacing w:after="0" w:line="16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5.4</w:t>
      </w:r>
      <w:r>
        <w:rPr>
          <w:sz w:val="20"/>
          <w:szCs w:val="20"/>
          <w:color w:val="auto"/>
        </w:rPr>
        <w:tab/>
      </w:r>
      <w:r>
        <w:rPr>
          <w:rFonts w:ascii="Times New Roman" w:cs="Times New Roman" w:eastAsia="Times New Roman" w:hAnsi="Times New Roman"/>
          <w:sz w:val="19"/>
          <w:szCs w:val="19"/>
          <w:u w:val="single" w:color="auto"/>
          <w:color w:val="auto"/>
        </w:rPr>
        <w:t>Tax Allocations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73" w:lineRule="auto"/>
        <w:tabs>
          <w:tab w:leader="none" w:pos="189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 General</w:t>
      </w:r>
      <w:r>
        <w:rPr>
          <w:rFonts w:ascii="Times New Roman" w:cs="Times New Roman" w:eastAsia="Times New Roman" w:hAnsi="Times New Roman"/>
          <w:sz w:val="19"/>
          <w:szCs w:val="19"/>
          <w:color w:val="auto"/>
        </w:rPr>
        <w:t xml:space="preserve">. Except as otherwise provided in this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for income tax purposes under the Code and the Regulations each Partnership item of income, gain, loss and deduction (collectively, “</w:t>
      </w:r>
      <w:r>
        <w:rPr>
          <w:rFonts w:ascii="Times New Roman" w:cs="Times New Roman" w:eastAsia="Times New Roman" w:hAnsi="Times New Roman"/>
          <w:sz w:val="19"/>
          <w:szCs w:val="19"/>
          <w:u w:val="single" w:color="auto"/>
          <w:color w:val="auto"/>
        </w:rPr>
        <w:t>Tax Items</w:t>
      </w:r>
      <w:r>
        <w:rPr>
          <w:rFonts w:ascii="Times New Roman" w:cs="Times New Roman" w:eastAsia="Times New Roman" w:hAnsi="Times New Roman"/>
          <w:sz w:val="19"/>
          <w:szCs w:val="19"/>
          <w:color w:val="auto"/>
        </w:rPr>
        <w:t xml:space="preserve">”) shall be allocated among the Holders in the same manner as its correlative item of “book” income, gain, loss or deduction is allocated pursuant to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89" w:right="339" w:bottom="1440" w:gutter="0" w:footer="0" w:header="0"/>
        </w:sectPr>
      </w:pPr>
    </w:p>
    <w:bookmarkStart w:id="147" w:name="page148"/>
    <w:bookmarkEnd w:id="147"/>
    <w:p>
      <w:pPr>
        <w:jc w:val="both"/>
        <w:ind w:firstLine="1278"/>
        <w:spacing w:after="0" w:line="260" w:lineRule="auto"/>
        <w:tabs>
          <w:tab w:leader="none" w:pos="189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704(c) Allocations</w:t>
      </w:r>
      <w:r>
        <w:rPr>
          <w:rFonts w:ascii="Times New Roman" w:cs="Times New Roman" w:eastAsia="Times New Roman" w:hAnsi="Times New Roman"/>
          <w:sz w:val="19"/>
          <w:szCs w:val="19"/>
          <w:color w:val="auto"/>
        </w:rPr>
        <w:t xml:space="preserve">. Notwithstanding </w:t>
      </w:r>
      <w:r>
        <w:rPr>
          <w:rFonts w:ascii="Times New Roman" w:cs="Times New Roman" w:eastAsia="Times New Roman" w:hAnsi="Times New Roman"/>
          <w:sz w:val="19"/>
          <w:szCs w:val="19"/>
          <w:u w:val="single" w:color="auto"/>
          <w:color w:val="auto"/>
        </w:rPr>
        <w:t>Section 5.4(a)</w:t>
      </w:r>
      <w:r>
        <w:rPr>
          <w:rFonts w:ascii="Times New Roman" w:cs="Times New Roman" w:eastAsia="Times New Roman" w:hAnsi="Times New Roman"/>
          <w:sz w:val="19"/>
          <w:szCs w:val="19"/>
          <w:color w:val="auto"/>
        </w:rPr>
        <w:t xml:space="preserve">, Tax Items with respect to an Asset that is contributed to the Partnership with a Gross Asset Value that varies from its basis in the hands of the contributing Partner immediately preceding the date of contribution shall be allocated among the Holders for income tax purposes pursuant to Regulations promulgated under Code section 704(c) so as to take into account such variation. The Partnership shall account for such variation under the traditional method as described in Regulations section 1.704-3(b);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another method approved under Code section 704(c) and the applicable Regulations may be used to account for such variation if VoteCo Professionals consents in writing to the use of such method. In the event that the Gross Asset Value of any Partnership asset is adjusted pursuant to subsection (ii) of the definition of “Gross Asset Value” (provided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subsequent allocations of Tax Items with respect to such asset shall take account of the variation, if any, between the adjusted basis of such asset and its Gross Asset Value in the same manner as under Code section 704(c) and the applicable Regulations and using the method chosen by the General Partner. Notwithstanding anything to the contrary in this Agreement, if the Partnership issues any noncompensatory options as defined in Regulations section 1.721-2 and a Partner receives an interest in the Partnership pursuant to the exercise of such an option, the Partnership shall make such allocations and adjustments to the Partners’ Capital Accounts as are required to comply with Regulations section 1.704-1.</w:t>
      </w:r>
    </w:p>
    <w:p>
      <w:pPr>
        <w:spacing w:after="0" w:line="168"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5.5 </w:t>
      </w:r>
      <w:r>
        <w:rPr>
          <w:rFonts w:ascii="Times New Roman" w:cs="Times New Roman" w:eastAsia="Times New Roman" w:hAnsi="Times New Roman"/>
          <w:sz w:val="19"/>
          <w:szCs w:val="19"/>
          <w:u w:val="single" w:color="auto"/>
          <w:color w:val="auto"/>
        </w:rPr>
        <w:t>Certain Accounting Matters</w:t>
      </w:r>
      <w:r>
        <w:rPr>
          <w:rFonts w:ascii="Times New Roman" w:cs="Times New Roman" w:eastAsia="Times New Roman" w:hAnsi="Times New Roman"/>
          <w:sz w:val="19"/>
          <w:szCs w:val="19"/>
          <w:color w:val="auto"/>
        </w:rPr>
        <w:t xml:space="preserve">. Notwithstanding anything herein to the contrary, for financial reporting purposes in accordance with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Limited Partners holding Partnership Class A-1 Common Units may be viewed to have made a contribution to the Partnership in exchange for the grant of an economic interest in the Partnership to Limited Partners holding Partnership Class A-2 Common Units and Partnership Class A-3 Common Units, which require services rendered by such partners to the Partnership. Such contribution is not deemed to increase the Capital Account or ownership percentage of any such contributing Limited Partners in the Partnership, nor does it affect future distributions to such contributing Limited Partners relative to other Limited Partners in the Partnership.</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OPERATIONS</w:t>
      </w:r>
    </w:p>
    <w:p>
      <w:pPr>
        <w:spacing w:after="0" w:line="223" w:lineRule="exact"/>
        <w:rPr>
          <w:sz w:val="20"/>
          <w:szCs w:val="20"/>
          <w:color w:val="auto"/>
        </w:rPr>
      </w:pPr>
    </w:p>
    <w:p>
      <w:pPr>
        <w:jc w:val="both"/>
        <w:ind w:firstLine="636"/>
        <w:spacing w:after="0" w:line="280" w:lineRule="auto"/>
        <w:rPr>
          <w:sz w:val="20"/>
          <w:szCs w:val="20"/>
          <w:color w:val="auto"/>
        </w:rPr>
      </w:pPr>
      <w:r>
        <w:rPr>
          <w:rFonts w:ascii="Times New Roman" w:cs="Times New Roman" w:eastAsia="Times New Roman" w:hAnsi="Times New Roman"/>
          <w:sz w:val="19"/>
          <w:szCs w:val="19"/>
          <w:color w:val="auto"/>
        </w:rPr>
        <w:t xml:space="preserve">Section 6.1 </w:t>
      </w:r>
      <w:r>
        <w:rPr>
          <w:rFonts w:ascii="Times New Roman" w:cs="Times New Roman" w:eastAsia="Times New Roman" w:hAnsi="Times New Roman"/>
          <w:sz w:val="19"/>
          <w:szCs w:val="19"/>
          <w:u w:val="single" w:color="auto"/>
          <w:color w:val="auto"/>
        </w:rPr>
        <w:t>Management</w:t>
      </w:r>
      <w:r>
        <w:rPr>
          <w:rFonts w:ascii="Times New Roman" w:cs="Times New Roman" w:eastAsia="Times New Roman" w:hAnsi="Times New Roman"/>
          <w:sz w:val="19"/>
          <w:szCs w:val="19"/>
          <w:color w:val="auto"/>
        </w:rPr>
        <w:t>. Subject to the provisions of the agreements entered into in connection with the De-SPAC Transactions, to the extent that, and in the circumstances under which they are intended to control, including the Stockholders Agreement (as such term is defined in the Transaction Agreement):</w:t>
      </w:r>
    </w:p>
    <w:p>
      <w:pPr>
        <w:spacing w:after="0" w:line="150" w:lineRule="exact"/>
        <w:rPr>
          <w:sz w:val="20"/>
          <w:szCs w:val="20"/>
          <w:color w:val="auto"/>
        </w:rPr>
      </w:pPr>
    </w:p>
    <w:p>
      <w:pPr>
        <w:jc w:val="both"/>
        <w:ind w:firstLine="1278"/>
        <w:spacing w:after="0" w:line="261" w:lineRule="auto"/>
        <w:tabs>
          <w:tab w:leader="none" w:pos="189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in this Agreement, the General Partner shall have full, exclusive and complete discretion to manage and control the business and affairs of the Partnership, to make all decisions affecting the business and affairs of the Partnership and to do or cause to be done any and all acts, at the expense of the Partnership, as it deems necessary or appropriate to accomplish the purposes and direct the affairs of the Partnership. The General Partner shall have the exclusive power and authority to bind the Partnership, except and to the extent that such power is expressly delegated in writing to any other Person by the General Partner, and such delegation shall not cause the General Partner to cease to be a Partner or the General Partner of the Partnership. The General Partner shall be an agent of the Partnership’s business, and the actions of the General Partner taken in such capacity and in accordance with this Agreement shall bind the Partnership. The General Partner shall at all times be a Partner of the Partnership. The General Partner shall constitute a “general partner” under the Act. Notwithstanding any provision of this Agreement, the Partnership, and the General Partner on behalf of the Partnership, may enter into and perform any document without any vote or consent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89" w:right="339" w:bottom="1440" w:gutter="0" w:footer="0" w:header="0"/>
        </w:sectPr>
      </w:pPr>
    </w:p>
    <w:bookmarkStart w:id="148" w:name="page149"/>
    <w:bookmarkEnd w:id="148"/>
    <w:p>
      <w:pPr>
        <w:jc w:val="both"/>
        <w:spacing w:after="0" w:line="263" w:lineRule="auto"/>
        <w:rPr>
          <w:sz w:val="20"/>
          <w:szCs w:val="20"/>
          <w:color w:val="auto"/>
        </w:rPr>
      </w:pPr>
      <w:r>
        <w:rPr>
          <w:rFonts w:ascii="Times New Roman" w:cs="Times New Roman" w:eastAsia="Times New Roman" w:hAnsi="Times New Roman"/>
          <w:sz w:val="19"/>
          <w:szCs w:val="19"/>
          <w:color w:val="auto"/>
        </w:rPr>
        <w:t>other Person. No Limited Partner or Assignee (other than in its separate capacity as the General Partner, any of its Affiliates or any member, officer or employee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member, officer or employee of the General Partner, the Partnership or any of their Affiliates, in their capacity as such, shall not affect, impair or eliminate the limitations on the liability of the Limited Partners or Assignees under this Agreement. The General Partner may not be removed by the Partners, with or without cause, except with the consent of the Special Limited Partner.</w:t>
      </w:r>
    </w:p>
    <w:p>
      <w:pPr>
        <w:spacing w:after="0" w:line="166" w:lineRule="exact"/>
        <w:rPr>
          <w:sz w:val="20"/>
          <w:szCs w:val="20"/>
          <w:color w:val="auto"/>
        </w:rPr>
      </w:pPr>
    </w:p>
    <w:p>
      <w:pPr>
        <w:jc w:val="both"/>
        <w:ind w:firstLine="1278"/>
        <w:spacing w:after="0" w:line="261" w:lineRule="auto"/>
        <w:tabs>
          <w:tab w:leader="none" w:pos="189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as to any of the following matters, made by or at the direction of the General Partner consistent with the Act and this Agreement, shall be final and conclusive and shall be binding upon the Partnership and every Limited Partner: the amount of assets at any time available for distribution or the redemption of Partnership Common Units or Partnership Preferred Units; the amount and timing of any distribution; any determination to redeem Partnership Class A-0 Common Units that have been in fact tendered for redemption;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Partnership;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w:t>
      </w:r>
    </w:p>
    <w:p>
      <w:pPr>
        <w:spacing w:after="0" w:line="180"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may also, from time to time, appoint such officers and establish such management and/or advisory boards or committees of the Partnership as the General Partner deems necessary or advisable, each of which shall have such powers, authority and responsibilities as are delegated in writing by the General Partner from time to time. Each such officer and/or board or committee member shall serve at the pleasure of the General Partner.</w:t>
      </w:r>
    </w:p>
    <w:p>
      <w:pPr>
        <w:spacing w:after="0" w:line="178"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in this Agreement or required by any non-waivable provision of the Act or other applicable law, no Partner other than the General Partner shall (x) have any right to vote on or consent to any other matter, act, decision or document involving the Partnership or its business, or (y) take part in the day-to-day management, or the operation or control, of the business and affairs of the Partnership. Without limiting the generality of the foregoing, the General Partner may cause the Partnership, without the consent or approval of any other Partner, to enter into any of the following in one or a series of related transactions: (i) any merger, (ii) any acquisition, (iii) any consolidation, (iv) any sale, lease or other transfer or conveyance of assets, (v) any recapitalization or reorganization of outstanding securities, (vi) any merger, sale, lease, spin-off, division, exchange, transfer or other disposition of a subsidiary, division or other business, (vii) any issuance of debt or equity securities (subject to any limitations expressly provided for herein) or (viii) any incurrence of indebtedness. Except to the extent expressly delegated in writing by the General Partner, no Limited Partner or Person other than the General Partner shall be an agent for the Partnership or have any right, power or authority to transact any business in the name of the Partnership or to act for or on behalf of or to bind the Partnership.</w:t>
      </w:r>
    </w:p>
    <w:p>
      <w:pPr>
        <w:spacing w:after="0" w:line="175"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the General Partner may commence a voluntary case on behalf of, or an involuntary case against, the Partnership under a chapter of Title 11 U.S.C. by the filing of a “petition”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89" w:right="339" w:bottom="1440" w:gutter="0" w:footer="0" w:header="0"/>
        </w:sectPr>
      </w:pPr>
    </w:p>
    <w:bookmarkStart w:id="149" w:name="page150"/>
    <w:bookmarkEnd w:id="149"/>
    <w:p>
      <w:pPr>
        <w:jc w:val="both"/>
        <w:spacing w:after="0" w:line="273" w:lineRule="auto"/>
        <w:rPr>
          <w:sz w:val="20"/>
          <w:szCs w:val="20"/>
          <w:color w:val="auto"/>
        </w:rPr>
      </w:pPr>
      <w:r>
        <w:rPr>
          <w:rFonts w:ascii="Times New Roman" w:cs="Times New Roman" w:eastAsia="Times New Roman" w:hAnsi="Times New Roman"/>
          <w:sz w:val="19"/>
          <w:szCs w:val="19"/>
          <w:color w:val="auto"/>
        </w:rPr>
        <w:t>defined in 11 U.S.C. 101(42)) with the United States Bankruptcy Court. Any such petition filed by any other Partner, to the fullest extent permitted by applicable law, shall be deemed an unauthorized and bad faith filing and all parties to this Agreement shall use their best efforts to cause such petition to be dismissed.</w:t>
      </w:r>
    </w:p>
    <w:p>
      <w:pPr>
        <w:spacing w:after="0" w:line="169" w:lineRule="exact"/>
        <w:rPr>
          <w:sz w:val="20"/>
          <w:szCs w:val="20"/>
          <w:color w:val="auto"/>
        </w:rPr>
      </w:pPr>
    </w:p>
    <w:p>
      <w:pPr>
        <w:jc w:val="both"/>
        <w:ind w:firstLine="1278"/>
        <w:spacing w:after="0" w:line="261" w:lineRule="auto"/>
        <w:tabs>
          <w:tab w:leader="none" w:pos="190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anticipated that the General Partner’s primary business activities shall be focused on the operation of the PWP Entities. Except as otherwise set forth in this Agreement and subject to any additional limitations contained in any constituent agreement(s) of any other PWP Entity, the Partners acknowledge and agree that, subject to the terms of any other employment, consulting or similar arrangements or engagement with the Partnership, the General Partner, or any Affiliate of either of them: (i) any Limited Partner may engage or invest in any other business, activity or opportunity of any nature, independently or with others; (ii) neither the Partnership nor any Partner (in its capacity as such) shall have any right to participate in any manner in such engagement or investment, or the profits or income earned or derived therefrom; and (iii) the pursuit of such activities by any such Partner shall not be deemed in violation of breach of this Agreement or any obligation or duty owed by such Partner to the Partnership or the other Partners.</w:t>
      </w:r>
    </w:p>
    <w:p>
      <w:pPr>
        <w:spacing w:after="0" w:line="179"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rights of any Holder set forth in a Partnership Unit Designation and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 the General Partner shall have the power, without the Consent of any of the Partners, to amend this Agreement as may be required to facilitate or implement any of the following purposes:</w:t>
      </w:r>
    </w:p>
    <w:p>
      <w:pPr>
        <w:spacing w:after="0" w:line="155" w:lineRule="exact"/>
        <w:rPr>
          <w:rFonts w:ascii="Times New Roman" w:cs="Times New Roman" w:eastAsia="Times New Roman" w:hAnsi="Times New Roman"/>
          <w:sz w:val="19"/>
          <w:szCs w:val="19"/>
          <w:color w:val="auto"/>
        </w:rPr>
      </w:pPr>
    </w:p>
    <w:p>
      <w:pPr>
        <w:ind w:left="640" w:firstLine="1274"/>
        <w:spacing w:after="0" w:line="300" w:lineRule="auto"/>
        <w:tabs>
          <w:tab w:leader="none" w:pos="2546"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add to the obligations of the General Partner or surrender any right or power granted to the General Partner or any Affiliate of the General Partner for the benefit of the Limited Partners;</w:t>
      </w:r>
    </w:p>
    <w:p>
      <w:pPr>
        <w:spacing w:after="0" w:line="142"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7"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reflect the admission, substitution or withdrawal of Partners, the Transfer of any Partnership Interest or the termination of the Partnership in accordance with this Agreement, and to amend the Register in connection with such admission, substitution, withdrawal or Transfer;</w:t>
      </w:r>
    </w:p>
    <w:p>
      <w:pPr>
        <w:spacing w:after="0" w:line="155"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4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reflect a change that is of an inconsequential nature or does not adversely affect the Limited Partners in any material respect, or to cure any ambiguity or mistake, correct or supplement any provision in this Agreement not inconsistent with applicable law or with other provisions, or make other changes with respect to matters arising under this Agreement that will not be inconsistent with applicable law or with the provisions of this Agreement;</w:t>
      </w:r>
    </w:p>
    <w:p>
      <w:pPr>
        <w:spacing w:after="0" w:line="173" w:lineRule="exact"/>
        <w:rPr>
          <w:rFonts w:ascii="Times New Roman" w:cs="Times New Roman" w:eastAsia="Times New Roman" w:hAnsi="Times New Roman"/>
          <w:sz w:val="19"/>
          <w:szCs w:val="19"/>
          <w:color w:val="auto"/>
        </w:rPr>
      </w:pPr>
    </w:p>
    <w:p>
      <w:pPr>
        <w:ind w:left="640" w:firstLine="1274"/>
        <w:spacing w:after="0" w:line="285" w:lineRule="auto"/>
        <w:tabs>
          <w:tab w:leader="none" w:pos="2537"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satisfy any requirements, conditions or guidelines contained in any order, directive, opinion, ruling or regulation of a federal or state agency or contained in federal or state law;</w:t>
      </w:r>
    </w:p>
    <w:p>
      <w:pPr>
        <w:spacing w:after="0" w:line="156"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36"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modify either or both of the manner in which items of Net Income or Net Loss are allocated pursuant to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or the manner in which Capital Accounts are adjusted, computed, or maintained (but in each case only to the extent set forth in the definition of “Capital Account” or </w:t>
      </w:r>
      <w:r>
        <w:rPr>
          <w:rFonts w:ascii="Times New Roman" w:cs="Times New Roman" w:eastAsia="Times New Roman" w:hAnsi="Times New Roman"/>
          <w:sz w:val="19"/>
          <w:szCs w:val="19"/>
          <w:u w:val="single" w:color="auto"/>
          <w:color w:val="auto"/>
        </w:rPr>
        <w:t>Section 4.6</w:t>
      </w:r>
      <w:r>
        <w:rPr>
          <w:rFonts w:ascii="Times New Roman" w:cs="Times New Roman" w:eastAsia="Times New Roman" w:hAnsi="Times New Roman"/>
          <w:sz w:val="19"/>
          <w:szCs w:val="19"/>
          <w:color w:val="auto"/>
        </w:rPr>
        <w:t xml:space="preserve"> or as contemplated by the Code or the Regulations);</w:t>
      </w:r>
    </w:p>
    <w:p>
      <w:pPr>
        <w:spacing w:after="0" w:line="168"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reflect the issuance of additional Partnership Interests in accordance with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89" w:right="339" w:bottom="1440" w:gutter="0" w:footer="0" w:header="0"/>
        </w:sectPr>
      </w:pPr>
    </w:p>
    <w:bookmarkStart w:id="150" w:name="page151"/>
    <w:bookmarkEnd w:id="150"/>
    <w:p>
      <w:pPr>
        <w:jc w:val="both"/>
        <w:ind w:left="640" w:firstLine="1274"/>
        <w:spacing w:after="0" w:line="273" w:lineRule="auto"/>
        <w:tabs>
          <w:tab w:leader="none" w:pos="253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set forth or amend the designations, preferences, conversion or other rights, voting powers, restrictions, limitations as to distributions, qualifications or terms or conditions of redemption of any additional Partnership Units issued pursuant to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ind w:left="640" w:firstLine="1274"/>
        <w:spacing w:after="0" w:line="285" w:lineRule="auto"/>
        <w:tabs>
          <w:tab w:leader="none" w:pos="2539"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Partnership is the Surviving Partnership in any Termination Transaction, to modify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any related definitions to provide the holders of interests in such Surviving Partnership rights that are consistent with </w:t>
      </w:r>
      <w:r>
        <w:rPr>
          <w:rFonts w:ascii="Times New Roman" w:cs="Times New Roman" w:eastAsia="Times New Roman" w:hAnsi="Times New Roman"/>
          <w:sz w:val="19"/>
          <w:szCs w:val="19"/>
          <w:u w:val="single" w:color="auto"/>
          <w:color w:val="auto"/>
        </w:rPr>
        <w:t>Section 10.7(b)(v)</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37"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modify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as the General Partner, in its sole discretion, deems necessary or desirable as a result of the Special Limited Partner, the General Partner or the Partnership adopting, modifying or terminating any share incentive plan for the benefit of employees, directors or other business associates of the Special Limited Partner, the General Partner, the Partnership or any of their Affiliates;</w:t>
      </w:r>
    </w:p>
    <w:p>
      <w:pPr>
        <w:spacing w:after="0" w:line="159"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 merger or division of the Partnership; and</w:t>
      </w:r>
    </w:p>
    <w:p>
      <w:pPr>
        <w:spacing w:after="0" w:line="232" w:lineRule="exact"/>
        <w:rPr>
          <w:rFonts w:ascii="Times New Roman" w:cs="Times New Roman" w:eastAsia="Times New Roman" w:hAnsi="Times New Roman"/>
          <w:sz w:val="19"/>
          <w:szCs w:val="19"/>
          <w:color w:val="auto"/>
        </w:rPr>
      </w:pPr>
    </w:p>
    <w:p>
      <w:pPr>
        <w:ind w:left="640" w:firstLine="1274"/>
        <w:spacing w:after="0" w:line="300" w:lineRule="auto"/>
        <w:tabs>
          <w:tab w:leader="none" w:pos="2537"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reflect any other modification to this Agreement as is reasonably necessary for the business or operations of the Partnership or the Special Limited Partner and which does not violate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w:t>
      </w:r>
    </w:p>
    <w:p>
      <w:pPr>
        <w:spacing w:after="0" w:line="129" w:lineRule="exact"/>
        <w:rPr>
          <w:rFonts w:ascii="Times New Roman" w:cs="Times New Roman" w:eastAsia="Times New Roman" w:hAnsi="Times New Roman"/>
          <w:sz w:val="19"/>
          <w:szCs w:val="19"/>
          <w:color w:val="auto"/>
        </w:rPr>
      </w:pPr>
    </w:p>
    <w:p>
      <w:pPr>
        <w:jc w:val="both"/>
        <w:ind w:firstLine="1278"/>
        <w:spacing w:after="0" w:line="258" w:lineRule="auto"/>
        <w:tabs>
          <w:tab w:leader="none" w:pos="189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w:t>
      </w:r>
      <w:r>
        <w:rPr>
          <w:rFonts w:ascii="Times New Roman" w:cs="Times New Roman" w:eastAsia="Times New Roman" w:hAnsi="Times New Roman"/>
          <w:sz w:val="19"/>
          <w:szCs w:val="19"/>
          <w:u w:val="single" w:color="auto"/>
          <w:color w:val="auto"/>
        </w:rPr>
        <w:t>Article XIII</w:t>
      </w:r>
      <w:r>
        <w:rPr>
          <w:rFonts w:ascii="Times New Roman" w:cs="Times New Roman" w:eastAsia="Times New Roman" w:hAnsi="Times New Roman"/>
          <w:sz w:val="19"/>
          <w:szCs w:val="19"/>
          <w:color w:val="auto"/>
        </w:rPr>
        <w:t xml:space="preserve">, this Agreement shall not be amended, and no action may be taken by the General Partner, without the consent of each Partner, if any, adversely affected thereby, if such amendment or action would (i) convert a Limited Partner into a general partner of the Partnership (except as a result of the Limited Partner becoming the General Partner pursuant to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12.2(c)</w:t>
      </w:r>
      <w:r>
        <w:rPr>
          <w:rFonts w:ascii="Times New Roman" w:cs="Times New Roman" w:eastAsia="Times New Roman" w:hAnsi="Times New Roman"/>
          <w:sz w:val="19"/>
          <w:szCs w:val="19"/>
          <w:color w:val="auto"/>
        </w:rPr>
        <w:t xml:space="preserve"> of this Agreement), (ii) modify the limited liability of a Limited Partner or increase the obligation of a Limited Partner to make a Capital Contribution to the Partnership, (iii) adversely alter the rights of any Partner to receive the distributions to which such Partner is entitled pursuant to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12.3(a)(iii)</w:t>
      </w:r>
      <w:r>
        <w:rPr>
          <w:rFonts w:ascii="Times New Roman" w:cs="Times New Roman" w:eastAsia="Times New Roman" w:hAnsi="Times New Roman"/>
          <w:sz w:val="19"/>
          <w:szCs w:val="19"/>
          <w:color w:val="auto"/>
        </w:rPr>
        <w:t xml:space="preserve">, or alter the allocations specified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(except, in any case, as permitted pursuant to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6.1(g)</w:t>
      </w:r>
      <w:r>
        <w:rPr>
          <w:rFonts w:ascii="Times New Roman" w:cs="Times New Roman" w:eastAsia="Times New Roman" w:hAnsi="Times New Roman"/>
          <w:sz w:val="19"/>
          <w:szCs w:val="19"/>
          <w:color w:val="auto"/>
        </w:rPr>
        <w:t xml:space="preserve">), (iv) alter or modify in a manner that adversely affects any Partner (in respect of such Partner’s Partnership Class A-0 Common Units) the Exchange rights, Cash Amount or Stock Amount as set forth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amend or modify any related definitions (except for amendments to this Agreement or other actions that provide rights consistent with </w:t>
      </w:r>
      <w:r>
        <w:rPr>
          <w:rFonts w:ascii="Times New Roman" w:cs="Times New Roman" w:eastAsia="Times New Roman" w:hAnsi="Times New Roman"/>
          <w:sz w:val="19"/>
          <w:szCs w:val="19"/>
          <w:u w:val="single" w:color="auto"/>
          <w:color w:val="auto"/>
        </w:rPr>
        <w:t>Section 10.7(b)(v)</w:t>
      </w:r>
      <w:r>
        <w:rPr>
          <w:rFonts w:ascii="Times New Roman" w:cs="Times New Roman" w:eastAsia="Times New Roman" w:hAnsi="Times New Roman"/>
          <w:sz w:val="19"/>
          <w:szCs w:val="19"/>
          <w:color w:val="auto"/>
        </w:rPr>
        <w:t xml:space="preserve">), (v) alter or modify in a manner that materially and adversely affects any Partner (in respect of such Partner’s Partnership Class A-1 Common Units, Partnership Class A-2 Common Units or Partnership Class A-3 Common Units) the Exchange rights, Cash Amount or Stock Amount as set forth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amend or modify any related definitions (except for amendments to this Agreement or other actions that provide rights consistent with </w:t>
      </w:r>
      <w:r>
        <w:rPr>
          <w:rFonts w:ascii="Times New Roman" w:cs="Times New Roman" w:eastAsia="Times New Roman" w:hAnsi="Times New Roman"/>
          <w:sz w:val="19"/>
          <w:szCs w:val="19"/>
          <w:u w:val="single" w:color="auto"/>
          <w:color w:val="auto"/>
        </w:rPr>
        <w:t>Section 10.7(b)(v)</w:t>
      </w:r>
      <w:r>
        <w:rPr>
          <w:rFonts w:ascii="Times New Roman" w:cs="Times New Roman" w:eastAsia="Times New Roman" w:hAnsi="Times New Roman"/>
          <w:sz w:val="19"/>
          <w:szCs w:val="19"/>
          <w:color w:val="auto"/>
        </w:rPr>
        <w:t xml:space="preserve">), (vi) would convert the Partnership into a corporation (other than in connection with a Termination Transaction) or (vii) amend this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with respect to clauses (iii), (iv), (v), (vi) and (vii), the consent of any individual Partner adversely affected shall not be required for any amendment or action that affects all Partners holding the same class or series of Partnership Units on a uniform or pro rata basis, if approved by a Majority in Interest of the Partners of such class or series. Further, no amendment may alter the restrictions on the General Partner’s authority set forth elsewhere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without the consent specified therein. Any such amendment or action consented to by any Partner shall be effective as to that Partner, notwithstanding the absence of such consent by any other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89" w:right="339" w:bottom="1440" w:gutter="0" w:footer="0" w:header="0"/>
        </w:sectPr>
      </w:pPr>
    </w:p>
    <w:bookmarkStart w:id="151" w:name="page152"/>
    <w:bookmarkEnd w:id="151"/>
    <w:p>
      <w:pPr>
        <w:ind w:firstLine="1278"/>
        <w:spacing w:after="0" w:line="300" w:lineRule="auto"/>
        <w:tabs>
          <w:tab w:leader="none" w:pos="190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shall have the power, without the Consent of any of the Partners, to effect a split, subdivision, reverse split, combination, consolidation or any other recapitalization or reclassification transaction of any class of Partnership Units.</w:t>
      </w:r>
    </w:p>
    <w:p>
      <w:pPr>
        <w:spacing w:after="0" w:line="129" w:lineRule="exact"/>
        <w:rPr>
          <w:rFonts w:ascii="Times New Roman" w:cs="Times New Roman" w:eastAsia="Times New Roman" w:hAnsi="Times New Roman"/>
          <w:sz w:val="19"/>
          <w:szCs w:val="19"/>
          <w:color w:val="auto"/>
        </w:rPr>
      </w:pPr>
    </w:p>
    <w:p>
      <w:pPr>
        <w:jc w:val="both"/>
        <w:ind w:firstLine="1278"/>
        <w:spacing w:after="0" w:line="260" w:lineRule="auto"/>
        <w:tabs>
          <w:tab w:leader="none" w:pos="190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class of Partnership Units may be split, subdivided, reverse split, combined, consolidated, recapitalized or reclassified, and the holders of each such class of Partnership Units may not receive by dividend or distribution any additional units of such class of Partnership Units,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 xml:space="preserve"> shall not apply to any split, subdivision, reverse split, combination, consolidation, recapitalization or reclassification of, or any dividend or distribution to the holders of, any class of Partnership Units that is effected to cause (i) the total number of outstanding Class A Shares to equal the number of Partnership Class A Common Units held by the Special Limited Partner, (ii) the total number of outstanding Class B Shares to equal the number of Partnership Class A Common Units, other than Partnership Class A Common Units held by the Special Limited Partner, (iii) the total number of outstanding Class B Shares to equal the number of Partnership Class B Common Units or (iv) any combination of the foregoing (any such split, subdivision, reverse split, combination, consolidation, recapitalization or reclassification or dividend or distribution, or any similar action or change at the Special Limited Partner, a “</w:t>
      </w:r>
      <w:r>
        <w:rPr>
          <w:rFonts w:ascii="Times New Roman" w:cs="Times New Roman" w:eastAsia="Times New Roman" w:hAnsi="Times New Roman"/>
          <w:sz w:val="19"/>
          <w:szCs w:val="19"/>
          <w:u w:val="single" w:color="auto"/>
          <w:color w:val="auto"/>
        </w:rPr>
        <w:t>Restorative Transaction</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there shall be no such adjustment in connection with a Restorative Transaction, except to the extent that the General Partner determines in good faith that such adjustment is required with respect to one or more types of Relevant Securities.</w:t>
      </w:r>
    </w:p>
    <w:p>
      <w:pPr>
        <w:spacing w:after="0" w:line="16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6.2</w:t>
      </w:r>
      <w:r>
        <w:rPr>
          <w:sz w:val="20"/>
          <w:szCs w:val="20"/>
          <w:color w:val="auto"/>
        </w:rPr>
        <w:tab/>
      </w:r>
      <w:r>
        <w:rPr>
          <w:rFonts w:ascii="Times New Roman" w:cs="Times New Roman" w:eastAsia="Times New Roman" w:hAnsi="Times New Roman"/>
          <w:sz w:val="19"/>
          <w:szCs w:val="19"/>
          <w:u w:val="single" w:color="auto"/>
          <w:color w:val="auto"/>
        </w:rPr>
        <w:t>Compensation and Reimbursement</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73" w:lineRule="auto"/>
        <w:tabs>
          <w:tab w:leader="none" w:pos="1898"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General Partner shall not receive any fees from the Partnership for its services in administering the Partnership, except as otherwise provided herein (including the provisions of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regarding distributions, payments and allocations to which it may be entitled in its capacity as the General Partner).</w:t>
      </w:r>
    </w:p>
    <w:p>
      <w:pPr>
        <w:spacing w:after="0" w:line="168" w:lineRule="exact"/>
        <w:rPr>
          <w:rFonts w:ascii="Times New Roman" w:cs="Times New Roman" w:eastAsia="Times New Roman" w:hAnsi="Times New Roman"/>
          <w:sz w:val="19"/>
          <w:szCs w:val="19"/>
          <w:color w:val="auto"/>
        </w:rPr>
      </w:pPr>
    </w:p>
    <w:p>
      <w:pPr>
        <w:jc w:val="both"/>
        <w:ind w:firstLine="1278"/>
        <w:spacing w:after="0" w:line="258" w:lineRule="auto"/>
        <w:tabs>
          <w:tab w:leader="none" w:pos="189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6.2(c)</w:t>
      </w:r>
      <w:r>
        <w:rPr>
          <w:rFonts w:ascii="Times New Roman" w:cs="Times New Roman" w:eastAsia="Times New Roman" w:hAnsi="Times New Roman"/>
          <w:sz w:val="19"/>
          <w:szCs w:val="19"/>
          <w:color w:val="auto"/>
        </w:rPr>
        <w:t>, the Partnership shall be liable for, and shall reimburse the General Partner, the Special Limited Partner and VoteCo Professionals and its general partner (in such capacity), as applicable, on a monthly basis, or such other basis as the General Partner may determine, for all sums expended in connection with the Partnership’s business, including (i) expenses relating to the ownership of interests in and management and operation of, or for the benefit of, the Partnership, (ii) compensation of officers and employees of the Special Limited Partner, the General Partner or the Partnership, including payments under future compensation plans of the Special Limited Partner, the General Partner or the Partnership that may provide for stock units, or phantom stock, pursuant to which employees of the Special Limited Partner, the General Partner or the Partnership will receive payments based upon dividends on or the value of Class A Shares,</w:t>
      </w:r>
    </w:p>
    <w:p>
      <w:pPr>
        <w:ind w:firstLine="6"/>
        <w:spacing w:after="0" w:line="283" w:lineRule="auto"/>
        <w:tabs>
          <w:tab w:leader="none" w:pos="3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fees and expenses, (iv) all costs and expenses of the Special Limited Partner being a public company, including costs of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89" w:right="339" w:bottom="1440" w:gutter="0" w:footer="0" w:header="0"/>
        </w:sectPr>
      </w:pPr>
    </w:p>
    <w:bookmarkStart w:id="152" w:name="page153"/>
    <w:bookmarkEnd w:id="152"/>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reports and other distributions to its stockholders, and (v) all organizational and operational expenses reasonably incurred by VoteCo Professionals or its general partner (in such capacity), including all payments, advances and other expenses in connection with any indemnity or similar obligation of VoteCo Professionals or its general partner (in such capacity) in accordance with the PWP LLCA;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amount of any reimbursement shall be reduced by any interest earned by the General Partner or the Special Limited Partner with respect to bank accounts or other instruments or accounts held by it on behalf of the Partnership as permitted pursuant to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Such reimbursements shall be in addition to any reimbursement of the General Partner, the Special Limited Partner and VoteCo Professionals or its general partner (in such capacity) as a result of indemnification pursuant to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Notwithstanding anything herein to the contrary, VoteCo Professionals and its general partner (in such capacity) shall be an express third party beneficiary of this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1278"/>
        <w:spacing w:after="0" w:line="269" w:lineRule="auto"/>
        <w:tabs>
          <w:tab w:leader="none" w:pos="1898"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practicable, Partnership expenses shall be billed directly to and paid by the Partnership and reimbursements to the General Partner, the Special Limited Partner, VoteCo Professionals or any of their respective Affiliates by the Partnership pursuant to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shall be treated as “guaranteed payments” within the meaning of Code section 707(c) (unless otherwise required by the Code and the Regulations).</w:t>
      </w:r>
    </w:p>
    <w:p>
      <w:pPr>
        <w:spacing w:after="0" w:line="160"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satisfy all expense payment and reimbursement obligations arising under section 4.03 of the Previous LPA and section 6.3 of the AdCo Professionals LPA.</w:t>
      </w:r>
    </w:p>
    <w:p>
      <w:pPr>
        <w:spacing w:after="0" w:line="13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6.3</w:t>
      </w:r>
      <w:r>
        <w:rPr>
          <w:sz w:val="20"/>
          <w:szCs w:val="20"/>
          <w:color w:val="auto"/>
        </w:rPr>
        <w:tab/>
      </w:r>
      <w:r>
        <w:rPr>
          <w:rFonts w:ascii="Times New Roman" w:cs="Times New Roman" w:eastAsia="Times New Roman" w:hAnsi="Times New Roman"/>
          <w:sz w:val="19"/>
          <w:szCs w:val="19"/>
          <w:u w:val="single" w:color="auto"/>
          <w:color w:val="auto"/>
        </w:rPr>
        <w:t>Outside Activities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59" w:lineRule="auto"/>
        <w:tabs>
          <w:tab w:leader="none" w:pos="1898"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General Partner nor the Special Limited Partner shall directly or indirectly enter into or conduct any business, other than in connection with, (i) with respect to the General Partner, the ownership, acquisition and disposition of Partnership Interests, (ii) with respect to the General Partner, the management of the business of the Partnership, (iii) with respect to the Special Limited Partner, its operation as a reporting company with a class (or classes) of securities registered under the Exchange Act, (iv) with respect to the Special Limited Partner, the offering, sale, syndication, private placement or public offering of stock, bonds, securities or other interests,</w:t>
      </w:r>
    </w:p>
    <w:p>
      <w:pPr>
        <w:spacing w:after="0" w:line="1" w:lineRule="exact"/>
        <w:rPr>
          <w:rFonts w:ascii="Times New Roman" w:cs="Times New Roman" w:eastAsia="Times New Roman" w:hAnsi="Times New Roman"/>
          <w:sz w:val="19"/>
          <w:szCs w:val="19"/>
          <w:color w:val="auto"/>
        </w:rPr>
      </w:pPr>
    </w:p>
    <w:p>
      <w:pPr>
        <w:jc w:val="both"/>
        <w:ind w:firstLine="6"/>
        <w:spacing w:after="0" w:line="264" w:lineRule="auto"/>
        <w:tabs>
          <w:tab w:leader="none" w:pos="29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 or refinancing of any type related to the Partnership or its assets or activities, and (vi) such activities as are incidental thereto. Nothing contained herein shall be deemed to prohibit the General Partner from executing guarantees of Partnership Debt for which it would otherwise be liable in its capacity as General Partner. The General Partner and any Affiliates of the General Partner may acquire Partnership Interests and shall be entitled to exercise all rights of a Limited Partner relating to such Partnership Interests.</w:t>
      </w:r>
    </w:p>
    <w:p>
      <w:pPr>
        <w:spacing w:after="0" w:line="163"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any agreements entered into pursuant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any other agreements entered into by a Limited Partner or any of its Affiliates with the General Partner, the Partnership or a Subsidiary (including any employment agreement), any Limited Partner and any Assignee, officer, director, employee, agent, trustee, Affiliate, member or stockholder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the Special Limited Partner, to the extent expressly provided herein), and such Person shall have no obligation pursuant to this Agreement, subject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any other agreements entered into by a Limited Partner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89" w:right="339" w:bottom="1440" w:gutter="0" w:footer="0" w:header="0"/>
        </w:sectPr>
      </w:pPr>
    </w:p>
    <w:bookmarkStart w:id="153" w:name="page154"/>
    <w:bookmarkEnd w:id="153"/>
    <w:p>
      <w:pPr>
        <w:jc w:val="both"/>
        <w:spacing w:after="0" w:line="273" w:lineRule="auto"/>
        <w:rPr>
          <w:sz w:val="20"/>
          <w:szCs w:val="20"/>
          <w:color w:val="auto"/>
        </w:rPr>
      </w:pPr>
      <w:r>
        <w:rPr>
          <w:rFonts w:ascii="Times New Roman" w:cs="Times New Roman" w:eastAsia="Times New Roman" w:hAnsi="Times New Roman"/>
          <w:sz w:val="19"/>
          <w:szCs w:val="19"/>
          <w:color w:val="auto"/>
        </w:rPr>
        <w:t>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w:t>
      </w:r>
    </w:p>
    <w:p>
      <w:pPr>
        <w:spacing w:after="0" w:line="169"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6.4</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3" w:lineRule="auto"/>
        <w:tabs>
          <w:tab w:leader="none" w:pos="189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may lend or contribute funds or other assets to the Special Limited Partner and its Subsidiaries or other Persons in which the Special Limited Partner has an equity investment, and such Persons may borrow funds from the Partnership, on terms and conditions no less favorable to the Partnership in the aggregate than would be available from unaffiliated third parties as determined by the General Partner. The foregoing authority shall not create any right or benefit in favor of any Partner or any other Person. It is expressly acknowledged and agreed by each Partner that the Special Limited Partner may (i) borrow funds from the Partnership in order to redeem, at any time or from time to time, options or warrants previously or hereafter issued by the Special Limited Partner, (ii) put to the Partnership, for cash, any rights, options, warrants or convertible or exchangeable securities that the Special Limited Partner may desire or be required to purchase or redeem or (iii) borrow funds from the Partnership to acquire assets that will be contributed to the Partnership for Partnership Units.</w:t>
      </w:r>
    </w:p>
    <w:p>
      <w:pPr>
        <w:spacing w:after="0" w:line="164"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68"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the Special Limited Partner and their respective Affiliates may sell, transfer or convey any property to the Partnership, directly or indirectly, on terms and conditions no less favorable to the Partnership in the aggregate than would be available from unaffiliated third parties as determined by the General Partner.</w:t>
      </w:r>
    </w:p>
    <w:p>
      <w:pPr>
        <w:spacing w:after="0" w:line="168"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or the Special Limited Partner may propose and adopt on behalf of the Partnership employee benefit plans funded by the Partnership for the benefit of employees of the General Partner, the Partnership, the Special Limited Partner, Subsidiaries of the Partnership or any Affiliate of any of them in respect of services performed, directly or indirectly, for the benefit of the General Partner, the Special Limited Partner, the Partnership or any of the Partnership’s Subsidiaries.</w:t>
      </w:r>
    </w:p>
    <w:p>
      <w:pPr>
        <w:spacing w:after="0" w:line="178"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6.5</w:t>
      </w:r>
      <w:r>
        <w:rPr>
          <w:sz w:val="20"/>
          <w:szCs w:val="20"/>
          <w:color w:val="auto"/>
        </w:rPr>
        <w:tab/>
      </w:r>
      <w:r>
        <w:rPr>
          <w:rFonts w:ascii="Times New Roman" w:cs="Times New Roman" w:eastAsia="Times New Roman" w:hAnsi="Times New Roman"/>
          <w:sz w:val="19"/>
          <w:szCs w:val="19"/>
          <w:u w:val="single" w:color="auto"/>
          <w:color w:val="auto"/>
        </w:rPr>
        <w:t>Liability of the General Partner and the Special Limited Partner</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4" w:lineRule="auto"/>
        <w:tabs>
          <w:tab w:leader="none" w:pos="189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General Partner nor the Special Limited Partner nor officers and directors of either of the foregoing shall be liable to the Partnership or to any Partner for any losses sustained or liabilities incurred as a result of any act or omission of such Person or such other Person if the act or failure to act of such Person or such other Person was in good faith, within the scope of such Person’s authority, and undertaken in a manner it believed to be in, or not contrary to, the best interests of the Partnership.</w:t>
      </w:r>
    </w:p>
    <w:p>
      <w:pPr>
        <w:spacing w:after="0" w:line="178"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or any duty otherwise existing at law, in equity, or otherwise, the parties hereby agree that the General Partner, the Special Limited Partner and all officers and directors of either of the foregoing, shall, to the maximum extent permitted by law, including Section 17-1101(d) of the Act, owe no duties (including fiduciary duties) to the Partnership, the other Partners, or any other Person who is a party to or who is otherwise bound by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nothing contained in this </w:t>
      </w:r>
      <w:r>
        <w:rPr>
          <w:rFonts w:ascii="Times New Roman" w:cs="Times New Roman" w:eastAsia="Times New Roman" w:hAnsi="Times New Roman"/>
          <w:sz w:val="19"/>
          <w:szCs w:val="19"/>
          <w:u w:val="single" w:color="auto"/>
          <w:color w:val="auto"/>
        </w:rPr>
        <w:t>Section 6.5(b)</w:t>
      </w:r>
      <w:r>
        <w:rPr>
          <w:rFonts w:ascii="Times New Roman" w:cs="Times New Roman" w:eastAsia="Times New Roman" w:hAnsi="Times New Roman"/>
          <w:sz w:val="19"/>
          <w:szCs w:val="19"/>
          <w:color w:val="auto"/>
        </w:rPr>
        <w:t xml:space="preserve"> shall eliminate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89" w:right="339" w:bottom="1440" w:gutter="0" w:footer="0" w:header="0"/>
        </w:sectPr>
      </w:pPr>
    </w:p>
    <w:bookmarkStart w:id="154" w:name="page155"/>
    <w:bookmarkEnd w:id="154"/>
    <w:p>
      <w:pPr>
        <w:jc w:val="both"/>
        <w:spacing w:after="0" w:line="273" w:lineRule="auto"/>
        <w:rPr>
          <w:sz w:val="20"/>
          <w:szCs w:val="20"/>
          <w:color w:val="auto"/>
        </w:rPr>
      </w:pPr>
      <w:r>
        <w:rPr>
          <w:rFonts w:ascii="Times New Roman" w:cs="Times New Roman" w:eastAsia="Times New Roman" w:hAnsi="Times New Roman"/>
          <w:sz w:val="19"/>
          <w:szCs w:val="19"/>
          <w:color w:val="auto"/>
        </w:rPr>
        <w:t>implied contractual covenant of good faith and fair dealing. The provisions of this Agreement, to the extent that they eliminate the duties and liabilities of such Persons otherwise existing at law, in equity, or otherwise, are agreed by the parties hereto to replace to that extent such other duties and liabilities of such Persons relating thereto.</w:t>
      </w:r>
    </w:p>
    <w:p>
      <w:pPr>
        <w:spacing w:after="0" w:line="169" w:lineRule="exact"/>
        <w:rPr>
          <w:sz w:val="20"/>
          <w:szCs w:val="20"/>
          <w:color w:val="auto"/>
        </w:rPr>
      </w:pPr>
    </w:p>
    <w:p>
      <w:pPr>
        <w:jc w:val="both"/>
        <w:ind w:firstLine="1278"/>
        <w:spacing w:after="0" w:line="261" w:lineRule="auto"/>
        <w:tabs>
          <w:tab w:leader="none" w:pos="189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 agree that: (i) the General Partner is acting for the benefit of the Partnership, the Partners, the Special Limited Partner and the Special Limited Partner’s stockholders, collectively; and (ii) in the event of a conflict between the interests of the Partnership or any Partner, on the one hand, and the separate interests of the Special Limited Partner or its stockholders, on the other hand, the General Partner may give priority to the separate interests of the Special Limited Partner and its stockholders (including, without limitation, with respect to the tax consequences to Partners, Assignees or the Special Limited Partner’s stockholders) and, in the event of such a conflict, the General Partner may give priority to the separate interests of the Special Limited Partner or its stockholders if such action or failure to act does not result in a violation of the contract rights of the Partners under this Agreement.</w:t>
      </w:r>
    </w:p>
    <w:p>
      <w:pPr>
        <w:spacing w:after="0" w:line="178"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exercising its authority under this Agreement, the General Partner may, but shall be under no obligation to, take into account the tax consequences to any Partner of any action taken (or not taken) by it. Except as otherwise agreed by the Partnership, the General Partner and the Partnership shall not have liability to a Partner under any circumstances as a result of any income tax liability incurred by such Partner as a result of an action (or inaction) by the General Partner or the Partnership pursuant to the General Partner’s authority under this Agreement.</w:t>
      </w:r>
    </w:p>
    <w:p>
      <w:pPr>
        <w:spacing w:after="0" w:line="176"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its obligations and duties as the General Partner set forth in this Agreement and applicable law, the General Partner may exercise any of the powers granted to it by this Agreement and perform any of the duties imposed upon it hereunder either directly or by or through its employees or agents. The General Partner shall not be responsible to the Partnership or any Partner for any misconduct or negligence on the part of any such employee or agent appointed by it in good faith.</w:t>
      </w:r>
    </w:p>
    <w:p>
      <w:pPr>
        <w:spacing w:after="0" w:line="159" w:lineRule="exact"/>
        <w:rPr>
          <w:rFonts w:ascii="Times New Roman" w:cs="Times New Roman" w:eastAsia="Times New Roman" w:hAnsi="Times New Roman"/>
          <w:sz w:val="19"/>
          <w:szCs w:val="19"/>
          <w:color w:val="auto"/>
        </w:rPr>
      </w:pPr>
    </w:p>
    <w:p>
      <w:pPr>
        <w:jc w:val="both"/>
        <w:ind w:firstLine="1278"/>
        <w:spacing w:after="0" w:line="260" w:lineRule="auto"/>
        <w:tabs>
          <w:tab w:leader="none" w:pos="1903"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performing its duties under this Agreement and the Act, the General Partner shall be entitled to rely on the provisions of this Agreement and on any information, opinion, report or statement, including any financial statement or other financial data or the records or books of account of the Partnership or any subsidiary of the Partnership, prepared or presented by an officer, employee or agent of the General Partner or the Partnership or any such subsidiary, or by a lawyer, certified public accountant, appraiser or other person engaged by the Partnership as to any matter within such person’s professional or expert competence, and any act taken or omitted to be taken in reliance upon any such information, opinion, report or statement as to matters that the General Partner reasonably believes to be within such Person’s professional or expert competence shall be conclusively presumed to have been done or omitted in good faith and in accordance with such opinion. The General Partner shall be entitled to rely on the advice of legal counsel, independent public accountants and other experts, including financial advisors, and any act of or failure to act by the General Partner in reliance on such advice shall not subject the General Partner to liability to the Partnership or any Partner.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67" w:lineRule="exact"/>
        <w:rPr>
          <w:rFonts w:ascii="Times New Roman" w:cs="Times New Roman" w:eastAsia="Times New Roman" w:hAnsi="Times New Roman"/>
          <w:sz w:val="19"/>
          <w:szCs w:val="19"/>
          <w:color w:val="auto"/>
        </w:rPr>
      </w:pPr>
    </w:p>
    <w:p>
      <w:pPr>
        <w:jc w:val="both"/>
        <w:ind w:firstLine="1278"/>
        <w:spacing w:after="0" w:line="280" w:lineRule="auto"/>
        <w:tabs>
          <w:tab w:leader="none" w:pos="189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except pursuant to any express indemnities given to the Partnership by the General Partner pursuant to any other written instrument, the General Partner shall not have any personal liability whatsoever, to the Partnership or to the other Partners, for any action or omission taken in its capacity as the General Partner or,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89" w:right="339" w:bottom="1440" w:gutter="0" w:footer="0" w:header="0"/>
        </w:sectPr>
      </w:pPr>
    </w:p>
    <w:bookmarkStart w:id="155" w:name="page156"/>
    <w:bookmarkEnd w:id="155"/>
    <w:p>
      <w:pPr>
        <w:jc w:val="both"/>
        <w:spacing w:after="0" w:line="269" w:lineRule="auto"/>
        <w:rPr>
          <w:sz w:val="20"/>
          <w:szCs w:val="20"/>
          <w:color w:val="auto"/>
        </w:rPr>
      </w:pPr>
      <w:r>
        <w:rPr>
          <w:rFonts w:ascii="Times New Roman" w:cs="Times New Roman" w:eastAsia="Times New Roman" w:hAnsi="Times New Roman"/>
          <w:sz w:val="19"/>
          <w:szCs w:val="19"/>
          <w:color w:val="auto"/>
        </w:rPr>
        <w:t>permitted by the Act, for the debts or liabilities of the Partnership or the Partnership’s obligations hereunder. Without limitation of the foregoing, and except pursuant to any such express indemnity, no property or assets of the General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60" w:lineRule="exact"/>
        <w:rPr>
          <w:sz w:val="20"/>
          <w:szCs w:val="20"/>
          <w:color w:val="auto"/>
        </w:rPr>
      </w:pPr>
    </w:p>
    <w:p>
      <w:pPr>
        <w:ind w:firstLine="1278"/>
        <w:spacing w:after="0" w:line="300" w:lineRule="auto"/>
        <w:tabs>
          <w:tab w:leader="none" w:pos="189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manager, member, director, officer, employee, agent or representative of the General Partner or the Special Limited Partner, and no officer of the Partnership, shall be liable to the Partnership or any Partner for money damages by reason of their service as such.</w:t>
      </w:r>
    </w:p>
    <w:p>
      <w:pPr>
        <w:spacing w:after="0" w:line="142" w:lineRule="exact"/>
        <w:rPr>
          <w:rFonts w:ascii="Times New Roman" w:cs="Times New Roman" w:eastAsia="Times New Roman" w:hAnsi="Times New Roman"/>
          <w:sz w:val="19"/>
          <w:szCs w:val="19"/>
          <w:color w:val="auto"/>
        </w:rPr>
      </w:pPr>
    </w:p>
    <w:p>
      <w:pPr>
        <w:jc w:val="both"/>
        <w:ind w:firstLine="1278"/>
        <w:spacing w:after="0" w:line="264" w:lineRule="auto"/>
        <w:tabs>
          <w:tab w:leader="none" w:pos="190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or otherwise applicable provision of law or equity, whenever in this Agreement the General Partner is permitted or required to make a decision or take an action (a) in its “sole discretion” or “discretion” or under a similar grant of authority or latitude, or without any express standard, in making such decisions, the General Partner shall be entitled to take into account such interests and factors as it desires (including its own interests) or (b) in “good faith” or under another expressed standard, the General Partner shall act under such standard and shall not be subject to any other or different standards.</w:t>
      </w:r>
    </w:p>
    <w:p>
      <w:pPr>
        <w:spacing w:after="0" w:line="176" w:lineRule="exact"/>
        <w:rPr>
          <w:rFonts w:ascii="Times New Roman" w:cs="Times New Roman" w:eastAsia="Times New Roman" w:hAnsi="Times New Roman"/>
          <w:sz w:val="19"/>
          <w:szCs w:val="19"/>
          <w:color w:val="auto"/>
        </w:rPr>
      </w:pPr>
    </w:p>
    <w:p>
      <w:pPr>
        <w:jc w:val="both"/>
        <w:ind w:firstLine="1278"/>
        <w:spacing w:after="0" w:line="264" w:lineRule="auto"/>
        <w:tabs>
          <w:tab w:leader="none" w:pos="190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amendment, modification or repeal of this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 xml:space="preserve"> or any provision hereof shall be prospective only and shall not in any way affect the limitations on the liability of the General Partner, or the managers, members, directors, officers or agents of the General Partner or the Special Limited Partner, or officers of the Partnership, to the Partnership and the Partners under this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6.6</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57" w:lineRule="auto"/>
        <w:tabs>
          <w:tab w:leader="none" w:pos="1898"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indemnify and hold harmless each Indemnitee (and such person’s heirs, successors, assigns, executors and administrators) to the fullest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arising from any and all threatened, pending or completed claims, demands, actions, suits or proceedings, civil, criminal, administrative or investigative, and whether formal or informal, including appeals (“</w:t>
      </w:r>
      <w:r>
        <w:rPr>
          <w:rFonts w:ascii="Times New Roman" w:cs="Times New Roman" w:eastAsia="Times New Roman" w:hAnsi="Times New Roman"/>
          <w:sz w:val="19"/>
          <w:szCs w:val="19"/>
          <w:u w:val="single" w:color="auto"/>
          <w:color w:val="auto"/>
        </w:rPr>
        <w:t>Actions</w:t>
      </w:r>
      <w:r>
        <w:rPr>
          <w:rFonts w:ascii="Times New Roman" w:cs="Times New Roman" w:eastAsia="Times New Roman" w:hAnsi="Times New Roman"/>
          <w:sz w:val="19"/>
          <w:szCs w:val="19"/>
          <w:color w:val="auto"/>
        </w:rPr>
        <w:t xml:space="preserve">”), in which such Indemnitee may be involved, or is threatened to be involved, as a party or otherwise, by reason of the fact that such Indemnitee is or was the General Partner, the Special Limited Partner or an officer or director of either of the foregoing or which relates to or arises out of the Partnership or its property, business or affairs if (i) the Indemnitee acted in good faith, within the scope of such Indemnitee’s authority, and in a manner it believed to be in, or not contrary to, the best interests of the Partnership, (ii) the Action was not initiated by the Indemnitee (other than an action to enforce such Indemnitee’s rights to indemnification or advance of expenses under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and</w:t>
      </w:r>
    </w:p>
    <w:p>
      <w:pPr>
        <w:spacing w:after="0" w:line="7" w:lineRule="exact"/>
        <w:rPr>
          <w:rFonts w:ascii="Times New Roman" w:cs="Times New Roman" w:eastAsia="Times New Roman" w:hAnsi="Times New Roman"/>
          <w:sz w:val="19"/>
          <w:szCs w:val="19"/>
          <w:color w:val="auto"/>
        </w:rPr>
      </w:pPr>
    </w:p>
    <w:p>
      <w:pPr>
        <w:jc w:val="both"/>
        <w:ind w:firstLine="6"/>
        <w:spacing w:after="0" w:line="260" w:lineRule="auto"/>
        <w:tabs>
          <w:tab w:leader="none" w:pos="37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Indemnitee has not been established by a final judgment of a court of competent jurisdiction to be liable to the Partnership. The termination of an action, suit or proceeding by judgment, order, settlement, or upon a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or its equivalent, shall not, in and of itself, create a presumption or otherwise constitute evidence that the Indemnitee acted in a manner contrary to that specified in clauses (i), (ii) or (iii) above. Notwithstanding the foregoing, an Indemnitee shall look to the applicable PWP Entity first in respect of any indemnification claim hereunder (or any advances sought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89" w:right="339" w:bottom="1440" w:gutter="0" w:footer="0" w:header="0"/>
        </w:sectPr>
      </w:pPr>
    </w:p>
    <w:bookmarkStart w:id="156" w:name="page157"/>
    <w:bookmarkEnd w:id="156"/>
    <w:p>
      <w:pPr>
        <w:jc w:val="both"/>
        <w:ind w:firstLine="1278"/>
        <w:spacing w:after="0" w:line="273" w:lineRule="auto"/>
        <w:tabs>
          <w:tab w:leader="none" w:pos="18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Expenses incurred by an Indemnitee in defending any Action, subject to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shall be advanced by the Partnership prior to the final disposition of such Action upon receipt by the Partnership of a written commitment by or on behalf of the Indemnitee to repay such amount if it shall be determined that such Indemnitee is not entitled to be indemnified as authorized in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w:t>
      </w:r>
    </w:p>
    <w:p>
      <w:pPr>
        <w:spacing w:after="0" w:line="393"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indemnification obligations of the Partnership arising under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shall be satisfied out of any Partnership assets (including any amounts otherwise currently or subsequently distributable to any Partner(s)).</w:t>
      </w:r>
    </w:p>
    <w:p>
      <w:pPr>
        <w:spacing w:after="0" w:line="142"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to indemnification provided hereby shall not be exclusive of, and shall not affect,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76"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applicable law, 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178" w:lineRule="exact"/>
        <w:rPr>
          <w:rFonts w:ascii="Times New Roman" w:cs="Times New Roman" w:eastAsia="Times New Roman" w:hAnsi="Times New Roman"/>
          <w:sz w:val="19"/>
          <w:szCs w:val="19"/>
          <w:color w:val="auto"/>
        </w:rPr>
      </w:pPr>
    </w:p>
    <w:p>
      <w:pPr>
        <w:jc w:val="both"/>
        <w:ind w:firstLine="1278"/>
        <w:spacing w:after="0" w:line="263" w:lineRule="auto"/>
        <w:tabs>
          <w:tab w:leader="none" w:pos="1903"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fullest extent permitted by applicable law, any liabilities which an Indemnitee incurs as a result of acting on behalf of the Partnership, the General Partner or the Special Limited Partner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 mechanism, or otherwise) shall be treated as liabilities or judgments or fines under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firstLine="1278"/>
        <w:spacing w:after="0" w:line="280" w:lineRule="auto"/>
        <w:tabs>
          <w:tab w:leader="none" w:pos="18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Indemnitee shall not be denied indemnification in whole or in part under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because the Indemnitee had an interest in the transaction with respect to which the indemnification applies if the transaction was otherwise permitted by the terms of this Agreement.</w:t>
      </w:r>
    </w:p>
    <w:p>
      <w:pPr>
        <w:spacing w:after="0" w:line="149"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are for the benefit of the Indemnitees, their heirs, successors, assigns, executors and administrators and shall not be deemed to create any rights for the benefit of any other Persons. Any amendment, modification or repeal of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or any provision hereof shall be prospective only and shall not in any way affect the limitations on the Partnership’s liability to any Indemnitee under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rFonts w:ascii="Times New Roman" w:cs="Times New Roman" w:eastAsia="Times New Roman" w:hAnsi="Times New Roman"/>
          <w:sz w:val="19"/>
          <w:szCs w:val="19"/>
          <w:color w:val="auto"/>
        </w:rPr>
      </w:pPr>
    </w:p>
    <w:p>
      <w:pPr>
        <w:ind w:firstLine="1278"/>
        <w:spacing w:after="0" w:line="285" w:lineRule="auto"/>
        <w:tabs>
          <w:tab w:leader="none" w:pos="190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satisfy all indemnification and expense reimbursement obligations arising under section 4.08 of the limited liability company agreement of the Company that were allocated to the Company in the Holdings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89" w:right="339" w:bottom="1440" w:gutter="0" w:footer="0" w:header="0"/>
        </w:sectPr>
      </w:pPr>
    </w:p>
    <w:bookmarkStart w:id="157" w:name="page158"/>
    <w:bookmarkEnd w:id="157"/>
    <w:p>
      <w:pPr>
        <w:jc w:val="both"/>
        <w:ind w:firstLine="1278"/>
        <w:spacing w:after="0" w:line="273" w:lineRule="auto"/>
        <w:tabs>
          <w:tab w:leader="none" w:pos="190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is the intent of the parties that any amounts paid by the Partnership to the Special Limited Partner or the General Partner pursuant to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shall be treated as “guaranteed payments” within the meaning of Code section 707(c) (unless otherwise required by the Code and the Regulations).</w:t>
      </w:r>
    </w:p>
    <w:p>
      <w:pPr>
        <w:spacing w:after="0" w:line="16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RIGHTS AND OBLIGATIONS OF LIMITED PARTNERS</w:t>
      </w:r>
    </w:p>
    <w:p>
      <w:pPr>
        <w:spacing w:after="0" w:line="236"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 xml:space="preserve">Section 7.1 </w:t>
      </w:r>
      <w:r>
        <w:rPr>
          <w:rFonts w:ascii="Times New Roman" w:cs="Times New Roman" w:eastAsia="Times New Roman" w:hAnsi="Times New Roman"/>
          <w:sz w:val="19"/>
          <w:szCs w:val="19"/>
          <w:u w:val="single" w:color="auto"/>
          <w:color w:val="auto"/>
        </w:rPr>
        <w:t>Return of Capital</w:t>
      </w:r>
      <w:r>
        <w:rPr>
          <w:rFonts w:ascii="Times New Roman" w:cs="Times New Roman" w:eastAsia="Times New Roman" w:hAnsi="Times New Roman"/>
          <w:sz w:val="19"/>
          <w:szCs w:val="19"/>
          <w:color w:val="auto"/>
        </w:rPr>
        <w:t xml:space="preserve">. Except pursuant to the rights of Exchange set forth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in any Partnership Unit Designation, no Limited Partner shall be entitled to the withdrawal or return of its Capital Contribution, except to the extent of distributions made pursuant to this Agreement or upon dissolution of the Partnership as provided herein. Except to the extent provided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or otherwise expressly provided in this Agreement or in any Partnership Unit Designation, no Limited Partner or Assignee shall have priority over any other Limited Partner or Assignee either as to the return of Capital Contributions or as to profits, losses or distributions.</w:t>
      </w:r>
    </w:p>
    <w:p>
      <w:pPr>
        <w:spacing w:after="0" w:line="17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7.2</w:t>
      </w:r>
      <w:r>
        <w:rPr>
          <w:sz w:val="20"/>
          <w:szCs w:val="20"/>
          <w:color w:val="auto"/>
        </w:rPr>
        <w:tab/>
      </w:r>
      <w:r>
        <w:rPr>
          <w:rFonts w:ascii="Times New Roman" w:cs="Times New Roman" w:eastAsia="Times New Roman" w:hAnsi="Times New Roman"/>
          <w:sz w:val="19"/>
          <w:szCs w:val="19"/>
          <w:u w:val="single" w:color="auto"/>
          <w:color w:val="auto"/>
        </w:rPr>
        <w:t>Rights of Limited Partners Relating to the Partnership</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73" w:lineRule="auto"/>
        <w:tabs>
          <w:tab w:leader="none" w:pos="189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other rights provided by this Agreement or by the Act, the General Partner shall deliver to each Limited Partner a copy of any information mailed to all of the common stockholders of the Special Limited Partner as soon as practicable after such mailing.</w:t>
      </w:r>
    </w:p>
    <w:p>
      <w:pPr>
        <w:spacing w:after="0" w:line="168"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shall notify any Limited Partner that is a Qualifying Party, on request, of the then current Adjustment Factor or any change made to the Adjustment Factor.</w:t>
      </w:r>
    </w:p>
    <w:p>
      <w:pPr>
        <w:spacing w:after="0" w:line="129"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the General Partner may keep confidential from the Limited Partners (or any of them), for such period of time as the General Partner determines to be reasonable, any information that (i) the General Partner believes to be in the nature of trade secrets or other information the disclosure of which the General Partner in good faith believes is not in the best interests of the Partnership or the Special Limited Partner or (ii) the Partnership or the General Partner is required by applicable law or by agreement to keep confidential.</w:t>
      </w:r>
    </w:p>
    <w:p>
      <w:pPr>
        <w:spacing w:after="0" w:line="17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color w:val="auto"/>
        </w:rPr>
        <w:t xml:space="preserve">Section 7.3 </w:t>
      </w:r>
      <w:r>
        <w:rPr>
          <w:rFonts w:ascii="Times New Roman" w:cs="Times New Roman" w:eastAsia="Times New Roman" w:hAnsi="Times New Roman"/>
          <w:sz w:val="19"/>
          <w:szCs w:val="19"/>
          <w:u w:val="single" w:color="auto"/>
          <w:color w:val="auto"/>
        </w:rPr>
        <w:t>Partnership Right to Call Partnership Interests</w:t>
      </w:r>
      <w:r>
        <w:rPr>
          <w:rFonts w:ascii="Times New Roman" w:cs="Times New Roman" w:eastAsia="Times New Roman" w:hAnsi="Times New Roman"/>
          <w:sz w:val="19"/>
          <w:szCs w:val="19"/>
          <w:color w:val="auto"/>
        </w:rPr>
        <w:t xml:space="preserve">. Notwithstanding any other provision of this Agreement, on and after the date on which the aggregate Percentage Interests of the Limited Partners (other than the Special Limited Partner and its Subsidiaries) are less than five percent (5%), the Partnership shall have the right, but not the obligation, from time to time and at any time to redeem any and all outstanding Partnership Common Units (other than Partnership Common Units held by the General Partner or the Special Limited Partner and its Subsidiaries) by treating any Limited Partner as a Qualifying Party who has delivered an Election of Exchange pursuant to </w:t>
      </w:r>
      <w:r>
        <w:rPr>
          <w:rFonts w:ascii="Times New Roman" w:cs="Times New Roman" w:eastAsia="Times New Roman" w:hAnsi="Times New Roman"/>
          <w:sz w:val="19"/>
          <w:szCs w:val="19"/>
          <w:u w:val="single" w:color="auto"/>
          <w:color w:val="auto"/>
        </w:rPr>
        <w:t>Section 14.1(b)</w:t>
      </w:r>
      <w:r>
        <w:rPr>
          <w:rFonts w:ascii="Times New Roman" w:cs="Times New Roman" w:eastAsia="Times New Roman" w:hAnsi="Times New Roman"/>
          <w:sz w:val="19"/>
          <w:szCs w:val="19"/>
          <w:color w:val="auto"/>
        </w:rPr>
        <w:t xml:space="preserve"> for the amount of Partnership Common Units to be specified by the General Partner by notice to such Limited Partner that the Partnership has elected to exercise its rights under this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Such notice given by the General Partner to a Limited Partner pursuant to this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shall be treated as if it were an Election of Exchange delivered to the General Partner by such Limited Partner. For purposes of this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w:t>
      </w:r>
    </w:p>
    <w:p>
      <w:pPr>
        <w:spacing w:after="0" w:line="4" w:lineRule="exact"/>
        <w:rPr>
          <w:sz w:val="20"/>
          <w:szCs w:val="20"/>
          <w:color w:val="auto"/>
        </w:rPr>
      </w:pPr>
    </w:p>
    <w:p>
      <w:pPr>
        <w:ind w:firstLine="6"/>
        <w:spacing w:after="0" w:line="269" w:lineRule="auto"/>
        <w:tabs>
          <w:tab w:leader="none" w:pos="26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Limited Partner (whether or not otherwise a Qualifying Party) may be treated as a Qualifying Party that elected to Exchange and (b) the provisions of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89" w:right="339" w:bottom="1440" w:gutter="0" w:footer="0" w:header="0"/>
        </w:sectPr>
      </w:pPr>
    </w:p>
    <w:bookmarkStart w:id="158" w:name="page159"/>
    <w:bookmarkEnd w:id="158"/>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7.4</w:t>
      </w:r>
      <w:r>
        <w:rPr>
          <w:sz w:val="20"/>
          <w:szCs w:val="20"/>
          <w:color w:val="auto"/>
        </w:rPr>
        <w:tab/>
      </w:r>
      <w:r>
        <w:rPr>
          <w:rFonts w:ascii="Times New Roman" w:cs="Times New Roman" w:eastAsia="Times New Roman" w:hAnsi="Times New Roman"/>
          <w:sz w:val="19"/>
          <w:szCs w:val="19"/>
          <w:u w:val="single" w:color="auto"/>
          <w:color w:val="auto"/>
        </w:rPr>
        <w:t>Drag-Along Rights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57" w:lineRule="auto"/>
        <w:tabs>
          <w:tab w:leader="none" w:pos="1898"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the Special Limited Partner and/or its Affiliates desire to Transfer in one or more transactions all or any portion of its and/or their Partnership Interests (or any beneficial interest therein) in an arm’s-length transaction to a bona fide third party that is not an Affiliate of the Special Limited Partner (an “</w:t>
      </w:r>
      <w:r>
        <w:rPr>
          <w:rFonts w:ascii="Times New Roman" w:cs="Times New Roman" w:eastAsia="Times New Roman" w:hAnsi="Times New Roman"/>
          <w:sz w:val="19"/>
          <w:szCs w:val="19"/>
          <w:u w:val="single" w:color="auto"/>
          <w:color w:val="auto"/>
        </w:rPr>
        <w:t>Applicable Sale</w:t>
      </w:r>
      <w:r>
        <w:rPr>
          <w:rFonts w:ascii="Times New Roman" w:cs="Times New Roman" w:eastAsia="Times New Roman" w:hAnsi="Times New Roman"/>
          <w:sz w:val="19"/>
          <w:szCs w:val="19"/>
          <w:color w:val="auto"/>
        </w:rPr>
        <w:t>”), the Special Limited Partner can require each other Partner and Assignee to sell the same ratable share of its Partnership Interests as is being sold by the Special Limited Partner and such Affiliates (based upon the total Partnership Interests held by the Special Limited Partner and its Affiliates at such time) on the same terms and conditions (“</w:t>
      </w:r>
      <w:r>
        <w:rPr>
          <w:rFonts w:ascii="Times New Roman" w:cs="Times New Roman" w:eastAsia="Times New Roman" w:hAnsi="Times New Roman"/>
          <w:sz w:val="19"/>
          <w:szCs w:val="19"/>
          <w:u w:val="single" w:color="auto"/>
          <w:color w:val="auto"/>
        </w:rPr>
        <w:t>Drag-Along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Right</w:t>
      </w:r>
      <w:r>
        <w:rPr>
          <w:rFonts w:ascii="Times New Roman" w:cs="Times New Roman" w:eastAsia="Times New Roman" w:hAnsi="Times New Roman"/>
          <w:sz w:val="19"/>
          <w:szCs w:val="19"/>
          <w:color w:val="auto"/>
        </w:rPr>
        <w:t xml:space="preserve">”). The Special Limited Partner may in its sole discretion elect to cause the General Partner and/or the Partnership to structure the Applicable Sale as a merger or consolidation or as a sale of the Partnership’s assets. If such Applicable Sale is structured (i) as a merger or consolidation, then no Limited Partner or Assignee shall have any dissenters’ rights, appraisal rights or similar rights in connection with such merger or consolidation or (ii) as a sale of assets, then no Limited Partner may object to any subsequent liquidation or other distribution of the proceeds therefrom. Each Limited Partner and Assignee agrees to consent to, and raise no objections against, an Applicable Sale. In the event of the exercise by the Special Limited Partner of its Drag-Along Right pursuant to this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each Limited Partner and Assignee shall take all reasonably necessary and desirable actions approved by the Special Limited Partner in connection with the consummation of the 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such Limited Partners and Assignees shall not be required to give disproportionately greater or more onerous representations, warranties, indemnities or covenants than the Special Limited Partner or its Affiliates, (B) such Limited Partners and Assignees shall not be obligated to bear any share of the out-of-pocket expenses, costs or fees (including attorneys’ fees) incurred by the Partnership or its Affiliates in connection with such Applicable Sale unless and to the extent that such expenses, costs and fees were incurred for the benefit of the Partnership or all of its Partners, (C) such Limited Partners and Assignees shall not be obligated or otherwise responsible for more than their proportionate share of any indemnities or other liabilities incurred by the Partnership and the Limited Partners as sellers in respect of such Applicable Sale, and (D) any indemnities or other liabilities approved by the Special Limited Partner or the General Partner shall be limited, in respect of each Limited Partner, to such Limited Partner’s share of the proceeds from the Applicable Sale.</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five (5) Business Days before consummation of an Applicable Sale, the Special Limited Partner shall</w:t>
      </w:r>
    </w:p>
    <w:p>
      <w:pPr>
        <w:spacing w:after="0" w:line="34" w:lineRule="exact"/>
        <w:rPr>
          <w:rFonts w:ascii="Times New Roman" w:cs="Times New Roman" w:eastAsia="Times New Roman" w:hAnsi="Times New Roman"/>
          <w:sz w:val="19"/>
          <w:szCs w:val="19"/>
          <w:color w:val="auto"/>
        </w:rPr>
      </w:pPr>
    </w:p>
    <w:p>
      <w:pPr>
        <w:ind w:left="240" w:hanging="234"/>
        <w:spacing w:after="0"/>
        <w:tabs>
          <w:tab w:leader="none" w:pos="2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the Limited Partners and Assignees written notice (the “</w:t>
      </w:r>
      <w:r>
        <w:rPr>
          <w:rFonts w:ascii="Times New Roman" w:cs="Times New Roman" w:eastAsia="Times New Roman" w:hAnsi="Times New Roman"/>
          <w:sz w:val="19"/>
          <w:szCs w:val="19"/>
          <w:u w:val="single" w:color="auto"/>
          <w:color w:val="auto"/>
        </w:rPr>
        <w:t>Applicable Sale Notice</w:t>
      </w:r>
      <w:r>
        <w:rPr>
          <w:rFonts w:ascii="Times New Roman" w:cs="Times New Roman" w:eastAsia="Times New Roman" w:hAnsi="Times New Roman"/>
          <w:sz w:val="19"/>
          <w:szCs w:val="19"/>
          <w:color w:val="auto"/>
        </w:rPr>
        <w:t>”) of such Applicable Sale, which notice shall contain</w:t>
      </w:r>
    </w:p>
    <w:p>
      <w:pPr>
        <w:spacing w:after="0" w:line="14" w:lineRule="exact"/>
        <w:rPr>
          <w:rFonts w:ascii="Times New Roman" w:cs="Times New Roman" w:eastAsia="Times New Roman" w:hAnsi="Times New Roman"/>
          <w:sz w:val="19"/>
          <w:szCs w:val="19"/>
          <w:color w:val="auto"/>
        </w:rPr>
      </w:pPr>
    </w:p>
    <w:p>
      <w:pPr>
        <w:jc w:val="both"/>
        <w:spacing w:after="0" w:line="25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name and address of the third party purchaser, (B) the proposed purchase price, terms of payment and other material terms and conditions of such purchaser’s offer, together with a copy of any binding agreement with respect to such Applicable Sale and (C) notification of whether or not the Special Limited Partner has elected to exercise its Drag-Along Right and (ii) promptly notify the Limited Partners and Assignees of all proposed changes to such material terms and keep the Limited Partners and Assignees reasonably informed as to all material terms relating to such sale or contribution, and promptly deliver to the Limited Partners and Assignees copies of all final material agreements relating thereto not already provided in accordance with this </w:t>
      </w:r>
      <w:r>
        <w:rPr>
          <w:rFonts w:ascii="Times New Roman" w:cs="Times New Roman" w:eastAsia="Times New Roman" w:hAnsi="Times New Roman"/>
          <w:sz w:val="19"/>
          <w:szCs w:val="19"/>
          <w:u w:val="single" w:color="auto"/>
          <w:color w:val="auto"/>
        </w:rPr>
        <w:t>Section 7.4(b)</w:t>
      </w:r>
      <w:r>
        <w:rPr>
          <w:rFonts w:ascii="Times New Roman" w:cs="Times New Roman" w:eastAsia="Times New Roman" w:hAnsi="Times New Roman"/>
          <w:sz w:val="19"/>
          <w:szCs w:val="19"/>
          <w:color w:val="auto"/>
        </w:rPr>
        <w:t xml:space="preserve"> or otherwise. The Special Limited Partner shall provide the Limited Partners and Assignees written notice of the termination of an Applicable Sale within five (5) Business Days following such termination, which notice shall state that the Applicable Sale Notice served with respect to such Applicable Sale is rescinded.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89" w:right="339" w:bottom="1440" w:gutter="0" w:footer="0" w:header="0"/>
        </w:sectPr>
      </w:pPr>
    </w:p>
    <w:bookmarkStart w:id="159" w:name="page160"/>
    <w:bookmarkEnd w:id="159"/>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Section 7.5 </w:t>
      </w: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xml:space="preserve">. No Limited Partner, in its capacity as such, shall have any duties or liability under this Agreement except as expressly provided in this Agreement (including, without limitation,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or under the Act. To the maximum extent permitted by law, no Limited Partner shall have any personal liability whatsoever to the Partnership, the other Partners or any other Persons for any action or omission taken in its capacity as a limited partner or for the debts or liabilities of the Partnership or the Partnership’s obligations hereunder, except pursuant to any express indemnities given to the Partnership by such Limited Partner pursuant to any other written instrument, and except for liabilities of the Special Limited Partner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Without limitation of the foregoing, and except pursuant to any such express indemnity (and, in the case of the Special Limited Partner,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no property or assets of a Limited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6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7.6 </w:t>
      </w:r>
      <w:r>
        <w:rPr>
          <w:rFonts w:ascii="Times New Roman" w:cs="Times New Roman" w:eastAsia="Times New Roman" w:hAnsi="Times New Roman"/>
          <w:sz w:val="19"/>
          <w:szCs w:val="19"/>
          <w:u w:val="single" w:color="auto"/>
          <w:color w:val="auto"/>
        </w:rPr>
        <w:t>Management of Business</w:t>
      </w:r>
      <w:r>
        <w:rPr>
          <w:rFonts w:ascii="Times New Roman" w:cs="Times New Roman" w:eastAsia="Times New Roman" w:hAnsi="Times New Roman"/>
          <w:sz w:val="19"/>
          <w:szCs w:val="19"/>
          <w:color w:val="auto"/>
        </w:rPr>
        <w:t>. No Limited Partner or Assignee (other than in its separate capacity as the General Partner, any of its Affiliates or any officer, director, manager, member, employee, partner, agent, representative or trustee of the General Partner, the Partnership or any of their Affiliates, in their capacity as such) shall take part in the operations, management or control of the Partnership’s business, transact any business in the Partnership’s name or have the power to sign documents for or otherwise bind the Partnership. The transaction of any such business by the General Partner, any of its Affiliates or any officer, director, manager, member, employee, partner, agent, representative or trustee of the General Partner, the Partnership or any of their Affiliates, in their capacity as such, shall not affect, impair or eliminate the limitations on the liability of the Limited Partners or Assignees under this Agreement.</w:t>
      </w:r>
    </w:p>
    <w:p>
      <w:pPr>
        <w:spacing w:after="0" w:line="17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color w:val="auto"/>
        </w:rPr>
        <w:t xml:space="preserve">Section 7.7 </w:t>
      </w:r>
      <w:r>
        <w:rPr>
          <w:rFonts w:ascii="Times New Roman" w:cs="Times New Roman" w:eastAsia="Times New Roman" w:hAnsi="Times New Roman"/>
          <w:sz w:val="19"/>
          <w:szCs w:val="19"/>
          <w:u w:val="single" w:color="auto"/>
          <w:color w:val="auto"/>
        </w:rPr>
        <w:t>Outside Activities of Limited Partners</w:t>
      </w:r>
      <w:r>
        <w:rPr>
          <w:rFonts w:ascii="Times New Roman" w:cs="Times New Roman" w:eastAsia="Times New Roman" w:hAnsi="Times New Roman"/>
          <w:sz w:val="19"/>
          <w:szCs w:val="19"/>
          <w:color w:val="auto"/>
        </w:rPr>
        <w:t xml:space="preserve">. Subject to any agreements entered into pursuant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hereof and any other agreements entered into by a Limited Partner or any of its Affiliates with the General Partner, the Partnership or a Subsidiary (including, without limitation, any employment agreement), any Limited Partner and any Assignee, officer, director, employee, agent, representative, trustee, Affiliate, manager, member, partner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Partners nor any other Person shall have any rights by virtue of this Agreement in any business ventures of any other Person, and such Person shall have no obligation pursuant to this Agreement, subject to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hereof and any other agreements entered into by a Limited Partner or its Affiliates with the General Partner, the Partnership or a Subsidiary, to offer any interest in any such business ventures to the Partnership, any Partner, or any such other Person, even if such opportunity is of a character that, if presented to the Partnership, any Partner or such other Person, could be taken by such Person.</w:t>
      </w:r>
    </w:p>
    <w:p>
      <w:pPr>
        <w:spacing w:after="0" w:line="189"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 xml:space="preserve">Section 7.8 </w:t>
      </w:r>
      <w:r>
        <w:rPr>
          <w:rFonts w:ascii="Times New Roman" w:cs="Times New Roman" w:eastAsia="Times New Roman" w:hAnsi="Times New Roman"/>
          <w:sz w:val="19"/>
          <w:szCs w:val="19"/>
          <w:u w:val="single" w:color="auto"/>
          <w:color w:val="auto"/>
        </w:rPr>
        <w:t>Certificates Evidencing Partnership Units</w:t>
      </w:r>
      <w:r>
        <w:rPr>
          <w:rFonts w:ascii="Times New Roman" w:cs="Times New Roman" w:eastAsia="Times New Roman" w:hAnsi="Times New Roman"/>
          <w:sz w:val="19"/>
          <w:szCs w:val="19"/>
          <w:color w:val="auto"/>
        </w:rPr>
        <w:t>. The General Partner may, at any time, determine that ownership of any class of Partnership Units shall be evidenced by a certificate in such form as the General Partner adopts from time to time, which certificate may be imprinted with a legend setting forth such restrictions placed on the Partnership Units as specified in this Agreement and such restrictions will be binding upon all holders of the certificate along with the terms and conditions set forth in this Agreement. If the General Partner elects to issue certificates to evidence any class of Partnership Units, it shall give prior written notice to the Limited Partners of such election, and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89" w:right="339" w:bottom="1440" w:gutter="0" w:footer="0" w:header="0"/>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provisions shall apply: (a) the certificate shall state that the Partnership is a limited partnership formed under the laws of the State of Delaware, the name of the Partner to whom such certificate is issued and that the certificate represents a “partnership interest,” within the meaning of Section 17-702(b) of the Act; (b) each certificate shall be signed by the General Partner of the Partnership by either manual or facsimile signature; (c) the certificates shall be numbered and registered in the Register as they are issued; (d) when certificates are presented to the Partnership with a request to register a transfer, if the transfer is permitted by this Agreement, the Partnership shall register the transfer or make the exchange on the Register or transfer books of the Partnership;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certificates presented or surrendered for registration of transfer or exchange must be duly endorsed or accompanied by a written instrument of transfer in form satisfactory to the Partnership, duly executed by the holder thereof or his attorney duly authorized in writing; (e) before due presentment for registration of transfer of a certificate in compliance with and in accordance with this Agreement, the Partnership shall be entitled to treat the individual or entity in whose name any certificates issued by the Partnership stand on the books of the Partnership as the absolute owner of the Partnership Units evidenced thereby, and shall not be bound to recognize any equitable or other claim to, or interest in, such Partnership Units on the part of any other individual or entity; (f) if any mutilated certificate is surrendered to the Partnership, or the Partnership receives evidence to its satisfaction of the destruction, loss or theft of any certificate, the Partnership shall issue a replacement certificate if the requirements of Section 8-405 of the Uniform Commercial Code are met. If required by the General Partner, an indemnity and/or the deposit of a bond in such form and in such sum, and with such surety or sureties as the General Partner may direct, must be supplied by the holder of such lost, destroyed or stolen certificate that is sufficient in the judgment of the General Partner to protect the Partnership from any loss that it may suffer if a certificate is replaced. The Partnership may charge for its expenses incurred in connection with replacing a certificate.</w:t>
      </w:r>
    </w:p>
    <w:p>
      <w:pPr>
        <w:spacing w:after="0" w:line="181"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7.9</w:t>
      </w:r>
      <w:r>
        <w:rPr>
          <w:sz w:val="20"/>
          <w:szCs w:val="20"/>
          <w:color w:val="auto"/>
        </w:rPr>
        <w:tab/>
      </w:r>
      <w:r>
        <w:rPr>
          <w:rFonts w:ascii="Times New Roman" w:cs="Times New Roman" w:eastAsia="Times New Roman" w:hAnsi="Times New Roman"/>
          <w:sz w:val="19"/>
          <w:szCs w:val="19"/>
          <w:u w:val="single" w:color="auto"/>
          <w:color w:val="auto"/>
        </w:rPr>
        <w:t>Vesting of Partnership Class A-2 Common Units and Partnership Class A-3 Common Units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1" w:lineRule="auto"/>
        <w:tabs>
          <w:tab w:leader="none" w:pos="189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provided by PWP LLC and set forth in a separate written agreement between PWP LLC and an AdCo Professionals Partner (or its Associated Person) or immediately upon a Liquidating Event, the Partnership Class A-2 Common Units and Partnership Class A-3 Common Units issued hereunder (including, as applicable, any Partnership Class A-2 Common Units or Partnership Class A-3 Common Units received in respect of such Partnership Class A-2 Common Units or Partnership Class A-3 Common Units as a result of the reallocation of any forfeited AdCo Common Units pursuant to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or any other equitable adjustment that, in any case, subsequently vests) shall vest on the following dates (each a “</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so long as such AdCo Professionals Partner (or its Associated Person) remains an Active Professional through, and has not given or received a notice of Termination as of,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89" w:right="339" w:bottom="1440" w:gutter="0" w:footer="0" w:header="0"/>
        </w:sectPr>
      </w:pPr>
    </w:p>
    <w:bookmarkStart w:id="161" w:name="page162"/>
    <w:bookmarkEnd w:id="161"/>
    <w:tbl>
      <w:tblPr>
        <w:tblLayout w:type="fixed"/>
        <w:tblInd w:w="650" w:type="dxa"/>
        <w:tblCellMar>
          <w:top w:w="0" w:type="dxa"/>
          <w:left w:w="0" w:type="dxa"/>
          <w:bottom w:w="0" w:type="dxa"/>
          <w:right w:w="0" w:type="dxa"/>
        </w:tblCellMar>
      </w:tblPr>
      <w:tr>
        <w:trPr>
          <w:trHeight w:val="331"/>
        </w:trPr>
        <w:tc>
          <w:tcPr>
            <w:tcW w:w="1800" w:type="dxa"/>
            <w:vAlign w:val="bottom"/>
            <w:tcBorders>
              <w:top w:val="single" w:sz="8" w:color="auto"/>
              <w:left w:val="single" w:sz="8" w:color="auto"/>
            </w:tcBorders>
            <w:shd w:val="clear" w:color="auto" w:fill="D9D9D9"/>
          </w:tcPr>
          <w:p>
            <w:pPr>
              <w:spacing w:after="0"/>
              <w:rPr>
                <w:sz w:val="24"/>
                <w:szCs w:val="24"/>
                <w:color w:val="auto"/>
              </w:rPr>
            </w:pPr>
          </w:p>
        </w:tc>
        <w:tc>
          <w:tcPr>
            <w:tcW w:w="2800" w:type="dxa"/>
            <w:vAlign w:val="bottom"/>
            <w:tcBorders>
              <w:top w:val="single" w:sz="8" w:color="auto"/>
              <w:right w:val="single" w:sz="8" w:color="auto"/>
            </w:tcBorders>
            <w:gridSpan w:val="2"/>
            <w:shd w:val="clear" w:color="auto" w:fill="D9D9D9"/>
          </w:tcPr>
          <w:p>
            <w:pPr>
              <w:jc w:val="center"/>
              <w:ind w:right="1820"/>
              <w:spacing w:after="0"/>
              <w:rPr>
                <w:sz w:val="20"/>
                <w:szCs w:val="20"/>
                <w:color w:val="auto"/>
              </w:rPr>
            </w:pPr>
            <w:r>
              <w:rPr>
                <w:rFonts w:ascii="Times New Roman" w:cs="Times New Roman" w:eastAsia="Times New Roman" w:hAnsi="Times New Roman"/>
                <w:sz w:val="19"/>
                <w:szCs w:val="19"/>
                <w:i w:val="1"/>
                <w:iCs w:val="1"/>
                <w:color w:val="auto"/>
                <w:w w:val="99"/>
              </w:rPr>
              <w:t>Vesting Date</w:t>
            </w:r>
          </w:p>
        </w:tc>
        <w:tc>
          <w:tcPr>
            <w:tcW w:w="740" w:type="dxa"/>
            <w:vAlign w:val="bottom"/>
            <w:tcBorders>
              <w:top w:val="single" w:sz="8" w:color="auto"/>
            </w:tcBorders>
            <w:shd w:val="clear" w:color="auto" w:fill="D9D9D9"/>
          </w:tcPr>
          <w:p>
            <w:pPr>
              <w:spacing w:after="0"/>
              <w:rPr>
                <w:sz w:val="24"/>
                <w:szCs w:val="24"/>
                <w:color w:val="auto"/>
              </w:rPr>
            </w:pPr>
          </w:p>
        </w:tc>
        <w:tc>
          <w:tcPr>
            <w:tcW w:w="3860" w:type="dxa"/>
            <w:vAlign w:val="bottom"/>
            <w:tcBorders>
              <w:top w:val="single" w:sz="8" w:color="auto"/>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19"/>
                <w:szCs w:val="19"/>
                <w:i w:val="1"/>
                <w:iCs w:val="1"/>
                <w:color w:val="auto"/>
              </w:rPr>
              <w:t>Cumulative Percentage of Units Vesting</w:t>
            </w:r>
          </w:p>
        </w:tc>
      </w:tr>
      <w:tr>
        <w:trPr>
          <w:trHeight w:val="165"/>
        </w:trPr>
        <w:tc>
          <w:tcPr>
            <w:tcW w:w="1800" w:type="dxa"/>
            <w:vAlign w:val="bottom"/>
            <w:tcBorders>
              <w:top w:val="single" w:sz="8" w:color="D9D9D9"/>
              <w:left w:val="single" w:sz="8" w:color="auto"/>
              <w:bottom w:val="single" w:sz="8" w:color="auto"/>
            </w:tcBorders>
            <w:shd w:val="clear" w:color="auto" w:fill="D9D9D9"/>
          </w:tcPr>
          <w:p>
            <w:pPr>
              <w:spacing w:after="0"/>
              <w:rPr>
                <w:sz w:val="14"/>
                <w:szCs w:val="14"/>
                <w:color w:val="auto"/>
              </w:rPr>
            </w:pPr>
          </w:p>
        </w:tc>
        <w:tc>
          <w:tcPr>
            <w:tcW w:w="980" w:type="dxa"/>
            <w:vAlign w:val="bottom"/>
            <w:tcBorders>
              <w:top w:val="single" w:sz="8" w:color="auto"/>
              <w:bottom w:val="single" w:sz="8" w:color="auto"/>
            </w:tcBorders>
            <w:shd w:val="clear" w:color="auto" w:fill="D9D9D9"/>
          </w:tcPr>
          <w:p>
            <w:pPr>
              <w:spacing w:after="0"/>
              <w:rPr>
                <w:sz w:val="14"/>
                <w:szCs w:val="14"/>
                <w:color w:val="auto"/>
              </w:rPr>
            </w:pPr>
          </w:p>
        </w:tc>
        <w:tc>
          <w:tcPr>
            <w:tcW w:w="1820" w:type="dxa"/>
            <w:vAlign w:val="bottom"/>
            <w:tcBorders>
              <w:top w:val="single" w:sz="8" w:color="D9D9D9"/>
              <w:bottom w:val="single" w:sz="8" w:color="auto"/>
              <w:right w:val="single" w:sz="8" w:color="auto"/>
            </w:tcBorders>
            <w:shd w:val="clear" w:color="auto" w:fill="D9D9D9"/>
          </w:tcPr>
          <w:p>
            <w:pPr>
              <w:spacing w:after="0"/>
              <w:rPr>
                <w:sz w:val="14"/>
                <w:szCs w:val="14"/>
                <w:color w:val="auto"/>
              </w:rPr>
            </w:pPr>
          </w:p>
        </w:tc>
        <w:tc>
          <w:tcPr>
            <w:tcW w:w="740" w:type="dxa"/>
            <w:vAlign w:val="bottom"/>
            <w:tcBorders>
              <w:top w:val="single" w:sz="8" w:color="D9D9D9"/>
              <w:bottom w:val="single" w:sz="8" w:color="auto"/>
            </w:tcBorders>
            <w:shd w:val="clear" w:color="auto" w:fill="D9D9D9"/>
          </w:tcPr>
          <w:p>
            <w:pPr>
              <w:spacing w:after="0"/>
              <w:rPr>
                <w:sz w:val="14"/>
                <w:szCs w:val="14"/>
                <w:color w:val="auto"/>
              </w:rPr>
            </w:pPr>
          </w:p>
        </w:tc>
        <w:tc>
          <w:tcPr>
            <w:tcW w:w="3100" w:type="dxa"/>
            <w:vAlign w:val="bottom"/>
            <w:tcBorders>
              <w:top w:val="single" w:sz="8" w:color="auto"/>
              <w:bottom w:val="single" w:sz="8" w:color="auto"/>
            </w:tcBorders>
            <w:shd w:val="clear" w:color="auto" w:fill="D9D9D9"/>
          </w:tcPr>
          <w:p>
            <w:pPr>
              <w:spacing w:after="0"/>
              <w:rPr>
                <w:sz w:val="14"/>
                <w:szCs w:val="14"/>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14"/>
                <w:szCs w:val="14"/>
                <w:color w:val="auto"/>
              </w:rPr>
            </w:pPr>
          </w:p>
        </w:tc>
      </w:tr>
      <w:tr>
        <w:trPr>
          <w:trHeight w:val="356"/>
        </w:trPr>
        <w:tc>
          <w:tcPr>
            <w:tcW w:w="46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May 16, 2024</w:t>
            </w:r>
          </w:p>
        </w:tc>
        <w:tc>
          <w:tcPr>
            <w:tcW w:w="3840" w:type="dxa"/>
            <w:vAlign w:val="bottom"/>
            <w:gridSpan w:val="2"/>
          </w:tcPr>
          <w:p>
            <w:pPr>
              <w:jc w:val="center"/>
              <w:ind w:left="623"/>
              <w:spacing w:after="0"/>
              <w:rPr>
                <w:sz w:val="20"/>
                <w:szCs w:val="20"/>
                <w:color w:val="auto"/>
              </w:rPr>
            </w:pPr>
            <w:r>
              <w:rPr>
                <w:rFonts w:ascii="Times New Roman" w:cs="Times New Roman" w:eastAsia="Times New Roman" w:hAnsi="Times New Roman"/>
                <w:sz w:val="19"/>
                <w:szCs w:val="19"/>
                <w:color w:val="auto"/>
              </w:rPr>
              <w:t>20%</w:t>
            </w:r>
          </w:p>
        </w:tc>
        <w:tc>
          <w:tcPr>
            <w:tcW w:w="760" w:type="dxa"/>
            <w:vAlign w:val="bottom"/>
            <w:tcBorders>
              <w:right w:val="single" w:sz="8" w:color="auto"/>
            </w:tcBorders>
          </w:tcPr>
          <w:p>
            <w:pPr>
              <w:spacing w:after="0"/>
              <w:rPr>
                <w:sz w:val="24"/>
                <w:szCs w:val="24"/>
                <w:color w:val="auto"/>
              </w:rPr>
            </w:pPr>
          </w:p>
        </w:tc>
      </w:tr>
      <w:tr>
        <w:trPr>
          <w:trHeight w:val="141"/>
        </w:trPr>
        <w:tc>
          <w:tcPr>
            <w:tcW w:w="180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356"/>
        </w:trPr>
        <w:tc>
          <w:tcPr>
            <w:tcW w:w="46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November 18, 2024</w:t>
            </w:r>
          </w:p>
        </w:tc>
        <w:tc>
          <w:tcPr>
            <w:tcW w:w="3840" w:type="dxa"/>
            <w:vAlign w:val="bottom"/>
            <w:gridSpan w:val="2"/>
          </w:tcPr>
          <w:p>
            <w:pPr>
              <w:jc w:val="center"/>
              <w:ind w:left="623"/>
              <w:spacing w:after="0"/>
              <w:rPr>
                <w:sz w:val="20"/>
                <w:szCs w:val="20"/>
                <w:color w:val="auto"/>
              </w:rPr>
            </w:pPr>
            <w:r>
              <w:rPr>
                <w:rFonts w:ascii="Times New Roman" w:cs="Times New Roman" w:eastAsia="Times New Roman" w:hAnsi="Times New Roman"/>
                <w:sz w:val="19"/>
                <w:szCs w:val="19"/>
                <w:color w:val="auto"/>
              </w:rPr>
              <w:t>40%</w:t>
            </w:r>
          </w:p>
        </w:tc>
        <w:tc>
          <w:tcPr>
            <w:tcW w:w="760" w:type="dxa"/>
            <w:vAlign w:val="bottom"/>
            <w:tcBorders>
              <w:right w:val="single" w:sz="8" w:color="auto"/>
            </w:tcBorders>
          </w:tcPr>
          <w:p>
            <w:pPr>
              <w:spacing w:after="0"/>
              <w:rPr>
                <w:sz w:val="24"/>
                <w:szCs w:val="24"/>
                <w:color w:val="auto"/>
              </w:rPr>
            </w:pPr>
          </w:p>
        </w:tc>
      </w:tr>
      <w:tr>
        <w:trPr>
          <w:trHeight w:val="141"/>
        </w:trPr>
        <w:tc>
          <w:tcPr>
            <w:tcW w:w="180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356"/>
        </w:trPr>
        <w:tc>
          <w:tcPr>
            <w:tcW w:w="46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May 16, 2025</w:t>
            </w:r>
          </w:p>
        </w:tc>
        <w:tc>
          <w:tcPr>
            <w:tcW w:w="3840" w:type="dxa"/>
            <w:vAlign w:val="bottom"/>
            <w:gridSpan w:val="2"/>
          </w:tcPr>
          <w:p>
            <w:pPr>
              <w:jc w:val="center"/>
              <w:ind w:left="623"/>
              <w:spacing w:after="0"/>
              <w:rPr>
                <w:sz w:val="20"/>
                <w:szCs w:val="20"/>
                <w:color w:val="auto"/>
              </w:rPr>
            </w:pPr>
            <w:r>
              <w:rPr>
                <w:rFonts w:ascii="Times New Roman" w:cs="Times New Roman" w:eastAsia="Times New Roman" w:hAnsi="Times New Roman"/>
                <w:sz w:val="19"/>
                <w:szCs w:val="19"/>
                <w:color w:val="auto"/>
              </w:rPr>
              <w:t>60%</w:t>
            </w:r>
          </w:p>
        </w:tc>
        <w:tc>
          <w:tcPr>
            <w:tcW w:w="760" w:type="dxa"/>
            <w:vAlign w:val="bottom"/>
            <w:tcBorders>
              <w:right w:val="single" w:sz="8" w:color="auto"/>
            </w:tcBorders>
          </w:tcPr>
          <w:p>
            <w:pPr>
              <w:spacing w:after="0"/>
              <w:rPr>
                <w:sz w:val="24"/>
                <w:szCs w:val="24"/>
                <w:color w:val="auto"/>
              </w:rPr>
            </w:pPr>
          </w:p>
        </w:tc>
      </w:tr>
      <w:tr>
        <w:trPr>
          <w:trHeight w:val="141"/>
        </w:trPr>
        <w:tc>
          <w:tcPr>
            <w:tcW w:w="180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356"/>
        </w:trPr>
        <w:tc>
          <w:tcPr>
            <w:tcW w:w="46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November 17, 2025</w:t>
            </w:r>
          </w:p>
        </w:tc>
        <w:tc>
          <w:tcPr>
            <w:tcW w:w="3840" w:type="dxa"/>
            <w:vAlign w:val="bottom"/>
            <w:gridSpan w:val="2"/>
          </w:tcPr>
          <w:p>
            <w:pPr>
              <w:jc w:val="center"/>
              <w:ind w:left="623"/>
              <w:spacing w:after="0"/>
              <w:rPr>
                <w:sz w:val="20"/>
                <w:szCs w:val="20"/>
                <w:color w:val="auto"/>
              </w:rPr>
            </w:pPr>
            <w:r>
              <w:rPr>
                <w:rFonts w:ascii="Times New Roman" w:cs="Times New Roman" w:eastAsia="Times New Roman" w:hAnsi="Times New Roman"/>
                <w:sz w:val="19"/>
                <w:szCs w:val="19"/>
                <w:color w:val="auto"/>
              </w:rPr>
              <w:t>80%</w:t>
            </w:r>
          </w:p>
        </w:tc>
        <w:tc>
          <w:tcPr>
            <w:tcW w:w="760" w:type="dxa"/>
            <w:vAlign w:val="bottom"/>
            <w:tcBorders>
              <w:right w:val="single" w:sz="8" w:color="auto"/>
            </w:tcBorders>
          </w:tcPr>
          <w:p>
            <w:pPr>
              <w:spacing w:after="0"/>
              <w:rPr>
                <w:sz w:val="24"/>
                <w:szCs w:val="24"/>
                <w:color w:val="auto"/>
              </w:rPr>
            </w:pPr>
          </w:p>
        </w:tc>
      </w:tr>
      <w:tr>
        <w:trPr>
          <w:trHeight w:val="141"/>
        </w:trPr>
        <w:tc>
          <w:tcPr>
            <w:tcW w:w="180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356"/>
        </w:trPr>
        <w:tc>
          <w:tcPr>
            <w:tcW w:w="460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May 18, 2026</w:t>
            </w:r>
          </w:p>
        </w:tc>
        <w:tc>
          <w:tcPr>
            <w:tcW w:w="3840" w:type="dxa"/>
            <w:vAlign w:val="bottom"/>
            <w:gridSpan w:val="2"/>
          </w:tcPr>
          <w:p>
            <w:pPr>
              <w:jc w:val="center"/>
              <w:ind w:left="623"/>
              <w:spacing w:after="0"/>
              <w:rPr>
                <w:sz w:val="20"/>
                <w:szCs w:val="20"/>
                <w:color w:val="auto"/>
              </w:rPr>
            </w:pPr>
            <w:r>
              <w:rPr>
                <w:rFonts w:ascii="Times New Roman" w:cs="Times New Roman" w:eastAsia="Times New Roman" w:hAnsi="Times New Roman"/>
                <w:sz w:val="19"/>
                <w:szCs w:val="19"/>
                <w:color w:val="auto"/>
                <w:w w:val="99"/>
              </w:rPr>
              <w:t>100%</w:t>
            </w:r>
          </w:p>
        </w:tc>
        <w:tc>
          <w:tcPr>
            <w:tcW w:w="760" w:type="dxa"/>
            <w:vAlign w:val="bottom"/>
            <w:tcBorders>
              <w:right w:val="single" w:sz="8" w:color="auto"/>
            </w:tcBorders>
          </w:tcPr>
          <w:p>
            <w:pPr>
              <w:spacing w:after="0"/>
              <w:rPr>
                <w:sz w:val="24"/>
                <w:szCs w:val="24"/>
                <w:color w:val="auto"/>
              </w:rPr>
            </w:pPr>
          </w:p>
        </w:tc>
      </w:tr>
      <w:tr>
        <w:trPr>
          <w:trHeight w:val="141"/>
        </w:trPr>
        <w:tc>
          <w:tcPr>
            <w:tcW w:w="1800" w:type="dxa"/>
            <w:vAlign w:val="bottom"/>
            <w:tcBorders>
              <w:left w:val="single" w:sz="8" w:color="auto"/>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bl>
    <w:p>
      <w:pPr>
        <w:spacing w:after="0" w:line="308" w:lineRule="exact"/>
        <w:rPr>
          <w:sz w:val="20"/>
          <w:szCs w:val="20"/>
          <w:color w:val="auto"/>
        </w:rPr>
      </w:pPr>
    </w:p>
    <w:p>
      <w:pPr>
        <w:jc w:val="both"/>
        <w:ind w:firstLine="1278"/>
        <w:spacing w:after="0" w:line="261" w:lineRule="auto"/>
        <w:tabs>
          <w:tab w:leader="none" w:pos="189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vesting in accordance with this section and subject to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each Partnership Class A-2 Common Unit and Partnership Class A-3 Common Unit shall automatically convert into a Partnership Class A-1 Common Unit;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mutual agreement of the General Partner and an affected Limited Partner, any of such Limited Partner’s Partnership Class A-3 Common Units that so vest may instead be converted into cash in an aggregate amount up to such Limited Partner’s estimated tax liability (as determined by the General Partner in its sole discretion and to the extent the General Partner determines sufficient cash is available for such purpose) in connection with the associated vesting event. To the extent any Partnership Class A-3 Common Units are converted into cash in accordance with the preceding sentence, such units shall automatically be deemed cancelled.</w:t>
      </w:r>
    </w:p>
    <w:p>
      <w:pPr>
        <w:spacing w:after="0" w:line="17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7.10</w:t>
      </w:r>
      <w:r>
        <w:rPr>
          <w:sz w:val="20"/>
          <w:szCs w:val="20"/>
          <w:color w:val="auto"/>
        </w:rPr>
        <w:tab/>
      </w:r>
      <w:r>
        <w:rPr>
          <w:rFonts w:ascii="Times New Roman" w:cs="Times New Roman" w:eastAsia="Times New Roman" w:hAnsi="Times New Roman"/>
          <w:sz w:val="19"/>
          <w:szCs w:val="19"/>
          <w:u w:val="single" w:color="auto"/>
          <w:color w:val="auto"/>
        </w:rPr>
        <w:t>Termination of AdCo Professionals Partners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900" w:hanging="622"/>
        <w:spacing w:after="0"/>
        <w:tabs>
          <w:tab w:leader="none" w:pos="190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AdCo Professionals Partner’s (or its Associated Person’s) tenure with the Restricted Entities may be</w:t>
      </w:r>
    </w:p>
    <w:p>
      <w:pPr>
        <w:spacing w:after="0" w:line="34"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Terminated:</w:t>
      </w:r>
    </w:p>
    <w:p>
      <w:pPr>
        <w:spacing w:after="0" w:line="204"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General Partner or PWP LLC for Cause;</w:t>
      </w:r>
    </w:p>
    <w:p>
      <w:pPr>
        <w:spacing w:after="0" w:line="232"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General Partner or PWP LLC without Cause;</w:t>
      </w:r>
    </w:p>
    <w:p>
      <w:pPr>
        <w:spacing w:after="0" w:line="218"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AdCo Professionals Partner’s (or its Associated Person’s) resignation with Good Reason;</w:t>
      </w:r>
    </w:p>
    <w:p>
      <w:pPr>
        <w:spacing w:after="0" w:line="232"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AdCo Professionals Partner’s (or its Associated Person’s) resignation without Good Reason;</w:t>
      </w:r>
    </w:p>
    <w:p>
      <w:pPr>
        <w:spacing w:after="0" w:line="34"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w:t>
      </w:r>
    </w:p>
    <w:p>
      <w:pPr>
        <w:spacing w:after="0" w:line="204" w:lineRule="exact"/>
        <w:rPr>
          <w:rFonts w:ascii="Times New Roman" w:cs="Times New Roman" w:eastAsia="Times New Roman" w:hAnsi="Times New Roman"/>
          <w:sz w:val="19"/>
          <w:szCs w:val="19"/>
          <w:color w:val="auto"/>
        </w:rPr>
      </w:pPr>
    </w:p>
    <w:p>
      <w:pPr>
        <w:ind w:left="3180" w:hanging="630"/>
        <w:spacing w:after="0"/>
        <w:tabs>
          <w:tab w:leader="none" w:pos="3180"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AdCo Professionals Partner’s (or its Associated Person’s) Incapacity.</w:t>
      </w:r>
    </w:p>
    <w:p>
      <w:pPr>
        <w:spacing w:after="0" w:line="232" w:lineRule="exact"/>
        <w:rPr>
          <w:rFonts w:ascii="Times New Roman" w:cs="Times New Roman" w:eastAsia="Times New Roman" w:hAnsi="Times New Roman"/>
          <w:sz w:val="19"/>
          <w:szCs w:val="19"/>
          <w:color w:val="auto"/>
        </w:rPr>
      </w:pPr>
    </w:p>
    <w:p>
      <w:pPr>
        <w:ind w:left="2540" w:hanging="626"/>
        <w:spacing w:after="0"/>
        <w:tabs>
          <w:tab w:leader="none" w:pos="25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640" w:firstLine="1910"/>
        <w:spacing w:after="0" w:line="280" w:lineRule="auto"/>
        <w:tabs>
          <w:tab w:leader="none" w:pos="3172"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Determination as to whether Cause has occurred shall be made in good faith by PWP LLC in a timely manner. PWP LLC shall have the authority in its sole discretion to waive the consequences under this Agreement of the existence or occurrence of any of the events, acts or omissions constituting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8" w:right="339" w:bottom="1440" w:gutter="0" w:footer="0" w:header="0"/>
        </w:sectPr>
      </w:pPr>
    </w:p>
    <w:bookmarkStart w:id="162" w:name="page163"/>
    <w:bookmarkEnd w:id="162"/>
    <w:p>
      <w:pPr>
        <w:spacing w:after="0" w:line="161" w:lineRule="exact"/>
        <w:rPr>
          <w:sz w:val="20"/>
          <w:szCs w:val="20"/>
          <w:color w:val="auto"/>
        </w:rPr>
      </w:pPr>
    </w:p>
    <w:p>
      <w:pPr>
        <w:jc w:val="both"/>
        <w:ind w:left="640" w:firstLine="1910"/>
        <w:spacing w:after="0" w:line="259" w:lineRule="auto"/>
        <w:tabs>
          <w:tab w:leader="none" w:pos="3172" w:val="left"/>
        </w:tabs>
        <w:numPr>
          <w:ilvl w:val="2"/>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PWP LLC shall have the authority to treat an AdCo Professionals Partner’s (or its Associated Person’s) previous Termination as a Termination for Cause with respect to the forfeiture of such AdCo Professionals Partner’s (or such Associated Person’s) Partnership Interests if, following the Termination of such AdCo Professionals Partner (or such Associated Person) and within the applicable restricted period (including the Non-Compete Period), such AdCo Professionals Partner commits any act or omission which would have constituted Cause under clause (f) of the definition of “Cause” (including Competing) had such AdCo Professionals Partner (or such Associated Person) not been so Terminated. To the extent that PWP LLC elects to treat an AdCo Professionals Partner’s (or its Associated Person’s) previous Termination as a Termination for Cause in accordance with this </w:t>
      </w:r>
      <w:r>
        <w:rPr>
          <w:rFonts w:ascii="Times New Roman" w:cs="Times New Roman" w:eastAsia="Times New Roman" w:hAnsi="Times New Roman"/>
          <w:sz w:val="19"/>
          <w:szCs w:val="19"/>
          <w:u w:val="single" w:color="auto"/>
          <w:color w:val="auto"/>
        </w:rPr>
        <w:t>Section 7.10(a)(ii)(2)</w:t>
      </w:r>
      <w:r>
        <w:rPr>
          <w:rFonts w:ascii="Times New Roman" w:cs="Times New Roman" w:eastAsia="Times New Roman" w:hAnsi="Times New Roman"/>
          <w:sz w:val="19"/>
          <w:szCs w:val="19"/>
          <w:color w:val="auto"/>
        </w:rPr>
        <w:t xml:space="preserve">, it shall notify such AdCo Professionals Partner as promptly as reasonably practicable. For purposes of clarity and the avoidance of doubt, in the event that PWP LLC makes such an election, the applicable date of Termination for purposes of </w:t>
      </w:r>
      <w:r>
        <w:rPr>
          <w:rFonts w:ascii="Times New Roman" w:cs="Times New Roman" w:eastAsia="Times New Roman" w:hAnsi="Times New Roman"/>
          <w:sz w:val="19"/>
          <w:szCs w:val="19"/>
          <w:u w:val="single" w:color="auto"/>
          <w:color w:val="auto"/>
        </w:rPr>
        <w:t>Section 7.10(b)</w:t>
      </w:r>
      <w:r>
        <w:rPr>
          <w:rFonts w:ascii="Times New Roman" w:cs="Times New Roman" w:eastAsia="Times New Roman" w:hAnsi="Times New Roman"/>
          <w:sz w:val="19"/>
          <w:szCs w:val="19"/>
          <w:color w:val="auto"/>
        </w:rPr>
        <w:t xml:space="preserve"> shall be the date that PWP LLC makes such election.</w:t>
      </w:r>
    </w:p>
    <w:p>
      <w:pPr>
        <w:spacing w:after="0" w:line="186" w:lineRule="exact"/>
        <w:rPr>
          <w:rFonts w:ascii="Times New Roman" w:cs="Times New Roman" w:eastAsia="Times New Roman" w:hAnsi="Times New Roman"/>
          <w:sz w:val="19"/>
          <w:szCs w:val="19"/>
          <w:color w:val="auto"/>
        </w:rPr>
      </w:pPr>
    </w:p>
    <w:p>
      <w:pPr>
        <w:jc w:val="both"/>
        <w:ind w:left="640" w:firstLine="1274"/>
        <w:spacing w:after="0" w:line="269" w:lineRule="auto"/>
        <w:tabs>
          <w:tab w:leader="none" w:pos="2548"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Competing</w:t>
      </w:r>
      <w:r>
        <w:rPr>
          <w:rFonts w:ascii="Times New Roman" w:cs="Times New Roman" w:eastAsia="Times New Roman" w:hAnsi="Times New Roman"/>
          <w:sz w:val="19"/>
          <w:szCs w:val="19"/>
          <w:color w:val="auto"/>
        </w:rPr>
        <w:t>. Determination as to whether an AdCo Professionals Partner (or its Associated Person) has Competed shall be made in good faith by PWP LLC in a timely manner. PWP LLC shall have the authority in its discretion to waive the consequences under this Agreement of the existence or occurrence of any of the events, acts or omissions that constitute an AdCo Professionals Partner (or its Associated Person) Competing.</w:t>
      </w:r>
    </w:p>
    <w:p>
      <w:pPr>
        <w:spacing w:after="0" w:line="160" w:lineRule="exact"/>
        <w:rPr>
          <w:rFonts w:ascii="Times New Roman" w:cs="Times New Roman" w:eastAsia="Times New Roman" w:hAnsi="Times New Roman"/>
          <w:sz w:val="19"/>
          <w:szCs w:val="19"/>
          <w:color w:val="auto"/>
        </w:rPr>
      </w:pPr>
    </w:p>
    <w:p>
      <w:pPr>
        <w:ind w:firstLine="1278"/>
        <w:spacing w:after="0" w:line="300" w:lineRule="auto"/>
        <w:tabs>
          <w:tab w:leader="none" w:pos="189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Termination on Partnership Interests</w:t>
      </w:r>
      <w:r>
        <w:rPr>
          <w:rFonts w:ascii="Times New Roman" w:cs="Times New Roman" w:eastAsia="Times New Roman" w:hAnsi="Times New Roman"/>
          <w:sz w:val="19"/>
          <w:szCs w:val="19"/>
          <w:color w:val="auto"/>
        </w:rPr>
        <w:t>. Notwithstanding anything to the contrary contained herein, if an AdCo Professionals Partner (or its Associated Person) is Terminated:</w:t>
      </w:r>
    </w:p>
    <w:p>
      <w:pPr>
        <w:spacing w:after="0" w:line="142"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6"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General Partner or PWP LLC for Cause, then any Partnership Units held by such AdCo Professionals Partner on the applicable date of Termination (whether or not vested) shall be automatically forfeited by such AdCo Professionals Partner on the applicable date of Termination;</w:t>
      </w:r>
    </w:p>
    <w:p>
      <w:pPr>
        <w:spacing w:after="0" w:line="155" w:lineRule="exact"/>
        <w:rPr>
          <w:sz w:val="20"/>
          <w:szCs w:val="20"/>
          <w:color w:val="auto"/>
        </w:rPr>
      </w:pPr>
    </w:p>
    <w:p>
      <w:pPr>
        <w:jc w:val="both"/>
        <w:ind w:left="640" w:firstLine="1274"/>
        <w:spacing w:after="0" w:line="259" w:lineRule="auto"/>
        <w:tabs>
          <w:tab w:leader="none" w:pos="254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General Partner or PWP LLC without Cause or upon such AdCo Professionals Partner’s (or its Associated Person’s) resignation with Good Reason, then (x) a pro-rata portion of each unvested tranche of Partnership Class A-2 Common Units and Partnership Class A-3 Common Units shall vest and automatically convert into an equivalent number of Partnership Class A-1 Common Units, with such pro-rata portion determined by multiplying the number of Partnership Class A-2 Common Units and Partnership Class A-3 Common Units subject to each tranche by a fraction, the numerator of which is the number of full months from the date of issuance of such Partnership Units to the applicable date of Termination, and the denominator of which is the number of full months from the date of issuance of such Partnership Class A-2 Common Units to the date such tranche would have otherwise vested in accordance with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the amount of Partnership Class A-2 Common Units and Partnership Class A-3 Common Units that are vested immediately following such Termination be less than 50% of the total amount of each applicable issuance of Partnership Class A-2 Common Units and Partnership Class A-3 Common Units (with such 50% test applied separately to each issuance of Partnership Class A-2 Common Units and each issuance of Partnership Class A-3 Common Units), (y) any Partnership Class A-2 Common Units and Partnership Class A-3 Common Units held by such AdCo Professionals Partner on the applicable date of Termination that remain unvested following the application of this </w:t>
      </w:r>
      <w:r>
        <w:rPr>
          <w:rFonts w:ascii="Times New Roman" w:cs="Times New Roman" w:eastAsia="Times New Roman" w:hAnsi="Times New Roman"/>
          <w:sz w:val="19"/>
          <w:szCs w:val="19"/>
          <w:u w:val="single" w:color="auto"/>
          <w:color w:val="auto"/>
        </w:rPr>
        <w:t>Section 7.10(b)(ii)</w:t>
      </w:r>
      <w:r>
        <w:rPr>
          <w:rFonts w:ascii="Times New Roman" w:cs="Times New Roman" w:eastAsia="Times New Roman" w:hAnsi="Times New Roman"/>
          <w:sz w:val="19"/>
          <w:szCs w:val="19"/>
          <w:color w:val="auto"/>
        </w:rPr>
        <w:t xml:space="preserve"> shall be automatically forfeited by such AdCo Professionals Partner on the applicable date of Termination and (z) any other Partnership Units held by such AdCo Professionals Partner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163" w:name="page164"/>
    <w:bookmarkEnd w:id="163"/>
    <w:p>
      <w:pPr>
        <w:ind w:left="640"/>
        <w:spacing w:after="0" w:line="270" w:lineRule="auto"/>
        <w:rPr>
          <w:sz w:val="20"/>
          <w:szCs w:val="20"/>
          <w:color w:val="auto"/>
        </w:rPr>
      </w:pPr>
      <w:r>
        <w:rPr>
          <w:rFonts w:ascii="Times New Roman" w:cs="Times New Roman" w:eastAsia="Times New Roman" w:hAnsi="Times New Roman"/>
          <w:sz w:val="19"/>
          <w:szCs w:val="19"/>
          <w:color w:val="auto"/>
        </w:rPr>
        <w:t>applicable date of Termination shall be retained by such AdCo Professionals Partner (subject to forfeiture as set forth in this Agreement);</w:t>
      </w:r>
    </w:p>
    <w:p>
      <w:pPr>
        <w:spacing w:after="0" w:line="200" w:lineRule="exact"/>
        <w:rPr>
          <w:sz w:val="20"/>
          <w:szCs w:val="20"/>
          <w:color w:val="auto"/>
        </w:rPr>
      </w:pPr>
    </w:p>
    <w:p>
      <w:pPr>
        <w:spacing w:after="0" w:line="230" w:lineRule="exact"/>
        <w:rPr>
          <w:sz w:val="20"/>
          <w:szCs w:val="20"/>
          <w:color w:val="auto"/>
        </w:rPr>
      </w:pPr>
    </w:p>
    <w:p>
      <w:pPr>
        <w:jc w:val="both"/>
        <w:ind w:left="640" w:firstLine="1274"/>
        <w:spacing w:after="0" w:line="263" w:lineRule="auto"/>
        <w:tabs>
          <w:tab w:leader="none" w:pos="254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General Partner or PWP LLC without Cause or upon such AdCo Professionals Partner’s (or its Associated Person’s) resignation with Good Reason within twenty-four (24) months following a Change in Control, then (x) 100% of the Partnership Class A-2 Common Units and Partnership Class A-3 Common Units held by such AdCo Professionals Partner shall vest and automatically convert into an equivalent number of Partnership Class A-1 Common Units and (y) any other Partnership Units held by such AdCo Professionals Partner on the applicable date of Termination shall be retained by such AdCo Professionals Partner (subject to forfeiture as set forth in this Agreement);</w:t>
      </w:r>
    </w:p>
    <w:p>
      <w:pPr>
        <w:spacing w:after="0" w:line="180" w:lineRule="exact"/>
        <w:rPr>
          <w:rFonts w:ascii="Times New Roman" w:cs="Times New Roman" w:eastAsia="Times New Roman" w:hAnsi="Times New Roman"/>
          <w:sz w:val="19"/>
          <w:szCs w:val="19"/>
          <w:color w:val="auto"/>
        </w:rPr>
      </w:pPr>
    </w:p>
    <w:p>
      <w:pPr>
        <w:jc w:val="both"/>
        <w:ind w:left="640" w:firstLine="1274"/>
        <w:spacing w:after="0" w:line="259" w:lineRule="auto"/>
        <w:tabs>
          <w:tab w:leader="none" w:pos="253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result of such AdCo Professionals Partner’s (or its Associated Person’s) resignation without Good Reason, then (x) any Partnership Class A-2 Common Units and Partnership Class A-3 Common Units that remain unvested shall be automatically forfeited by such AdCo Professionals Partner on the applicable date of Termination and (y) any other Partnership Units held by such AdCo Professionals Partner on the applicable date of Termination shall be retained by such AdCo Professionals Partner (subject to forfeiture as set forth in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AdCo Professionals Partner (or its Associated Person) thereafter Competes with the Restricted Entities during the Non-Compete Period or breaches any other applicable written covenant between any Restricted Entity and such AdCo Professionals Partner (or its Associated Person) (including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then any Partnership Units held by such AdCo Professionals Partner on the date of such Competing or breach shall be deemed to be automatically forfeited by such AdCo Professionals Partner on the date of such Competing or breach (regardless of when the General Partner or PWP LLC learns of the conduct giving rise to such Competing or breach); and</w:t>
      </w:r>
    </w:p>
    <w:p>
      <w:pPr>
        <w:spacing w:after="0" w:line="186" w:lineRule="exact"/>
        <w:rPr>
          <w:rFonts w:ascii="Times New Roman" w:cs="Times New Roman" w:eastAsia="Times New Roman" w:hAnsi="Times New Roman"/>
          <w:sz w:val="19"/>
          <w:szCs w:val="19"/>
          <w:color w:val="auto"/>
        </w:rPr>
      </w:pPr>
    </w:p>
    <w:p>
      <w:pPr>
        <w:jc w:val="both"/>
        <w:ind w:left="640" w:firstLine="1274"/>
        <w:spacing w:after="0" w:line="264" w:lineRule="auto"/>
        <w:tabs>
          <w:tab w:leader="none" w:pos="253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result of the Incapacity of such AdCo Professionals Partner (or its Associated Person), then (x) 100% of the Partnership Class A-2 Common Units and Partnership Class A-3 Common Units held by such AdCo Professionals Partner shall vest and automatically convert into an equivalent number of Partnership Class A-1 Common Units and (y) any other Partnership Units held by such AdCo Professionals Partner on the applicable date of Termination shall be retained by such AdCo Professionals Partner (subject to forfeiture as set forth in this Agreement).</w:t>
      </w:r>
    </w:p>
    <w:p>
      <w:pPr>
        <w:spacing w:after="0" w:line="17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Upon mutual agreement of the General Partner and an affected Limited Partner prior to such vesting, any Partnership Class A-3 Common Units that vest pursuant to this </w:t>
      </w:r>
      <w:r>
        <w:rPr>
          <w:rFonts w:ascii="Times New Roman" w:cs="Times New Roman" w:eastAsia="Times New Roman" w:hAnsi="Times New Roman"/>
          <w:sz w:val="19"/>
          <w:szCs w:val="19"/>
          <w:u w:val="single" w:color="auto"/>
          <w:color w:val="auto"/>
        </w:rPr>
        <w:t>Section 7.10(b)</w:t>
      </w:r>
      <w:r>
        <w:rPr>
          <w:rFonts w:ascii="Times New Roman" w:cs="Times New Roman" w:eastAsia="Times New Roman" w:hAnsi="Times New Roman"/>
          <w:sz w:val="19"/>
          <w:szCs w:val="19"/>
          <w:color w:val="auto"/>
        </w:rPr>
        <w:t xml:space="preserve"> may instead be converted into cash in an aggregate amount up to such Limited Partner’s estimated tax liability (as determined by the General Partner in its sole discretion and to the extent the General Partner determines sufficient cash is available for such purpose) in connection with the associated vesting event. To the extent any Partnership Class A-3 Common Units are converted into cash in accordance with the preceding sentence, such units shall automatically be deemed cancelled.</w:t>
      </w:r>
    </w:p>
    <w:p>
      <w:pPr>
        <w:spacing w:after="0" w:line="200" w:lineRule="exact"/>
        <w:rPr>
          <w:sz w:val="20"/>
          <w:szCs w:val="20"/>
          <w:color w:val="auto"/>
        </w:rPr>
      </w:pPr>
    </w:p>
    <w:p>
      <w:pPr>
        <w:spacing w:after="0" w:line="202" w:lineRule="exact"/>
        <w:rPr>
          <w:sz w:val="20"/>
          <w:szCs w:val="20"/>
          <w:color w:val="auto"/>
        </w:rPr>
      </w:pPr>
    </w:p>
    <w:p>
      <w:pPr>
        <w:jc w:val="both"/>
        <w:ind w:firstLine="1278"/>
        <w:spacing w:after="0" w:line="267" w:lineRule="auto"/>
        <w:tabs>
          <w:tab w:leader="none" w:pos="189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Forfeited AdCo Common Units Among Holders of AdCo Common Units</w:t>
      </w:r>
      <w:r>
        <w:rPr>
          <w:rFonts w:ascii="Times New Roman" w:cs="Times New Roman" w:eastAsia="Times New Roman" w:hAnsi="Times New Roman"/>
          <w:sz w:val="19"/>
          <w:szCs w:val="19"/>
          <w:color w:val="auto"/>
        </w:rPr>
        <w:t xml:space="preserve">. Upon any forfeiture of AdCo Common Units pursuant to </w:t>
      </w:r>
      <w:r>
        <w:rPr>
          <w:rFonts w:ascii="Times New Roman" w:cs="Times New Roman" w:eastAsia="Times New Roman" w:hAnsi="Times New Roman"/>
          <w:sz w:val="19"/>
          <w:szCs w:val="19"/>
          <w:u w:val="single" w:color="auto"/>
          <w:color w:val="auto"/>
        </w:rPr>
        <w:t>Section 7.10(b)</w:t>
      </w:r>
      <w:r>
        <w:rPr>
          <w:rFonts w:ascii="Times New Roman" w:cs="Times New Roman" w:eastAsia="Times New Roman" w:hAnsi="Times New Roman"/>
          <w:sz w:val="19"/>
          <w:szCs w:val="19"/>
          <w:color w:val="auto"/>
        </w:rPr>
        <w:t>, such forfeited AdCo Common Units shall, regardless of sub-class, automatically be reallocated (in fractional units to the extent necessary) on a pro rata basis (based on the relative number of Partnership Class A-1 Common Units, Partnership Class A-2 Common Units and Partnership Class A-3 Common Units outstanding, other than such forfeited AdCo Common Units) to the Holders of outstanding AdCo Common Units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389" w:right="339" w:bottom="1440" w:gutter="0" w:footer="0" w:header="0"/>
        </w:sectPr>
      </w:pPr>
    </w:p>
    <w:bookmarkStart w:id="164" w:name="page165"/>
    <w:bookmarkEnd w:id="164"/>
    <w:p>
      <w:pPr>
        <w:spacing w:after="0" w:line="300" w:lineRule="auto"/>
        <w:rPr>
          <w:sz w:val="20"/>
          <w:szCs w:val="20"/>
          <w:color w:val="auto"/>
        </w:rPr>
      </w:pPr>
      <w:r>
        <w:rPr>
          <w:rFonts w:ascii="Times New Roman" w:cs="Times New Roman" w:eastAsia="Times New Roman" w:hAnsi="Times New Roman"/>
          <w:sz w:val="19"/>
          <w:szCs w:val="19"/>
          <w:color w:val="auto"/>
        </w:rPr>
        <w:t>the Holders of outstanding Partnership Class A-0 Common Units) after converting into the Partnership Class A Common Units described below, as applicable:</w:t>
      </w:r>
    </w:p>
    <w:p>
      <w:pPr>
        <w:spacing w:after="0" w:line="130" w:lineRule="exact"/>
        <w:rPr>
          <w:sz w:val="20"/>
          <w:szCs w:val="20"/>
          <w:color w:val="auto"/>
        </w:rPr>
      </w:pPr>
    </w:p>
    <w:p>
      <w:pPr>
        <w:ind w:left="640" w:firstLine="1274"/>
        <w:spacing w:after="0" w:line="300" w:lineRule="auto"/>
        <w:tabs>
          <w:tab w:leader="none" w:pos="2546"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allocated to an AdCo Professionals Partner who holds only Partnership Class A-1 Common Units, the AdCo Common Units shall convert into (or remain) Partnership Class A-1 Common Units;</w:t>
      </w:r>
    </w:p>
    <w:p>
      <w:pPr>
        <w:spacing w:after="0" w:line="129" w:lineRule="exact"/>
        <w:rPr>
          <w:rFonts w:ascii="Times New Roman" w:cs="Times New Roman" w:eastAsia="Times New Roman" w:hAnsi="Times New Roman"/>
          <w:sz w:val="19"/>
          <w:szCs w:val="19"/>
          <w:color w:val="auto"/>
        </w:rPr>
      </w:pPr>
    </w:p>
    <w:p>
      <w:pPr>
        <w:ind w:left="640" w:firstLine="1274"/>
        <w:spacing w:after="0" w:line="300" w:lineRule="auto"/>
        <w:tabs>
          <w:tab w:leader="none" w:pos="2547"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allocated to an AdCo Professionals Partner who holds any Partnership Class A-3 Common Units, the AdCo Common Units shall convert into (or remain) Partnership Class A-3 Common Units;</w:t>
      </w:r>
    </w:p>
    <w:p>
      <w:pPr>
        <w:spacing w:after="0" w:line="142"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allocated to an AdCo Professionals Partner who holds any Partnership Class A-2 Common Units, does not hold any Partnership Class A-3 Common Units, and whose Capital Account is greater than or equal to the value of such Partner’s Partnership Units, the AdCo Common Units shall convert into (or remain) Partnership Class A-2 Common Units; and</w:t>
      </w:r>
    </w:p>
    <w:p>
      <w:pPr>
        <w:spacing w:after="0" w:line="155" w:lineRule="exact"/>
        <w:rPr>
          <w:rFonts w:ascii="Times New Roman" w:cs="Times New Roman" w:eastAsia="Times New Roman" w:hAnsi="Times New Roman"/>
          <w:sz w:val="19"/>
          <w:szCs w:val="19"/>
          <w:color w:val="auto"/>
        </w:rPr>
      </w:pPr>
    </w:p>
    <w:p>
      <w:pPr>
        <w:jc w:val="both"/>
        <w:ind w:left="640" w:firstLine="1274"/>
        <w:spacing w:after="0" w:line="267" w:lineRule="auto"/>
        <w:tabs>
          <w:tab w:leader="none" w:pos="2537"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allocated to an AdCo Professionals Partner who holds any Partnership Class A-2 Common Units, does not hold any Partnership Class A-3 Common Units, and whose Capital Account is less than the value of such Partner’s Partnership Units, the AdCo Common Units shall convert into (or remain) Partnership Class A-3 Common Units to the extent the value of such Partner’s Partnership Units exceeds such Partner’s Capital Account, and the remainder of the AdCo Common Units shall convert into (or remain) Partnership Class A-2 Common Units.</w:t>
      </w:r>
    </w:p>
    <w:p>
      <w:pPr>
        <w:spacing w:after="0" w:line="15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BOOKS AND RECORDS</w:t>
      </w:r>
    </w:p>
    <w:p>
      <w:pPr>
        <w:spacing w:after="0" w:line="223"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8.1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At all times during the continuance of the Partnership, the Partnership shall prepare and maintain separate books of account for the Partnership for financial reporting purposes, on an accrual basis, in accordance with United States generally accepted accounting principles, consistently applied. The Partnership shall keep at its principal office the following:</w:t>
      </w:r>
    </w:p>
    <w:p>
      <w:pPr>
        <w:spacing w:after="0" w:line="169" w:lineRule="exact"/>
        <w:rPr>
          <w:sz w:val="20"/>
          <w:szCs w:val="20"/>
          <w:color w:val="auto"/>
        </w:rPr>
      </w:pPr>
    </w:p>
    <w:p>
      <w:pPr>
        <w:ind w:left="1900" w:hanging="622"/>
        <w:spacing w:after="0"/>
        <w:tabs>
          <w:tab w:leader="none" w:pos="19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current list of the full name and the last known street address of each Partner;</w:t>
      </w:r>
    </w:p>
    <w:p>
      <w:pPr>
        <w:spacing w:after="0" w:line="218"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the Certificate and this Agreement and all amendments thereto; and</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the Partnership’s federal, state and local income tax returns and reports, if any, for the three most recent years.</w:t>
      </w:r>
    </w:p>
    <w:p>
      <w:pPr>
        <w:spacing w:after="0" w:line="232"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8.2 </w:t>
      </w:r>
      <w:r>
        <w:rPr>
          <w:rFonts w:ascii="Times New Roman" w:cs="Times New Roman" w:eastAsia="Times New Roman" w:hAnsi="Times New Roman"/>
          <w:sz w:val="19"/>
          <w:szCs w:val="19"/>
          <w:u w:val="single" w:color="auto"/>
          <w:color w:val="auto"/>
        </w:rPr>
        <w:t>Inspection</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Limited Partners (personally or through an authorized representative) may, for purposes reasonably related to their respective Partnership Interests, examine and copy (at their own cost and expense) the books and records of the Partnership at all reasonable business hours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89" w:right="339" w:bottom="1440" w:gutter="0" w:footer="0" w:header="0"/>
        </w:sectPr>
      </w:pPr>
    </w:p>
    <w:bookmarkStart w:id="165" w:name="page166"/>
    <w:bookmarkEnd w:id="165"/>
    <w:p>
      <w:pPr>
        <w:ind w:left="5000"/>
        <w:spacing w:after="0"/>
        <w:rPr>
          <w:sz w:val="20"/>
          <w:szCs w:val="20"/>
          <w:color w:val="auto"/>
        </w:rPr>
      </w:pPr>
      <w:r>
        <w:rPr>
          <w:rFonts w:ascii="Times New Roman" w:cs="Times New Roman" w:eastAsia="Times New Roman" w:hAnsi="Times New Roman"/>
          <w:sz w:val="19"/>
          <w:szCs w:val="19"/>
          <w:b w:val="1"/>
          <w:bCs w:val="1"/>
          <w:color w:val="auto"/>
        </w:rPr>
        <w:t>Article IX</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TAX MATTERS</w:t>
      </w:r>
    </w:p>
    <w:p>
      <w:pPr>
        <w:spacing w:after="0" w:line="236"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9.1 </w:t>
      </w:r>
      <w:r>
        <w:rPr>
          <w:rFonts w:ascii="Times New Roman" w:cs="Times New Roman" w:eastAsia="Times New Roman" w:hAnsi="Times New Roman"/>
          <w:sz w:val="19"/>
          <w:szCs w:val="19"/>
          <w:u w:val="single" w:color="auto"/>
          <w:color w:val="auto"/>
        </w:rPr>
        <w:t>Preparation of Tax Returns</w:t>
      </w:r>
      <w:r>
        <w:rPr>
          <w:rFonts w:ascii="Times New Roman" w:cs="Times New Roman" w:eastAsia="Times New Roman" w:hAnsi="Times New Roman"/>
          <w:sz w:val="19"/>
          <w:szCs w:val="19"/>
          <w:color w:val="auto"/>
        </w:rPr>
        <w:t>. The General Partner shall arrange for the preparation and timely filing of all returns with respect to Partnership income, gains, deductions, losses and other items required of the Partnership for federal and state income tax purposes and shall use all reasonable effort to furnish, within one hundred and eighty (180) days of the close of each taxable year, the tax information reasonably required by Limited Partners and for federal and state income tax and any other tax reporting purposes. The Limited Partners shall promptly provide the General Partner with such information relating to any Contributed Assets, including tax basis and other relevant information, as may be reasonably requested by the General Partner from time to time.</w:t>
      </w:r>
    </w:p>
    <w:p>
      <w:pPr>
        <w:spacing w:after="0" w:line="16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9.2 </w:t>
      </w:r>
      <w:r>
        <w:rPr>
          <w:rFonts w:ascii="Times New Roman" w:cs="Times New Roman" w:eastAsia="Times New Roman" w:hAnsi="Times New Roman"/>
          <w:sz w:val="19"/>
          <w:szCs w:val="19"/>
          <w:u w:val="single" w:color="auto"/>
          <w:color w:val="auto"/>
        </w:rPr>
        <w:t>Tax Elections</w:t>
      </w:r>
      <w:r>
        <w:rPr>
          <w:rFonts w:ascii="Times New Roman" w:cs="Times New Roman" w:eastAsia="Times New Roman" w:hAnsi="Times New Roman"/>
          <w:sz w:val="19"/>
          <w:szCs w:val="19"/>
          <w:color w:val="auto"/>
        </w:rPr>
        <w:t>. The General Partner shall file (or cause to be filed) an election pursuant to Code section 754 for the Partnership for its first Fiscal Year and shall maintain and keep such election in effect at all times. Except as otherwise provided herein, the General Partner shall determine whether to make any available election pursuant to the Code, other than the election under Code section 754. The General Partner shall have the right to seek to revoke any such election (other than the election under Code section 754).</w:t>
      </w:r>
    </w:p>
    <w:p>
      <w:pPr>
        <w:spacing w:after="0" w:line="173"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9.3</w:t>
      </w:r>
      <w:r>
        <w:rPr>
          <w:sz w:val="20"/>
          <w:szCs w:val="20"/>
          <w:color w:val="auto"/>
        </w:rPr>
        <w:tab/>
      </w:r>
      <w:r>
        <w:rPr>
          <w:rFonts w:ascii="Times New Roman" w:cs="Times New Roman" w:eastAsia="Times New Roman" w:hAnsi="Times New Roman"/>
          <w:sz w:val="19"/>
          <w:szCs w:val="19"/>
          <w:u w:val="single" w:color="auto"/>
          <w:color w:val="auto"/>
        </w:rPr>
        <w:t>Partnership Representative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1" w:lineRule="auto"/>
        <w:tabs>
          <w:tab w:leader="none" w:pos="189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is hereby designated to serve as the “tax matters partner” under Code section 6231(a)(7) (as in effect prior to repeal of such section pursuant to the Partnership Audit Procedures) and the “partnership representative” with respect to the Partnership, as provided in section 6223(a) of the Partnership Audit Procedures (in such capacities, the “</w:t>
      </w:r>
      <w:r>
        <w:rPr>
          <w:rFonts w:ascii="Times New Roman" w:cs="Times New Roman" w:eastAsia="Times New Roman" w:hAnsi="Times New Roman"/>
          <w:sz w:val="19"/>
          <w:szCs w:val="19"/>
          <w:u w:val="single" w:color="auto"/>
          <w:color w:val="auto"/>
        </w:rPr>
        <w:t>Partnership Representative</w:t>
      </w:r>
      <w:r>
        <w:rPr>
          <w:rFonts w:ascii="Times New Roman" w:cs="Times New Roman" w:eastAsia="Times New Roman" w:hAnsi="Times New Roman"/>
          <w:sz w:val="19"/>
          <w:szCs w:val="19"/>
          <w:color w:val="auto"/>
        </w:rPr>
        <w:t>”) to oversee or handle matters relating to the taxation of the Partnership. For each taxable year in which the Partnership Representative is an entity, the Partnership shall appoint the “designated individual” identified by the Partnership Representative to act on behalf of the Partnership Representative (the “</w:t>
      </w:r>
      <w:r>
        <w:rPr>
          <w:rFonts w:ascii="Times New Roman" w:cs="Times New Roman" w:eastAsia="Times New Roman" w:hAnsi="Times New Roman"/>
          <w:sz w:val="19"/>
          <w:szCs w:val="19"/>
          <w:u w:val="single" w:color="auto"/>
          <w:color w:val="auto"/>
        </w:rPr>
        <w:t>Designated Individual</w:t>
      </w:r>
      <w:r>
        <w:rPr>
          <w:rFonts w:ascii="Times New Roman" w:cs="Times New Roman" w:eastAsia="Times New Roman" w:hAnsi="Times New Roman"/>
          <w:sz w:val="19"/>
          <w:szCs w:val="19"/>
          <w:color w:val="auto"/>
        </w:rPr>
        <w:t>”) in accordance with the applicable Treasury Regulations. Each Partner expressly consents to such designations and agrees that it will execute, acknowledge, deliver, file and record at the appropriate public offices such documents as may be necessary or appropriate to evidence such consent.</w:t>
      </w:r>
    </w:p>
    <w:p>
      <w:pPr>
        <w:spacing w:after="0" w:line="179"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Representative shall have the sole authority to act on behalf of the Partnership in connection with and make all relevant decisions regarding application of the Partnership Audit Procedures, including, but not limited to, any elections under the Partnership Audit Procedures or any decisions to settle, compromise, challenge, litigate or otherwise alter the defense of any proceeding before the IRS.</w:t>
      </w:r>
    </w:p>
    <w:p>
      <w:pPr>
        <w:spacing w:after="0" w:line="160"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 agree to cooperate in good faith to timely provide information requested by the Partnership Representative as needed to comply with the Partnership Audit Procedures, including without limitation to make any elections available to the Partnership under the Partnership Audit Procedures. Each Partner agrees that, upon request of the Partnership, such Partner shall take such actions as may be necessary or desirable (as determined by the Partnership Representative) to (i) allow the Partnership to comply with the provisions of section 6226 of the Partnership Audit Procedures so that any “partnership adjustments” (as defined in section 6241(2) of the Partnership Audit Procedures) are taken into account by the Partners and former Partners rather than the Partnership; (ii) use the provisions of section 6225(c) of the Partnership Audit Procedures including, but not limited to, filing amended tax returns with respect to any “reviewed year” (within the meaning of section 6225(d)(1)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85" w:right="339" w:bottom="1440" w:gutter="0" w:footer="0" w:header="0"/>
        </w:sectPr>
      </w:pPr>
    </w:p>
    <w:bookmarkStart w:id="166" w:name="page167"/>
    <w:bookmarkEnd w:id="166"/>
    <w:p>
      <w:pPr>
        <w:jc w:val="both"/>
        <w:spacing w:after="0" w:line="273" w:lineRule="auto"/>
        <w:rPr>
          <w:sz w:val="20"/>
          <w:szCs w:val="20"/>
          <w:color w:val="auto"/>
        </w:rPr>
      </w:pPr>
      <w:r>
        <w:rPr>
          <w:rFonts w:ascii="Times New Roman" w:cs="Times New Roman" w:eastAsia="Times New Roman" w:hAnsi="Times New Roman"/>
          <w:sz w:val="19"/>
          <w:szCs w:val="19"/>
          <w:color w:val="auto"/>
        </w:rPr>
        <w:t>Audit Procedures) or using the alternative procedure to filing amended returns to reduce the amount of any partnership adjustment otherwise required to be taken into account by the Partnership; or (iii) otherwise allow the Partnership and its Partners to address and respond to any matters arising under the Partnership Audit Procedures.</w:t>
      </w:r>
    </w:p>
    <w:p>
      <w:pPr>
        <w:spacing w:after="0" w:line="169" w:lineRule="exact"/>
        <w:rPr>
          <w:sz w:val="20"/>
          <w:szCs w:val="20"/>
          <w:color w:val="auto"/>
        </w:rPr>
      </w:pPr>
    </w:p>
    <w:p>
      <w:pPr>
        <w:jc w:val="both"/>
        <w:ind w:firstLine="1278"/>
        <w:spacing w:after="0" w:line="259" w:lineRule="auto"/>
        <w:tabs>
          <w:tab w:leader="none" w:pos="1896"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other provisions of this Agreement to the contrary, if any partnership adjustment is determined with respect to the Partnership, the Partnership Representative may cause the Partnership to elect pursuant to section 6226 of the Partnership Audit Procedures to have such adjustment passed through to the Partners for the year to which the adjustment relates (i.e., the “reviewed year” within the meaning of section 6225(d)(1) of the Partnership Audit Procedures). In the event that the Partnership Representative has not caused the Partnership to so elect pursuant to section 6226 of the Partnership Audit Procedures, then any “imputed underpayment” (as determined in accordance with section 6225 of the Partnership Audit Procedures) or partnership adjustment that does not give rise to an imputed underpayment shall be apportioned among the Partners of the Partnership for the taxable year in which the adjustment is finalized in such manner as may be necessary (as determined by the Partnership Representative in good faith) so that, to the maximum extent possible, the tax and economic consequences of the imputed underpayment or other partnership adjustment and any associated interest and penalties (any such amount, an “</w:t>
      </w:r>
      <w:r>
        <w:rPr>
          <w:rFonts w:ascii="Times New Roman" w:cs="Times New Roman" w:eastAsia="Times New Roman" w:hAnsi="Times New Roman"/>
          <w:sz w:val="19"/>
          <w:szCs w:val="19"/>
          <w:u w:val="single" w:color="auto"/>
          <w:color w:val="auto"/>
        </w:rPr>
        <w:t>Imputed Underpayment Amount</w:t>
      </w:r>
      <w:r>
        <w:rPr>
          <w:rFonts w:ascii="Times New Roman" w:cs="Times New Roman" w:eastAsia="Times New Roman" w:hAnsi="Times New Roman"/>
          <w:sz w:val="19"/>
          <w:szCs w:val="19"/>
          <w:color w:val="auto"/>
        </w:rPr>
        <w:t>”) are borne by the Partners based upon their interests in the Partnership for the reviewed year. Imputed Underpayment Amounts also shall include any imputed underpayment within the meaning of section 6225 of the Partnership Audit Procedures paid (or payable) by any entity treated as a partnership for U.S. federal income tax purposes in which the Partnership holds (or has held) a direct or indirect interest other than through entities treated as corporations for U.S. federal income tax purposes to the extent that the Partnership bears the economic burden of such amounts, whether by law or contract.</w:t>
      </w:r>
    </w:p>
    <w:p>
      <w:pPr>
        <w:spacing w:after="0" w:line="170"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Partner agrees to indemnify and hold harmless the Partnership from and against any liability with respect to such Partner’s share of any tax deficiency paid or payable by the Partnership that is allocable to the Partner as determined in accordance with the second sentence of </w:t>
      </w:r>
      <w:r>
        <w:rPr>
          <w:rFonts w:ascii="Times New Roman" w:cs="Times New Roman" w:eastAsia="Times New Roman" w:hAnsi="Times New Roman"/>
          <w:sz w:val="19"/>
          <w:szCs w:val="19"/>
          <w:u w:val="single" w:color="auto"/>
          <w:color w:val="auto"/>
        </w:rPr>
        <w:t>Section 9.3(d)</w:t>
      </w:r>
      <w:r>
        <w:rPr>
          <w:rFonts w:ascii="Times New Roman" w:cs="Times New Roman" w:eastAsia="Times New Roman" w:hAnsi="Times New Roman"/>
          <w:sz w:val="19"/>
          <w:szCs w:val="19"/>
          <w:color w:val="auto"/>
        </w:rPr>
        <w:t xml:space="preserve"> with respect to an audited or reviewed taxable year for which such Partner was a partner in the Partnership. The obligations set forth in this </w:t>
      </w:r>
      <w:r>
        <w:rPr>
          <w:rFonts w:ascii="Times New Roman" w:cs="Times New Roman" w:eastAsia="Times New Roman" w:hAnsi="Times New Roman"/>
          <w:sz w:val="19"/>
          <w:szCs w:val="19"/>
          <w:u w:val="single" w:color="auto"/>
          <w:color w:val="auto"/>
        </w:rPr>
        <w:t>Section 9.3(e)</w:t>
      </w:r>
      <w:r>
        <w:rPr>
          <w:rFonts w:ascii="Times New Roman" w:cs="Times New Roman" w:eastAsia="Times New Roman" w:hAnsi="Times New Roman"/>
          <w:sz w:val="19"/>
          <w:szCs w:val="19"/>
          <w:color w:val="auto"/>
        </w:rPr>
        <w:t xml:space="preserve"> shall survive the termination of any Partner’s interest in the Partnership, the termination of this Agreement and/or the termination, dissolution, liquidation or winding up of the Partnership, and shall remain binding on each Partner for the period of time necessary to resolve with the IRS (or any other applicable taxing authority) all income tax matters relating to the Partnership and for Partners to satisfy their indemnification obligations, if any, pursuant to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Any obligation of a Partner pursuant to this </w:t>
      </w:r>
      <w:r>
        <w:rPr>
          <w:rFonts w:ascii="Times New Roman" w:cs="Times New Roman" w:eastAsia="Times New Roman" w:hAnsi="Times New Roman"/>
          <w:sz w:val="19"/>
          <w:szCs w:val="19"/>
          <w:u w:val="single" w:color="auto"/>
          <w:color w:val="auto"/>
        </w:rPr>
        <w:t>Section 9.3(e)</w:t>
      </w:r>
      <w:r>
        <w:rPr>
          <w:rFonts w:ascii="Times New Roman" w:cs="Times New Roman" w:eastAsia="Times New Roman" w:hAnsi="Times New Roman"/>
          <w:sz w:val="19"/>
          <w:szCs w:val="19"/>
          <w:color w:val="auto"/>
        </w:rPr>
        <w:t xml:space="preserve"> shall be implemented through adjustments to distributions otherwise payable to such Partner as determined in accordance with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at the written request of the Partnership Representative, each Partner or former Partner may be required to contribute to the Partnership such Partner’s Imputed Underpayment Amount imposed on and paid by the Partnership;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 Partner or former Partner individually directly pays, pursuant to the Partnership Audit Procedures, any such Imputed Underpayment Amount, then such payment shall reduce any offset to distribution or required capital contribution of such Partner or former Partner. Any amount withheld from distributions pursuant to this </w:t>
      </w:r>
      <w:r>
        <w:rPr>
          <w:rFonts w:ascii="Times New Roman" w:cs="Times New Roman" w:eastAsia="Times New Roman" w:hAnsi="Times New Roman"/>
          <w:sz w:val="19"/>
          <w:szCs w:val="19"/>
          <w:u w:val="single" w:color="auto"/>
          <w:color w:val="auto"/>
        </w:rPr>
        <w:t>Section 9.3(e)</w:t>
      </w:r>
      <w:r>
        <w:rPr>
          <w:rFonts w:ascii="Times New Roman" w:cs="Times New Roman" w:eastAsia="Times New Roman" w:hAnsi="Times New Roman"/>
          <w:sz w:val="19"/>
          <w:szCs w:val="19"/>
          <w:color w:val="auto"/>
        </w:rPr>
        <w:t xml:space="preserve"> shall be treated as an amount distributed to such Partner or former Partner for all purposes under this Agreement.</w:t>
      </w:r>
    </w:p>
    <w:p>
      <w:pPr>
        <w:spacing w:after="0" w:line="170" w:lineRule="exact"/>
        <w:rPr>
          <w:rFonts w:ascii="Times New Roman" w:cs="Times New Roman" w:eastAsia="Times New Roman" w:hAnsi="Times New Roman"/>
          <w:sz w:val="19"/>
          <w:szCs w:val="19"/>
          <w:color w:val="auto"/>
        </w:rPr>
      </w:pPr>
    </w:p>
    <w:p>
      <w:pPr>
        <w:jc w:val="both"/>
        <w:ind w:firstLine="1278"/>
        <w:spacing w:after="0" w:line="269" w:lineRule="auto"/>
        <w:tabs>
          <w:tab w:leader="none" w:pos="1903"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89" w:right="339" w:bottom="1440" w:gutter="0" w:footer="0" w:header="0"/>
        </w:sectPr>
      </w:pPr>
    </w:p>
    <w:bookmarkStart w:id="167" w:name="page168"/>
    <w:bookmarkEnd w:id="167"/>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have performed its duties in the manner described in the final sentence of this </w:t>
      </w:r>
      <w:r>
        <w:rPr>
          <w:rFonts w:ascii="Times New Roman" w:cs="Times New Roman" w:eastAsia="Times New Roman" w:hAnsi="Times New Roman"/>
          <w:sz w:val="19"/>
          <w:szCs w:val="19"/>
          <w:u w:val="single" w:color="auto"/>
          <w:color w:val="auto"/>
        </w:rPr>
        <w:t>Section 9.3(f)</w:t>
      </w:r>
      <w:r>
        <w:rPr>
          <w:rFonts w:ascii="Times New Roman" w:cs="Times New Roman" w:eastAsia="Times New Roman" w:hAnsi="Times New Roman"/>
          <w:sz w:val="19"/>
          <w:szCs w:val="19"/>
          <w:color w:val="auto"/>
        </w:rPr>
        <w:t xml:space="preserve">),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absent (i) willful breach of any provision of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or (ii) bad faith, fraud, gross negligence or willful misconduct on the part of the Partnership Representative or Designated Individual, as applicable.</w:t>
      </w:r>
    </w:p>
    <w:p>
      <w:pPr>
        <w:spacing w:after="0" w:line="180"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color w:val="auto"/>
        </w:rPr>
        <w:t xml:space="preserve">Section 9.4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xml:space="preserve">. Each Limited Partner hereby authorizes the Partnership to withhold from or pay on behalf of or with respect to such Limited Partner any amount of federal, state, local or foreign taxes that the General Partner determines that the Partnership or any of its affiliates is required to withhold or pay with respect to any amount distributable or allocable to such Limited Partner or with respect to any vesting of such Limited Partner’s Partnership Units pursuant to this Agreement, including any taxes required to be withheld or paid by the Partnership or any of its affiliates pursuant to Code section 1441, Code section 1442, Code section 1445 or Code section 1446 or in connection with vesting of Partnership Class A Common Units under </w:t>
      </w:r>
      <w:r>
        <w:rPr>
          <w:rFonts w:ascii="Times New Roman" w:cs="Times New Roman" w:eastAsia="Times New Roman" w:hAnsi="Times New Roman"/>
          <w:sz w:val="19"/>
          <w:szCs w:val="19"/>
          <w:u w:val="single" w:color="auto"/>
          <w:color w:val="auto"/>
        </w:rPr>
        <w:t>Section 7.9(b)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7.10(b)</w:t>
      </w:r>
      <w:r>
        <w:rPr>
          <w:rFonts w:ascii="Times New Roman" w:cs="Times New Roman" w:eastAsia="Times New Roman" w:hAnsi="Times New Roman"/>
          <w:sz w:val="19"/>
          <w:szCs w:val="19"/>
          <w:color w:val="auto"/>
        </w:rPr>
        <w:t xml:space="preserve">. To the extent any Partnership Class A Common Units are converted into cash in connection with any such withholding, such units shall automatically be cancelled. Any amount paid on behalf of or with respect to a Limited Partner shall constitute a loan by the Partnership to such Limited Partner, which loan shall be repaid by such Limited Partner within fifteen (15) days after notice from the General Partner that such payment must be made unless the Partnership withholds such payment from a distribution that would otherwise be made to the Limited Partner.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In the event that a Limited Partner fails to pay any amounts owed to the Partnership pursuant to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when due, the General Partner may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the right to receive distributions). Any amounts payable by a Limited Partner hereunder shall bear interest at the base rate on corporate loans at large United States money center commercial banks, as published from time to time in the Wall Street Journal, plus four (4) percentage points (but not higher than the maximum lawful rate) from the date such amount is due (i.e., fifteen (15) days after demand) until such amount is paid in full. Each Limited Partner shall take such actions as the Partnership or the General Partner shall request in order to perfect or enforce the security interest created hereunder. Any PTET Payment made by the Partnership and any withholding made by the Partnership with respect to any PTET Deficit shall be governed by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and not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and shall not constitute a loan to any Partner except as provided in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right="20"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9.5 </w:t>
      </w:r>
      <w:r>
        <w:rPr>
          <w:rFonts w:ascii="Times New Roman" w:cs="Times New Roman" w:eastAsia="Times New Roman" w:hAnsi="Times New Roman"/>
          <w:sz w:val="19"/>
          <w:szCs w:val="19"/>
          <w:u w:val="single" w:color="auto"/>
          <w:color w:val="auto"/>
        </w:rPr>
        <w:t>Organizational Expenses</w:t>
      </w:r>
      <w:r>
        <w:rPr>
          <w:rFonts w:ascii="Times New Roman" w:cs="Times New Roman" w:eastAsia="Times New Roman" w:hAnsi="Times New Roman"/>
          <w:sz w:val="19"/>
          <w:szCs w:val="19"/>
          <w:color w:val="auto"/>
        </w:rPr>
        <w:t>. The General Partner may cause the Partnership to elect to deduct expenses, if any, incurred by it in organizing the Partnership ratably over a 180-month period as provided in Code section 709.</w:t>
      </w:r>
    </w:p>
    <w:p>
      <w:pPr>
        <w:spacing w:after="0" w:line="130"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9.6</w:t>
      </w:r>
      <w:r>
        <w:rPr>
          <w:sz w:val="20"/>
          <w:szCs w:val="20"/>
          <w:color w:val="auto"/>
        </w:rPr>
        <w:tab/>
      </w:r>
      <w:r>
        <w:rPr>
          <w:rFonts w:ascii="Times New Roman" w:cs="Times New Roman" w:eastAsia="Times New Roman" w:hAnsi="Times New Roman"/>
          <w:sz w:val="19"/>
          <w:szCs w:val="19"/>
          <w:u w:val="single" w:color="auto"/>
          <w:color w:val="auto"/>
        </w:rPr>
        <w:t>PTET Election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89" w:right="339" w:bottom="1440" w:gutter="0" w:footer="0" w:header="0"/>
        </w:sectPr>
      </w:pPr>
    </w:p>
    <w:bookmarkStart w:id="168" w:name="page169"/>
    <w:bookmarkEnd w:id="168"/>
    <w:p>
      <w:pPr>
        <w:jc w:val="both"/>
        <w:ind w:firstLine="1278"/>
        <w:spacing w:after="0" w:line="259" w:lineRule="auto"/>
        <w:tabs>
          <w:tab w:leader="none" w:pos="189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is hereby authorized to make or cause to be made the elections described in (i) New York Tax Law Section 861 with respect to 2022 and any subsequent taxable year of the Partnership (a “</w:t>
      </w:r>
      <w:r>
        <w:rPr>
          <w:rFonts w:ascii="Times New Roman" w:cs="Times New Roman" w:eastAsia="Times New Roman" w:hAnsi="Times New Roman"/>
          <w:sz w:val="19"/>
          <w:szCs w:val="19"/>
          <w:u w:val="single" w:color="auto"/>
          <w:color w:val="auto"/>
        </w:rPr>
        <w:t>New York PTET Election</w:t>
      </w:r>
      <w:r>
        <w:rPr>
          <w:rFonts w:ascii="Times New Roman" w:cs="Times New Roman" w:eastAsia="Times New Roman" w:hAnsi="Times New Roman"/>
          <w:sz w:val="19"/>
          <w:szCs w:val="19"/>
          <w:color w:val="auto"/>
        </w:rPr>
        <w:t>”), (ii) Colorado Revised Statutes, 39-22-343 with respect to 2022 and any subsequent taxable year of the Partnership (a “</w:t>
      </w:r>
      <w:r>
        <w:rPr>
          <w:rFonts w:ascii="Times New Roman" w:cs="Times New Roman" w:eastAsia="Times New Roman" w:hAnsi="Times New Roman"/>
          <w:sz w:val="19"/>
          <w:szCs w:val="19"/>
          <w:u w:val="single" w:color="auto"/>
          <w:color w:val="auto"/>
        </w:rPr>
        <w:t>Colorado PTET Election</w:t>
      </w:r>
      <w:r>
        <w:rPr>
          <w:rFonts w:ascii="Times New Roman" w:cs="Times New Roman" w:eastAsia="Times New Roman" w:hAnsi="Times New Roman"/>
          <w:sz w:val="19"/>
          <w:szCs w:val="19"/>
          <w:color w:val="auto"/>
        </w:rPr>
        <w:t>”) and (iii) any other analogous provisions of any other cities’ or states’ laws (an “</w:t>
      </w:r>
      <w:r>
        <w:rPr>
          <w:rFonts w:ascii="Times New Roman" w:cs="Times New Roman" w:eastAsia="Times New Roman" w:hAnsi="Times New Roman"/>
          <w:sz w:val="19"/>
          <w:szCs w:val="19"/>
          <w:u w:val="single" w:color="auto"/>
          <w:color w:val="auto"/>
        </w:rPr>
        <w:t>Other PTET Election</w:t>
      </w:r>
      <w:r>
        <w:rPr>
          <w:rFonts w:ascii="Times New Roman" w:cs="Times New Roman" w:eastAsia="Times New Roman" w:hAnsi="Times New Roman"/>
          <w:sz w:val="19"/>
          <w:szCs w:val="19"/>
          <w:color w:val="auto"/>
        </w:rPr>
        <w:t>,” and together with the New York PTET Election and the Colorado PTET Election, the “</w:t>
      </w:r>
      <w:r>
        <w:rPr>
          <w:rFonts w:ascii="Times New Roman" w:cs="Times New Roman" w:eastAsia="Times New Roman" w:hAnsi="Times New Roman"/>
          <w:sz w:val="19"/>
          <w:szCs w:val="19"/>
          <w:u w:val="single" w:color="auto"/>
          <w:color w:val="auto"/>
        </w:rPr>
        <w:t>PTET Elections</w:t>
      </w:r>
      <w:r>
        <w:rPr>
          <w:rFonts w:ascii="Times New Roman" w:cs="Times New Roman" w:eastAsia="Times New Roman" w:hAnsi="Times New Roman"/>
          <w:sz w:val="19"/>
          <w:szCs w:val="19"/>
          <w:color w:val="auto"/>
        </w:rPr>
        <w:t>”). With respect to (i) any taxable year in which a New York PTET Election has been or will be made (a “</w:t>
      </w:r>
      <w:r>
        <w:rPr>
          <w:rFonts w:ascii="Times New Roman" w:cs="Times New Roman" w:eastAsia="Times New Roman" w:hAnsi="Times New Roman"/>
          <w:sz w:val="19"/>
          <w:szCs w:val="19"/>
          <w:u w:val="single" w:color="auto"/>
          <w:color w:val="auto"/>
        </w:rPr>
        <w:t>New York PTET Year</w:t>
      </w:r>
      <w:r>
        <w:rPr>
          <w:rFonts w:ascii="Times New Roman" w:cs="Times New Roman" w:eastAsia="Times New Roman" w:hAnsi="Times New Roman"/>
          <w:sz w:val="19"/>
          <w:szCs w:val="19"/>
          <w:color w:val="auto"/>
        </w:rPr>
        <w:t>”), it is intended that each eligible Partner receive its applicable credit against New York tax described in New York Tax Law Section 606(kkk) (a “</w:t>
      </w:r>
      <w:r>
        <w:rPr>
          <w:rFonts w:ascii="Times New Roman" w:cs="Times New Roman" w:eastAsia="Times New Roman" w:hAnsi="Times New Roman"/>
          <w:sz w:val="19"/>
          <w:szCs w:val="19"/>
          <w:u w:val="single" w:color="auto"/>
          <w:color w:val="auto"/>
        </w:rPr>
        <w:t>New York PTET Credit</w:t>
      </w:r>
      <w:r>
        <w:rPr>
          <w:rFonts w:ascii="Times New Roman" w:cs="Times New Roman" w:eastAsia="Times New Roman" w:hAnsi="Times New Roman"/>
          <w:sz w:val="19"/>
          <w:szCs w:val="19"/>
          <w:color w:val="auto"/>
        </w:rPr>
        <w:t>”), (ii) any taxable year in which a Colorado PTET Election has been or will be made (a “</w:t>
      </w:r>
      <w:r>
        <w:rPr>
          <w:rFonts w:ascii="Times New Roman" w:cs="Times New Roman" w:eastAsia="Times New Roman" w:hAnsi="Times New Roman"/>
          <w:sz w:val="19"/>
          <w:szCs w:val="19"/>
          <w:u w:val="single" w:color="auto"/>
          <w:color w:val="auto"/>
        </w:rPr>
        <w:t>Colorado PTET Year</w:t>
      </w:r>
      <w:r>
        <w:rPr>
          <w:rFonts w:ascii="Times New Roman" w:cs="Times New Roman" w:eastAsia="Times New Roman" w:hAnsi="Times New Roman"/>
          <w:sz w:val="19"/>
          <w:szCs w:val="19"/>
          <w:color w:val="auto"/>
        </w:rPr>
        <w:t>”), it is intended that each eligible Partner exclude its distributive share of the Partnership’s income from its Colorado income as described in Colorado Revised Statutes, 39-22-345 (a “</w:t>
      </w:r>
      <w:r>
        <w:rPr>
          <w:rFonts w:ascii="Times New Roman" w:cs="Times New Roman" w:eastAsia="Times New Roman" w:hAnsi="Times New Roman"/>
          <w:sz w:val="19"/>
          <w:szCs w:val="19"/>
          <w:u w:val="single" w:color="auto"/>
          <w:color w:val="auto"/>
        </w:rPr>
        <w:t>Colorado PTET Exclusion</w:t>
      </w:r>
      <w:r>
        <w:rPr>
          <w:rFonts w:ascii="Times New Roman" w:cs="Times New Roman" w:eastAsia="Times New Roman" w:hAnsi="Times New Roman"/>
          <w:sz w:val="19"/>
          <w:szCs w:val="19"/>
          <w:color w:val="auto"/>
        </w:rPr>
        <w:t>”) and (iii) any taxable year in which an Other PTET Election has been made (an “</w:t>
      </w:r>
      <w:r>
        <w:rPr>
          <w:rFonts w:ascii="Times New Roman" w:cs="Times New Roman" w:eastAsia="Times New Roman" w:hAnsi="Times New Roman"/>
          <w:sz w:val="19"/>
          <w:szCs w:val="19"/>
          <w:u w:val="single" w:color="auto"/>
          <w:color w:val="auto"/>
        </w:rPr>
        <w:t>Other PTET Year</w:t>
      </w:r>
      <w:r>
        <w:rPr>
          <w:rFonts w:ascii="Times New Roman" w:cs="Times New Roman" w:eastAsia="Times New Roman" w:hAnsi="Times New Roman"/>
          <w:sz w:val="19"/>
          <w:szCs w:val="19"/>
          <w:color w:val="auto"/>
        </w:rPr>
        <w:t>,” and together with the New York PTET Year and Colorado PTET Year, the “</w:t>
      </w:r>
      <w:r>
        <w:rPr>
          <w:rFonts w:ascii="Times New Roman" w:cs="Times New Roman" w:eastAsia="Times New Roman" w:hAnsi="Times New Roman"/>
          <w:sz w:val="19"/>
          <w:szCs w:val="19"/>
          <w:u w:val="single" w:color="auto"/>
          <w:color w:val="auto"/>
        </w:rPr>
        <w:t>PTET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Year</w:t>
      </w:r>
      <w:r>
        <w:rPr>
          <w:rFonts w:ascii="Times New Roman" w:cs="Times New Roman" w:eastAsia="Times New Roman" w:hAnsi="Times New Roman"/>
          <w:sz w:val="19"/>
          <w:szCs w:val="19"/>
          <w:color w:val="auto"/>
        </w:rPr>
        <w:t>”), it is intended that each eligible Partner receive its share of any analogous credits or exclusions under such city’s or state’s laws (an “</w:t>
      </w:r>
      <w:r>
        <w:rPr>
          <w:rFonts w:ascii="Times New Roman" w:cs="Times New Roman" w:eastAsia="Times New Roman" w:hAnsi="Times New Roman"/>
          <w:sz w:val="19"/>
          <w:szCs w:val="19"/>
          <w:u w:val="single" w:color="auto"/>
          <w:color w:val="auto"/>
        </w:rPr>
        <w:t>Other PTET Credit</w:t>
      </w:r>
      <w:r>
        <w:rPr>
          <w:rFonts w:ascii="Times New Roman" w:cs="Times New Roman" w:eastAsia="Times New Roman" w:hAnsi="Times New Roman"/>
          <w:sz w:val="19"/>
          <w:szCs w:val="19"/>
          <w:color w:val="auto"/>
        </w:rPr>
        <w:t>,” and together with the New York PTET Credit and the Colorado PTET Exclusion, a “</w:t>
      </w:r>
      <w:r>
        <w:rPr>
          <w:rFonts w:ascii="Times New Roman" w:cs="Times New Roman" w:eastAsia="Times New Roman" w:hAnsi="Times New Roman"/>
          <w:sz w:val="19"/>
          <w:szCs w:val="19"/>
          <w:u w:val="single" w:color="auto"/>
          <w:color w:val="auto"/>
        </w:rPr>
        <w:t>PTET Credit</w:t>
      </w:r>
      <w:r>
        <w:rPr>
          <w:rFonts w:ascii="Times New Roman" w:cs="Times New Roman" w:eastAsia="Times New Roman" w:hAnsi="Times New Roman"/>
          <w:sz w:val="19"/>
          <w:szCs w:val="19"/>
          <w:color w:val="auto"/>
        </w:rPr>
        <w:t xml:space="preserve">”), and, to the maximum extent possible,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shall be interpreted and applied in a manner so as to achieve the intended results described in this sentence. Any state in which a PTET Election has been made shall be an “</w:t>
      </w:r>
      <w:r>
        <w:rPr>
          <w:rFonts w:ascii="Times New Roman" w:cs="Times New Roman" w:eastAsia="Times New Roman" w:hAnsi="Times New Roman"/>
          <w:sz w:val="19"/>
          <w:szCs w:val="19"/>
          <w:u w:val="single" w:color="auto"/>
          <w:color w:val="auto"/>
        </w:rPr>
        <w:t>Applicable State</w:t>
      </w:r>
      <w:r>
        <w:rPr>
          <w:rFonts w:ascii="Times New Roman" w:cs="Times New Roman" w:eastAsia="Times New Roman" w:hAnsi="Times New Roman"/>
          <w:sz w:val="19"/>
          <w:szCs w:val="19"/>
          <w:color w:val="auto"/>
        </w:rPr>
        <w:t>” for purposes of this Agreement.</w:t>
      </w:r>
    </w:p>
    <w:p>
      <w:pPr>
        <w:spacing w:after="0" w:line="170" w:lineRule="exact"/>
        <w:rPr>
          <w:rFonts w:ascii="Times New Roman" w:cs="Times New Roman" w:eastAsia="Times New Roman" w:hAnsi="Times New Roman"/>
          <w:sz w:val="19"/>
          <w:szCs w:val="19"/>
          <w:color w:val="auto"/>
        </w:rPr>
      </w:pPr>
    </w:p>
    <w:p>
      <w:pPr>
        <w:jc w:val="both"/>
        <w:ind w:firstLine="1278"/>
        <w:spacing w:after="0" w:line="267" w:lineRule="auto"/>
        <w:tabs>
          <w:tab w:leader="none" w:pos="189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is hereby authorized to pay (i) with respect to any New York PTET Year, any tax imposed by New York Tax Law Section 862 (“</w:t>
      </w:r>
      <w:r>
        <w:rPr>
          <w:rFonts w:ascii="Times New Roman" w:cs="Times New Roman" w:eastAsia="Times New Roman" w:hAnsi="Times New Roman"/>
          <w:sz w:val="19"/>
          <w:szCs w:val="19"/>
          <w:u w:val="single" w:color="auto"/>
          <w:color w:val="auto"/>
        </w:rPr>
        <w:t>New York PTET</w:t>
      </w:r>
      <w:r>
        <w:rPr>
          <w:rFonts w:ascii="Times New Roman" w:cs="Times New Roman" w:eastAsia="Times New Roman" w:hAnsi="Times New Roman"/>
          <w:sz w:val="19"/>
          <w:szCs w:val="19"/>
          <w:color w:val="auto"/>
        </w:rPr>
        <w:t>”) and any estimates thereof (together, “</w:t>
      </w:r>
      <w:r>
        <w:rPr>
          <w:rFonts w:ascii="Times New Roman" w:cs="Times New Roman" w:eastAsia="Times New Roman" w:hAnsi="Times New Roman"/>
          <w:sz w:val="19"/>
          <w:szCs w:val="19"/>
          <w:u w:val="single" w:color="auto"/>
          <w:color w:val="auto"/>
        </w:rPr>
        <w:t>New York PTET Payments</w:t>
      </w:r>
      <w:r>
        <w:rPr>
          <w:rFonts w:ascii="Times New Roman" w:cs="Times New Roman" w:eastAsia="Times New Roman" w:hAnsi="Times New Roman"/>
          <w:sz w:val="19"/>
          <w:szCs w:val="19"/>
          <w:color w:val="auto"/>
        </w:rPr>
        <w:t>”), (ii) with respect to any Colorado PTET Year, any tax imposed by Colorado Revised Statutes, 39-22-344 (“</w:t>
      </w:r>
      <w:r>
        <w:rPr>
          <w:rFonts w:ascii="Times New Roman" w:cs="Times New Roman" w:eastAsia="Times New Roman" w:hAnsi="Times New Roman"/>
          <w:sz w:val="19"/>
          <w:szCs w:val="19"/>
          <w:u w:val="single" w:color="auto"/>
          <w:color w:val="auto"/>
        </w:rPr>
        <w:t>Colorado PTET</w:t>
      </w:r>
      <w:r>
        <w:rPr>
          <w:rFonts w:ascii="Times New Roman" w:cs="Times New Roman" w:eastAsia="Times New Roman" w:hAnsi="Times New Roman"/>
          <w:sz w:val="19"/>
          <w:szCs w:val="19"/>
          <w:color w:val="auto"/>
        </w:rPr>
        <w:t>”) and any estimates thereof ( “</w:t>
      </w:r>
      <w:r>
        <w:rPr>
          <w:rFonts w:ascii="Times New Roman" w:cs="Times New Roman" w:eastAsia="Times New Roman" w:hAnsi="Times New Roman"/>
          <w:sz w:val="19"/>
          <w:szCs w:val="19"/>
          <w:u w:val="single" w:color="auto"/>
          <w:color w:val="auto"/>
        </w:rPr>
        <w:t>Colorado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PTET Payments</w:t>
      </w:r>
      <w:r>
        <w:rPr>
          <w:rFonts w:ascii="Times New Roman" w:cs="Times New Roman" w:eastAsia="Times New Roman" w:hAnsi="Times New Roman"/>
          <w:sz w:val="19"/>
          <w:szCs w:val="19"/>
          <w:color w:val="auto"/>
        </w:rPr>
        <w:t>”) and (iii) with respect to any Other PTET Year, any analogous tax payment or estimated tax payment (“</w:t>
      </w:r>
      <w:r>
        <w:rPr>
          <w:rFonts w:ascii="Times New Roman" w:cs="Times New Roman" w:eastAsia="Times New Roman" w:hAnsi="Times New Roman"/>
          <w:sz w:val="19"/>
          <w:szCs w:val="19"/>
          <w:u w:val="single" w:color="auto"/>
          <w:color w:val="auto"/>
        </w:rPr>
        <w:t>Other PTET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and together with the New York PTET Payments and the Colorado PTET Payments, “</w:t>
      </w:r>
      <w:r>
        <w:rPr>
          <w:rFonts w:ascii="Times New Roman" w:cs="Times New Roman" w:eastAsia="Times New Roman" w:hAnsi="Times New Roman"/>
          <w:sz w:val="19"/>
          <w:szCs w:val="19"/>
          <w:u w:val="single" w:color="auto"/>
          <w:color w:val="auto"/>
        </w:rPr>
        <w:t>PTET Payments</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Partner has a PTET Deficit at any time, or if the General Partner determines in its sole discretion that such Partner may have a PTET Deficit in the future in whole or in part as the result of any amount otherwise distributable or allocable to such Partner or with respect to any vesting of such Partner’s Partnership Units pursuant to this Agreement, the Partnership may withhold from any amounts payable pursuant to this Agreement an amount necessary to eliminate such PTET Deficit. Any amounts withheld pursuant to the foregoing shall be treated as having been paid to such Partner for all other purposes of this Agreement. To the extent any Partnership Class A Common Units are converted into cash in connection with any such withholding, such units shall automatically be cancelled. “</w:t>
      </w:r>
      <w:r>
        <w:rPr>
          <w:rFonts w:ascii="Times New Roman" w:cs="Times New Roman" w:eastAsia="Times New Roman" w:hAnsi="Times New Roman"/>
          <w:sz w:val="19"/>
          <w:szCs w:val="19"/>
          <w:u w:val="single" w:color="auto"/>
          <w:color w:val="auto"/>
        </w:rPr>
        <w:t>PTET Deficit</w:t>
      </w:r>
      <w:r>
        <w:rPr>
          <w:rFonts w:ascii="Times New Roman" w:cs="Times New Roman" w:eastAsia="Times New Roman" w:hAnsi="Times New Roman"/>
          <w:sz w:val="19"/>
          <w:szCs w:val="19"/>
          <w:color w:val="auto"/>
        </w:rPr>
        <w:t xml:space="preserve">” with respect to a Partner means, as determined for any Applicable State, the aggregate amount of all PTET Payments made by the Partnership with respect to tax liabilities in such Applicable State multiplied, in each case, by the PTET Share of the Partner for the PTET Year of the applicable PTET Payment in such Applicable State, less any amounts previously withheld from such Partner with respect to the Applicable State pursuant to this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 A Partner’s “</w:t>
      </w:r>
      <w:r>
        <w:rPr>
          <w:rFonts w:ascii="Times New Roman" w:cs="Times New Roman" w:eastAsia="Times New Roman" w:hAnsi="Times New Roman"/>
          <w:sz w:val="19"/>
          <w:szCs w:val="19"/>
          <w:u w:val="single" w:color="auto"/>
          <w:color w:val="auto"/>
        </w:rPr>
        <w:t>PTET Share</w:t>
      </w:r>
      <w:r>
        <w:rPr>
          <w:rFonts w:ascii="Times New Roman" w:cs="Times New Roman" w:eastAsia="Times New Roman" w:hAnsi="Times New Roman"/>
          <w:sz w:val="19"/>
          <w:szCs w:val="19"/>
          <w:color w:val="auto"/>
        </w:rPr>
        <w:t xml:space="preserve">” for any PTET Year shall be equal to the quotient of (i) such Partner’s PTET Credit for such PTET Year in the Applicable State and (ii) the PTET Payments for such PTET Year in the Applicable State, as reasonably determined by the General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PTET Credit or PTET Payment for such PTET Year has not been determined at the time a Partner’s PTET Share must be calculated for purposes of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the General Partner shall reasonably estimate such PTET Share with respect to any Applicable State. Notwithstanding anything in this Agreement to the contrary, any amounts withheld pursuant to this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 xml:space="preserve"> shall be governed by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and not by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389" w:right="339" w:bottom="1440" w:gutter="0" w:footer="0" w:header="0"/>
        </w:sectPr>
      </w:pPr>
    </w:p>
    <w:bookmarkStart w:id="169" w:name="page170"/>
    <w:bookmarkEnd w:id="169"/>
    <w:p>
      <w:pPr>
        <w:jc w:val="both"/>
        <w:ind w:firstLine="1278"/>
        <w:spacing w:after="0" w:line="261" w:lineRule="auto"/>
        <w:tabs>
          <w:tab w:leader="none" w:pos="1896"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pursuant to an exercise of its rights to effect a redemption of its Partnership Units pursuant to an Exchange under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and/or pursuant to any other redemption, repurchase or conversion right with respect to any Partnership Units held by a Partner, or the distribution or allocation of any other amount to such Partner pursuant to terms of this Agreement, such Partner would have a PTET Deficit in excess of ten percent (10%) of the aggregate value of the Partnership Units held by such Partner after such exercise, distribution or allocation (the amount of such excess, the “</w:t>
      </w:r>
      <w:r>
        <w:rPr>
          <w:rFonts w:ascii="Times New Roman" w:cs="Times New Roman" w:eastAsia="Times New Roman" w:hAnsi="Times New Roman"/>
          <w:sz w:val="19"/>
          <w:szCs w:val="19"/>
          <w:u w:val="single" w:color="auto"/>
          <w:color w:val="auto"/>
        </w:rPr>
        <w:t>Excess PTET Deficit</w:t>
      </w:r>
      <w:r>
        <w:rPr>
          <w:rFonts w:ascii="Times New Roman" w:cs="Times New Roman" w:eastAsia="Times New Roman" w:hAnsi="Times New Roman"/>
          <w:sz w:val="19"/>
          <w:szCs w:val="19"/>
          <w:color w:val="auto"/>
        </w:rPr>
        <w:t>”), (i) the Cash Amount, Stock Amount or such other amount to which such Partner would otherwise be entitled pursuant to such exercise, distribution or allocation shall be reduced by the Excess PTET Deficit and (ii) such Partner’s PTET Deficit shall be reduced by the Excess PTET Deficit. If such reduction is taken in Class A Shares, the reduction to the Excess PTET Deficit described in clause (ii) of the preceding sentence shall be based on the amount of cash or the fair market value of Class A Shares that would otherwise have been received by the Partner in respect of such Partnership Units.</w:t>
      </w:r>
    </w:p>
    <w:p>
      <w:pPr>
        <w:spacing w:after="0" w:line="167"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8"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provision to the contrary in this Agreement, to the extent any gross items of income, loss, credit or deduction arise from a PTET Payment in any taxable year, (i) gross items of income, loss, credit or deduction shall be specially allocated to the Partners holding Partnership Class A-3 Common Units, so as to ensure that no such Partner is adversely affected in any material respect by such PTET Payment, including, for example, by reducing the guaranteed payment payable and increasing the amount of income allocable to each such Partner, in each case, by the amount of additional distributions such Partners would have received under the Agreement absent the applicable PTET Elections, and (ii) gross items of loss or deduction that arise from a PTET Payment shall be specially allocated pro rata to each Partner in accordance with their PTET Share to Partnership Units in accordance with the relative PTET Shares of the Partners for such taxable year. To the extent the General Partner makes or causes to be made any PTET Elections and PTET Payments and determines, from time to time in its reasonable discretion, that any Partner has been adversely affected in any material respect by the amendment and restatement of the Fifth A&amp;R Professionals LPA on March 14, 2022 or by the adoption of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on April 1, 2024 (each such Partner, an “</w:t>
      </w:r>
      <w:r>
        <w:rPr>
          <w:rFonts w:ascii="Times New Roman" w:cs="Times New Roman" w:eastAsia="Times New Roman" w:hAnsi="Times New Roman"/>
          <w:sz w:val="19"/>
          <w:szCs w:val="19"/>
          <w:u w:val="single" w:color="auto"/>
          <w:color w:val="auto"/>
        </w:rPr>
        <w:t>Affected Partner</w:t>
      </w:r>
      <w:r>
        <w:rPr>
          <w:rFonts w:ascii="Times New Roman" w:cs="Times New Roman" w:eastAsia="Times New Roman" w:hAnsi="Times New Roman"/>
          <w:sz w:val="19"/>
          <w:szCs w:val="19"/>
          <w:color w:val="auto"/>
        </w:rPr>
        <w:t xml:space="preserve">”), the General Partner shall allocate Net Income and Net Loss, or make payments or distributions to the Affected Partner, such that any Affected Partners are not adversely affected in any material respect by the amendment and restatement of this Agreement on April 1, 2024, at the expense of Partners benefited by such amendment and restatement. Except as set forth in this </w:t>
      </w:r>
      <w:r>
        <w:rPr>
          <w:rFonts w:ascii="Times New Roman" w:cs="Times New Roman" w:eastAsia="Times New Roman" w:hAnsi="Times New Roman"/>
          <w:sz w:val="19"/>
          <w:szCs w:val="19"/>
          <w:u w:val="single" w:color="auto"/>
          <w:color w:val="auto"/>
        </w:rPr>
        <w:t>Section 9.6(e)</w:t>
      </w:r>
      <w:r>
        <w:rPr>
          <w:rFonts w:ascii="Times New Roman" w:cs="Times New Roman" w:eastAsia="Times New Roman" w:hAnsi="Times New Roman"/>
          <w:sz w:val="19"/>
          <w:szCs w:val="19"/>
          <w:color w:val="auto"/>
        </w:rPr>
        <w:t>, all Net Income and Net Loss of the Partnership (including any gross items thereof) shall be allocated to the Partners without regard to the allocations, payments, and distributions described in the preceding two sentences and as if such allocations, payments, and distributions had not been made.</w:t>
      </w:r>
    </w:p>
    <w:p>
      <w:pPr>
        <w:spacing w:after="0" w:line="173" w:lineRule="exact"/>
        <w:rPr>
          <w:rFonts w:ascii="Times New Roman" w:cs="Times New Roman" w:eastAsia="Times New Roman" w:hAnsi="Times New Roman"/>
          <w:sz w:val="19"/>
          <w:szCs w:val="19"/>
          <w:color w:val="auto"/>
        </w:rPr>
      </w:pPr>
    </w:p>
    <w:p>
      <w:pPr>
        <w:jc w:val="both"/>
        <w:ind w:firstLine="1278"/>
        <w:spacing w:after="0" w:line="267" w:lineRule="auto"/>
        <w:tabs>
          <w:tab w:leader="none" w:pos="1903"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intent of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is to allocate the PTET Payment to the Partners in proportion to their share of the underlying tax liability such that each Partner bears the cost (and receives the PTET Credit) with respect to the PTET Payments made with respect to its share of the Partnership’s income, and the provisions of this amendment shall be interpreted consistently with such intent. The General Partner is hereby authorized, in its reasonable discretion, to adjust the allocations and distributions under the Agreement to accomplish the intent described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 xml:space="preserve"> and this </w:t>
      </w:r>
      <w:r>
        <w:rPr>
          <w:rFonts w:ascii="Times New Roman" w:cs="Times New Roman" w:eastAsia="Times New Roman" w:hAnsi="Times New Roman"/>
          <w:sz w:val="19"/>
          <w:szCs w:val="19"/>
          <w:u w:val="single" w:color="auto"/>
          <w:color w:val="auto"/>
        </w:rPr>
        <w:t>Section 9.6(f)</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89" w:right="339" w:bottom="1440" w:gutter="0" w:footer="0" w:header="0"/>
        </w:sectPr>
      </w:pPr>
    </w:p>
    <w:bookmarkStart w:id="170" w:name="page171"/>
    <w:bookmarkEnd w:id="170"/>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Article X</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PARTNER TRANSFERS AND WITHDRAWALS</w:t>
      </w:r>
    </w:p>
    <w:p>
      <w:pPr>
        <w:spacing w:after="0" w:line="23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94" w:lineRule="auto"/>
        <w:tabs>
          <w:tab w:leader="none" w:pos="1898"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378"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Partnership Interest shall be Transferred, in whole or in part, except in accordance with the terms and conditions set forth in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Any Transfer or purported Transfer of a Partnership Interest not made in accordance with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shall be null and void </w:t>
      </w:r>
      <w:r>
        <w:rPr>
          <w:rFonts w:ascii="Times New Roman" w:cs="Times New Roman" w:eastAsia="Times New Roman" w:hAnsi="Times New Roman"/>
          <w:sz w:val="19"/>
          <w:szCs w:val="19"/>
          <w:u w:val="single" w:color="auto"/>
          <w:color w:val="auto"/>
        </w:rPr>
        <w:t>ab initio</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firstLine="1278"/>
        <w:spacing w:after="0" w:line="263" w:lineRule="auto"/>
        <w:tabs>
          <w:tab w:leader="none" w:pos="1898"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Transfer of any Partnership Interest may be made to a lender to the Partnership or any Person who is related (within the meaning of Regulations section 1.752-4(b)) to any lender to the Partnership whose loan constitutes a Nonrecourse Liability, without the consent of the General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as a condition to such consent, the lender will be required to enter into an arrangement with the Partnership and the General Partner to redeem or exchange for the Stock Amount any Partnership Units in which a security interest is held by such lender immediately before the time at which such lender would be deemed to be a partner in the Partnership for purposes of allocating liabilities to such lender under Code section 752.</w:t>
      </w:r>
    </w:p>
    <w:p>
      <w:pPr>
        <w:spacing w:after="0" w:line="18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u w:val="single" w:color="auto"/>
          <w:color w:val="auto"/>
        </w:rPr>
        <w:t>Transfer of General Partner’s Partnership Interest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firstLine="1278"/>
        <w:spacing w:after="0" w:line="300" w:lineRule="auto"/>
        <w:tabs>
          <w:tab w:leader="none" w:pos="1898"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and subject to the rights of any Holder set forth in a Partnership Unit Designation, the General Partner may not Transfer all or any portion of its Partnership Interest without the Consent of the Partners.</w:t>
      </w:r>
    </w:p>
    <w:p>
      <w:pPr>
        <w:spacing w:after="0" w:line="129"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compliance with the other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the General Partner may Transfer all of its Partnership Interest at any time to the Special Limited Partner or any Person that is, at the time of such Transfer, a direct or indirect wholly owned Subsidiary of the Special Limited Partner without the Consent of any Partner, and may designate the transferee to become the new General Partner under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8"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General Partner may not voluntarily withdraw as a general partner of the Partnership without the consent of the Special Limited Partner, except in connection with a Transfer of the General Partner’s entire Partnership Interest permitted in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and the admission of the transferee as a successor General Partner of the Partnership pursuant to the Act and this Agreement.</w:t>
      </w:r>
    </w:p>
    <w:p>
      <w:pPr>
        <w:spacing w:after="0" w:line="155" w:lineRule="exact"/>
        <w:rPr>
          <w:rFonts w:ascii="Times New Roman" w:cs="Times New Roman" w:eastAsia="Times New Roman" w:hAnsi="Times New Roman"/>
          <w:sz w:val="19"/>
          <w:szCs w:val="19"/>
          <w:color w:val="auto"/>
        </w:rPr>
      </w:pPr>
    </w:p>
    <w:p>
      <w:pPr>
        <w:jc w:val="both"/>
        <w:ind w:firstLine="1278"/>
        <w:spacing w:after="0" w:line="270" w:lineRule="auto"/>
        <w:tabs>
          <w:tab w:leader="none" w:pos="1896"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 condition to any Transfer of the entire Partnership Interest of a sole General Partner otherwise permitted hereunder that (i) coincident or prior to such Transfer, the transferee is admitted as a General Partner pursuant to the Act and this Agreement;</w:t>
      </w:r>
    </w:p>
    <w:p>
      <w:pPr>
        <w:jc w:val="both"/>
        <w:ind w:firstLine="6"/>
        <w:spacing w:after="0" w:line="259" w:lineRule="auto"/>
        <w:tabs>
          <w:tab w:leader="none" w:pos="32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transferee assumes by operation of law or express agreement all of the obligations of the transferor General Partner under this Agreement with respect to such Transferred Partnership Interest; and (iii) the transferee has executed such instruments as may be necessary to effectuate such admission and to confirm the agreement of such transferee to be bound by all the terms and provisions of this Agreement applicable to the General Partner and the admission of such transferee as a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85" w:right="339" w:bottom="1440" w:gutter="0" w:footer="0" w:header="0"/>
        </w:sectPr>
      </w:pPr>
    </w:p>
    <w:bookmarkStart w:id="171" w:name="page172"/>
    <w:bookmarkEnd w:id="171"/>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9"/>
          <w:szCs w:val="19"/>
          <w:u w:val="single" w:color="auto"/>
          <w:color w:val="auto"/>
        </w:rPr>
        <w:t>Limited Partners’ Rights to Transfer</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4" w:lineRule="auto"/>
        <w:tabs>
          <w:tab w:leader="none" w:pos="1898"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Transfers of Other Partnership Units</w:t>
      </w:r>
      <w:r>
        <w:rPr>
          <w:rFonts w:ascii="Times New Roman" w:cs="Times New Roman" w:eastAsia="Times New Roman" w:hAnsi="Times New Roman"/>
          <w:sz w:val="19"/>
          <w:szCs w:val="19"/>
          <w:color w:val="auto"/>
        </w:rPr>
        <w:t xml:space="preserve">. Except as provided below, no Holder may Transfer any Other Partnership Unit without the consent of the General Partner. Notwithstanding the foregoing, any Holder may, at any time, without the consent of the General Partner, Transfer all or any portion of its Other Partnership Units pursuant to a Permitted Transfer (including, in the case of a Holder that is a Permitted Lender Transferee, any Transfer of a Partnership Interest to a Third-Party Pledge Transferee). Any Transfer by a Holder pursuant to this </w:t>
      </w:r>
      <w:r>
        <w:rPr>
          <w:rFonts w:ascii="Times New Roman" w:cs="Times New Roman" w:eastAsia="Times New Roman" w:hAnsi="Times New Roman"/>
          <w:sz w:val="19"/>
          <w:szCs w:val="19"/>
          <w:u w:val="single" w:color="auto"/>
          <w:color w:val="auto"/>
        </w:rPr>
        <w:t>Section 10.3(a)</w:t>
      </w:r>
      <w:r>
        <w:rPr>
          <w:rFonts w:ascii="Times New Roman" w:cs="Times New Roman" w:eastAsia="Times New Roman" w:hAnsi="Times New Roman"/>
          <w:sz w:val="19"/>
          <w:szCs w:val="19"/>
          <w:color w:val="auto"/>
        </w:rPr>
        <w:t xml:space="preserve"> is subject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to satisfaction of the following conditions:</w:t>
      </w:r>
    </w:p>
    <w:p>
      <w:pPr>
        <w:spacing w:after="0" w:line="176" w:lineRule="exact"/>
        <w:rPr>
          <w:rFonts w:ascii="Times New Roman" w:cs="Times New Roman" w:eastAsia="Times New Roman" w:hAnsi="Times New Roman"/>
          <w:sz w:val="19"/>
          <w:szCs w:val="19"/>
          <w:color w:val="auto"/>
        </w:rPr>
      </w:pPr>
    </w:p>
    <w:p>
      <w:pPr>
        <w:jc w:val="both"/>
        <w:ind w:left="640" w:firstLine="1274"/>
        <w:spacing w:after="0" w:line="258" w:lineRule="auto"/>
        <w:tabs>
          <w:tab w:leader="none" w:pos="2546"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First Refusal</w:t>
      </w:r>
      <w:r>
        <w:rPr>
          <w:rFonts w:ascii="Times New Roman" w:cs="Times New Roman" w:eastAsia="Times New Roman" w:hAnsi="Times New Roman"/>
          <w:sz w:val="19"/>
          <w:szCs w:val="19"/>
          <w:color w:val="auto"/>
        </w:rPr>
        <w:t xml:space="preserve">. The Transferring Partner (or the Partner’s estate in the event of the Partner’s death) shall give written notice of the proposed Transfer to the General Partner and the Special Limited Partner, which notice shall state (x) the identity and address of the proposed transferee and (y) the amount and type of consideration proposed to be received for the Transferred Partnership Units. The Special Limited Partner shall have ten (10) Business Days upon which to give the Transferring Partner notice of its election to acquire the Partnership Units on the terms set forth in such notice (or, if the terms provide for non-cash consideration, for cash equal to the Value, or if other than Class A Shares, the fair market value (as determined by the Special Limited Partner, whose determination shall be conclusive), of such non-cash consideration). If it so elects, the Special Limited Partner shall purchase the Partnership Units on such terms within ten (10) Business Days after giving notice of such election;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in the event that the proposed terms involve a purchase for cash (including cash in lieu of non-cash consideration), the Special Limited Partner may at its election deliver in lieu of all or any portion of such cash a note from the Special Limited Partner payable to the Transferring Partner at a date as soon as reasonably practicable, but in no event later than one hundred eighty (180) days after such purchase, and bearing interest at an annual rate equal to the Applicable Federal Short-Term Rate, as published monthly by the IRS, as of the closing of such purchase;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such closing may be deferred to the extent necessary to effect compliance with the Hart-Scott-Rodino Antitrust Improvements Act of 1976, as amended (the “</w:t>
      </w:r>
      <w:r>
        <w:rPr>
          <w:rFonts w:ascii="Times New Roman" w:cs="Times New Roman" w:eastAsia="Times New Roman" w:hAnsi="Times New Roman"/>
          <w:sz w:val="19"/>
          <w:szCs w:val="19"/>
          <w:u w:val="single" w:color="auto"/>
          <w:color w:val="auto"/>
        </w:rPr>
        <w:t>HSR Act</w:t>
      </w:r>
      <w:r>
        <w:rPr>
          <w:rFonts w:ascii="Times New Roman" w:cs="Times New Roman" w:eastAsia="Times New Roman" w:hAnsi="Times New Roman"/>
          <w:sz w:val="19"/>
          <w:szCs w:val="19"/>
          <w:color w:val="auto"/>
        </w:rPr>
        <w:t xml:space="preserve">”), if applicable, and any other applicable requirements of law. If the Special Limited Partner does not elect to acquire the Partnership Units, then the Transferring Partner may Transfer such Partnership Units to a third party, on terms no more favorable to the transferee than the originally proposed terms, subject to the other conditions of this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jc w:val="both"/>
        <w:ind w:left="640" w:firstLine="1274"/>
        <w:spacing w:after="0" w:line="264" w:lineRule="auto"/>
        <w:tabs>
          <w:tab w:leader="none" w:pos="2547"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Transfer Restriction</w:t>
      </w:r>
      <w:r>
        <w:rPr>
          <w:rFonts w:ascii="Times New Roman" w:cs="Times New Roman" w:eastAsia="Times New Roman" w:hAnsi="Times New Roman"/>
          <w:sz w:val="19"/>
          <w:szCs w:val="19"/>
          <w:color w:val="auto"/>
        </w:rPr>
        <w:t xml:space="preserve">. Any transferor must Transfer not less than the lesser of (i) ten thousand (10,000) Partnership Units (as adjusted for any unit split, unit distribution, reverse unit split, reclassification or similar event, in each case with such adjustment being determined by the General Partner) or (ii) all of the remaining Partnership Units owned by such transferor;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for purposes of determining compliance with the foregoing restriction, all Partnership Units owned by Affiliates of a Holder shall be considered to be owned by such Holder.</w:t>
      </w:r>
    </w:p>
    <w:p>
      <w:pPr>
        <w:spacing w:after="0" w:line="176" w:lineRule="exact"/>
        <w:rPr>
          <w:rFonts w:ascii="Times New Roman" w:cs="Times New Roman" w:eastAsia="Times New Roman" w:hAnsi="Times New Roman"/>
          <w:sz w:val="19"/>
          <w:szCs w:val="19"/>
          <w:color w:val="auto"/>
        </w:rPr>
      </w:pPr>
    </w:p>
    <w:p>
      <w:pPr>
        <w:ind w:left="640" w:firstLine="1274"/>
        <w:spacing w:after="0" w:line="285" w:lineRule="auto"/>
        <w:tabs>
          <w:tab w:leader="none" w:pos="254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Further Transfers</w:t>
      </w:r>
      <w:r>
        <w:rPr>
          <w:rFonts w:ascii="Times New Roman" w:cs="Times New Roman" w:eastAsia="Times New Roman" w:hAnsi="Times New Roman"/>
          <w:sz w:val="19"/>
          <w:szCs w:val="19"/>
          <w:color w:val="auto"/>
        </w:rPr>
        <w:t>. The transferee shall not be permitted to effect any further Transfer of the Partnership Units, other than to the Special Limited Partner or the Partnership.</w:t>
      </w:r>
    </w:p>
    <w:p>
      <w:pPr>
        <w:spacing w:after="0" w:line="156" w:lineRule="exact"/>
        <w:rPr>
          <w:rFonts w:ascii="Times New Roman" w:cs="Times New Roman" w:eastAsia="Times New Roman" w:hAnsi="Times New Roman"/>
          <w:sz w:val="19"/>
          <w:szCs w:val="19"/>
          <w:color w:val="auto"/>
        </w:rPr>
      </w:pPr>
    </w:p>
    <w:p>
      <w:pPr>
        <w:ind w:left="640" w:firstLine="1274"/>
        <w:spacing w:after="0" w:line="285" w:lineRule="auto"/>
        <w:tabs>
          <w:tab w:leader="none" w:pos="2537"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 for Permitted Transfers</w:t>
      </w:r>
      <w:r>
        <w:rPr>
          <w:rFonts w:ascii="Times New Roman" w:cs="Times New Roman" w:eastAsia="Times New Roman" w:hAnsi="Times New Roman"/>
          <w:sz w:val="19"/>
          <w:szCs w:val="19"/>
          <w:color w:val="auto"/>
        </w:rPr>
        <w:t xml:space="preserve">. The conditions of </w:t>
      </w:r>
      <w:r>
        <w:rPr>
          <w:rFonts w:ascii="Times New Roman" w:cs="Times New Roman" w:eastAsia="Times New Roman" w:hAnsi="Times New Roman"/>
          <w:sz w:val="19"/>
          <w:szCs w:val="19"/>
          <w:u w:val="single" w:color="auto"/>
          <w:color w:val="auto"/>
        </w:rPr>
        <w:t>Section 10.3(a)(i)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10.3(a)(ii), Section 10.3(a)(iii)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10.3(c)(ii)</w:t>
      </w:r>
      <w:r>
        <w:rPr>
          <w:rFonts w:ascii="Times New Roman" w:cs="Times New Roman" w:eastAsia="Times New Roman" w:hAnsi="Times New Roman"/>
          <w:sz w:val="19"/>
          <w:szCs w:val="19"/>
          <w:color w:val="auto"/>
        </w:rPr>
        <w:t xml:space="preserve"> shall not apply in the case of a Permitted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89" w:right="339" w:bottom="1440" w:gutter="0" w:footer="0" w:header="0"/>
        </w:sectPr>
      </w:pPr>
    </w:p>
    <w:bookmarkStart w:id="172" w:name="page173"/>
    <w:bookmarkEnd w:id="172"/>
    <w:p>
      <w:pPr>
        <w:jc w:val="both"/>
        <w:ind w:firstLine="1278"/>
        <w:spacing w:after="0" w:line="261" w:lineRule="auto"/>
        <w:tabs>
          <w:tab w:leader="none" w:pos="189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Transfers of AdCo Common Units</w:t>
      </w:r>
      <w:r>
        <w:rPr>
          <w:rFonts w:ascii="Times New Roman" w:cs="Times New Roman" w:eastAsia="Times New Roman" w:hAnsi="Times New Roman"/>
          <w:sz w:val="19"/>
          <w:szCs w:val="19"/>
          <w:color w:val="auto"/>
        </w:rPr>
        <w:t>. No Holder may Transfer any AdCo Common Unit without (x) the consent of the General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General Partner shall not unreasonably withhold its consent to the Transfer by a Holder of all or any portion of such Holder’s AdCo Common Units to an Estate Planning Vehicle (but may require the Transfer to be effective on the last day of a calendar quarter) so long as such Holder agrees to (i) indemnify the Partnership, the General Partner and each other Limited Partner from any loss or damage incurred in connection with any such Transfer and (ii) at all times maintain voting control of any such Estate Planning Vehicle with respect to such Estate Planning Vehicle’s investment in the Partnership) and (y) concurrently Transferring a VoteCo Common Unit of an equivalent class in accordance with the VoteCo Professionals LPA to the same transferee. Any Transfer by a Holder pursuant to this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 xml:space="preserve"> is subject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to satisfaction of the following conditions:</w:t>
      </w:r>
    </w:p>
    <w:p>
      <w:pPr>
        <w:spacing w:after="0" w:line="179" w:lineRule="exact"/>
        <w:rPr>
          <w:rFonts w:ascii="Times New Roman" w:cs="Times New Roman" w:eastAsia="Times New Roman" w:hAnsi="Times New Roman"/>
          <w:sz w:val="19"/>
          <w:szCs w:val="19"/>
          <w:color w:val="auto"/>
        </w:rPr>
      </w:pPr>
    </w:p>
    <w:p>
      <w:pPr>
        <w:jc w:val="both"/>
        <w:ind w:left="640" w:firstLine="1274"/>
        <w:spacing w:after="0" w:line="284" w:lineRule="auto"/>
        <w:tabs>
          <w:tab w:leader="none" w:pos="254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Partnership Costs and Expenses</w:t>
      </w:r>
      <w:r>
        <w:rPr>
          <w:rFonts w:ascii="Times New Roman" w:cs="Times New Roman" w:eastAsia="Times New Roman" w:hAnsi="Times New Roman"/>
          <w:sz w:val="19"/>
          <w:szCs w:val="19"/>
          <w:color w:val="auto"/>
        </w:rPr>
        <w:t>. The transferor shall pay all costs and expenses (including attorneys’ fees, filing costs and other out-of-pocket costs and expenses) incurred by the Partnership in connection with any Transfer of a Partnership Unit.</w:t>
      </w:r>
    </w:p>
    <w:p>
      <w:pPr>
        <w:spacing w:after="0" w:line="397" w:lineRule="exact"/>
        <w:rPr>
          <w:rFonts w:ascii="Times New Roman" w:cs="Times New Roman" w:eastAsia="Times New Roman" w:hAnsi="Times New Roman"/>
          <w:sz w:val="19"/>
          <w:szCs w:val="19"/>
          <w:color w:val="auto"/>
        </w:rPr>
      </w:pPr>
    </w:p>
    <w:p>
      <w:pPr>
        <w:jc w:val="both"/>
        <w:ind w:left="640" w:firstLine="1274"/>
        <w:spacing w:after="0" w:line="258" w:lineRule="auto"/>
        <w:tabs>
          <w:tab w:leader="none" w:pos="254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Transfers or Hedges During Lock-Up Period</w:t>
      </w:r>
      <w:r>
        <w:rPr>
          <w:rFonts w:ascii="Times New Roman" w:cs="Times New Roman" w:eastAsia="Times New Roman" w:hAnsi="Times New Roman"/>
          <w:sz w:val="19"/>
          <w:szCs w:val="19"/>
          <w:color w:val="auto"/>
        </w:rPr>
        <w:t>. To the extent any Partnership Class A Common Units held by a Limited Partner are subject to a Lock-Up Period, such Limited Partner (and its Associated Person) shall not, directly or indirectly, (A) Transfer any Partnership Class A Common Units or any securities convertible into, or exercisable or exchangeable for, Partnership Class A Common Units (collectively, the “</w:t>
      </w:r>
      <w:r>
        <w:rPr>
          <w:rFonts w:ascii="Times New Roman" w:cs="Times New Roman" w:eastAsia="Times New Roman" w:hAnsi="Times New Roman"/>
          <w:sz w:val="19"/>
          <w:szCs w:val="19"/>
          <w:u w:val="single" w:color="auto"/>
          <w:color w:val="auto"/>
        </w:rPr>
        <w:t>Restricted Securities</w:t>
      </w:r>
      <w:r>
        <w:rPr>
          <w:rFonts w:ascii="Times New Roman" w:cs="Times New Roman" w:eastAsia="Times New Roman" w:hAnsi="Times New Roman"/>
          <w:sz w:val="19"/>
          <w:szCs w:val="19"/>
          <w:color w:val="auto"/>
        </w:rPr>
        <w:t xml:space="preserve">”) or (B) enter into any hedging, swap or other agreement or transaction that Transfers, in whole or in part, any of the economic consequences of ownership of the Restricted Securities, whether any such transaction is to be settled by delivery of Restricted Securities, Class A Shares, cash or otherwise. For purposes of clarity and the avoidance of doubt, such prohibited agreements and transactions shall include any short sale and any purchase, sale or grant of any right (including any put or call option) with respect to any Restricted Securities or with respect to any security that includes, relates to, or derives any significant part of its value from Restricted Securities, including Class A Shares. Notwithstanding the foregoing, the terms of this </w:t>
      </w:r>
      <w:r>
        <w:rPr>
          <w:rFonts w:ascii="Times New Roman" w:cs="Times New Roman" w:eastAsia="Times New Roman" w:hAnsi="Times New Roman"/>
          <w:sz w:val="19"/>
          <w:szCs w:val="19"/>
          <w:u w:val="single" w:color="auto"/>
          <w:color w:val="auto"/>
        </w:rPr>
        <w:t>Section 10.3(b)(ii)</w:t>
      </w:r>
      <w:r>
        <w:rPr>
          <w:rFonts w:ascii="Times New Roman" w:cs="Times New Roman" w:eastAsia="Times New Roman" w:hAnsi="Times New Roman"/>
          <w:sz w:val="19"/>
          <w:szCs w:val="19"/>
          <w:color w:val="auto"/>
        </w:rPr>
        <w:t xml:space="preserve"> shall not apply to or prohibit (i) redemptions effected in accordance with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hereto and the subsequent sale of any Class A Shares received in connection therewith or (ii) transactions related to Class A Shares acquired in a public offering or in open market transactions or pursuant to any management, director and/or employee equity plan or equity option plan, equity appreciation rights plan, or any other management, director and/or employee benefit plan or agreement or any equity subscription or equityholder agreement, any employment termination agreement or any other employment agreement or equityholders’ or similar agreement approved by the Board of Directors on or after the Reference Date. Notwithstanding anything in this Agreement to the contrary, the General Partner may, by written agreement with a Holder, waive or otherwise modify the applicability of this </w:t>
      </w:r>
      <w:r>
        <w:rPr>
          <w:rFonts w:ascii="Times New Roman" w:cs="Times New Roman" w:eastAsia="Times New Roman" w:hAnsi="Times New Roman"/>
          <w:sz w:val="19"/>
          <w:szCs w:val="19"/>
          <w:u w:val="single" w:color="auto"/>
          <w:color w:val="auto"/>
        </w:rPr>
        <w:t>Section 10.3(c)(ii)</w:t>
      </w:r>
      <w:r>
        <w:rPr>
          <w:rFonts w:ascii="Times New Roman" w:cs="Times New Roman" w:eastAsia="Times New Roman" w:hAnsi="Times New Roman"/>
          <w:sz w:val="19"/>
          <w:szCs w:val="19"/>
          <w:color w:val="auto"/>
        </w:rPr>
        <w:t xml:space="preserve"> to such Holder, in the sole discretion of the General Partner, and without having any obligation to do so for any other Holder.</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ind w:left="640" w:firstLine="1274"/>
        <w:spacing w:after="0" w:line="300" w:lineRule="auto"/>
        <w:tabs>
          <w:tab w:leader="none" w:pos="2548"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 for Transfers to Estate Planning Vehicles</w:t>
      </w:r>
      <w:r>
        <w:rPr>
          <w:rFonts w:ascii="Times New Roman" w:cs="Times New Roman" w:eastAsia="Times New Roman" w:hAnsi="Times New Roman"/>
          <w:sz w:val="19"/>
          <w:szCs w:val="19"/>
          <w:color w:val="auto"/>
        </w:rPr>
        <w:t xml:space="preserve">. The conditions of </w:t>
      </w:r>
      <w:r>
        <w:rPr>
          <w:rFonts w:ascii="Times New Roman" w:cs="Times New Roman" w:eastAsia="Times New Roman" w:hAnsi="Times New Roman"/>
          <w:sz w:val="19"/>
          <w:szCs w:val="19"/>
          <w:u w:val="single" w:color="auto"/>
          <w:color w:val="auto"/>
        </w:rPr>
        <w:t>Section 10.3(b)(ii)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10.3(a)(ii)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10.3(c)(ii)</w:t>
      </w:r>
      <w:r>
        <w:rPr>
          <w:rFonts w:ascii="Times New Roman" w:cs="Times New Roman" w:eastAsia="Times New Roman" w:hAnsi="Times New Roman"/>
          <w:sz w:val="19"/>
          <w:szCs w:val="19"/>
          <w:color w:val="auto"/>
        </w:rPr>
        <w:t xml:space="preserve"> shall not apply in the case of a Transfer to an Estate Planning Vehicle.</w:t>
      </w:r>
    </w:p>
    <w:p>
      <w:pPr>
        <w:spacing w:after="0" w:line="129"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Transfer by a Holder pursuant to </w:t>
      </w:r>
      <w:r>
        <w:rPr>
          <w:rFonts w:ascii="Times New Roman" w:cs="Times New Roman" w:eastAsia="Times New Roman" w:hAnsi="Times New Roman"/>
          <w:sz w:val="19"/>
          <w:szCs w:val="19"/>
          <w:u w:val="single" w:color="auto"/>
          <w:color w:val="auto"/>
        </w:rPr>
        <w:t>Section 10.3(a)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 xml:space="preserve"> is subject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to satisfaction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89" w:right="339" w:bottom="1440" w:gutter="0" w:footer="0" w:header="0"/>
        </w:sectPr>
      </w:pPr>
    </w:p>
    <w:bookmarkStart w:id="173" w:name="page174"/>
    <w:bookmarkEnd w:id="173"/>
    <w:p>
      <w:pPr>
        <w:jc w:val="both"/>
        <w:ind w:left="640" w:firstLine="1274"/>
        <w:spacing w:after="0" w:line="269" w:lineRule="auto"/>
        <w:tabs>
          <w:tab w:leader="none" w:pos="254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Qualified Transferee</w:t>
      </w:r>
      <w:r>
        <w:rPr>
          <w:rFonts w:ascii="Times New Roman" w:cs="Times New Roman" w:eastAsia="Times New Roman" w:hAnsi="Times New Roman"/>
          <w:sz w:val="19"/>
          <w:szCs w:val="19"/>
          <w:color w:val="auto"/>
        </w:rPr>
        <w:t xml:space="preserve">. Any Transfer of a Partnership Unit shall be made only to a single Qualified Transferee;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such purposes, all Qualified Transferees that are Affiliates, or that comprise investment accounts or funds managed by a single Qualified Transferee and its Affiliates, shall be considered together to be a single Qualified Transferee;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each Transfer meeting the minimum Transfer restriction of </w:t>
      </w:r>
      <w:r>
        <w:rPr>
          <w:rFonts w:ascii="Times New Roman" w:cs="Times New Roman" w:eastAsia="Times New Roman" w:hAnsi="Times New Roman"/>
          <w:sz w:val="19"/>
          <w:szCs w:val="19"/>
          <w:u w:val="single" w:color="auto"/>
          <w:color w:val="auto"/>
        </w:rPr>
        <w:t>Section 10.3(a)(ii)</w:t>
      </w:r>
      <w:r>
        <w:rPr>
          <w:rFonts w:ascii="Times New Roman" w:cs="Times New Roman" w:eastAsia="Times New Roman" w:hAnsi="Times New Roman"/>
          <w:sz w:val="19"/>
          <w:szCs w:val="19"/>
          <w:color w:val="auto"/>
        </w:rPr>
        <w:t xml:space="preserve"> may be to a separate Qualified Transferee.</w:t>
      </w:r>
    </w:p>
    <w:p>
      <w:pPr>
        <w:spacing w:after="0" w:line="159" w:lineRule="exact"/>
        <w:rPr>
          <w:rFonts w:ascii="Times New Roman" w:cs="Times New Roman" w:eastAsia="Times New Roman" w:hAnsi="Times New Roman"/>
          <w:sz w:val="19"/>
          <w:szCs w:val="19"/>
          <w:color w:val="auto"/>
        </w:rPr>
      </w:pPr>
    </w:p>
    <w:p>
      <w:pPr>
        <w:jc w:val="both"/>
        <w:ind w:left="640" w:firstLine="1274"/>
        <w:spacing w:after="0" w:line="263" w:lineRule="auto"/>
        <w:tabs>
          <w:tab w:leader="none" w:pos="2547"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Counsel</w:t>
      </w:r>
      <w:r>
        <w:rPr>
          <w:rFonts w:ascii="Times New Roman" w:cs="Times New Roman" w:eastAsia="Times New Roman" w:hAnsi="Times New Roman"/>
          <w:sz w:val="19"/>
          <w:szCs w:val="19"/>
          <w:color w:val="auto"/>
        </w:rPr>
        <w:t xml:space="preserve">. The transferor shall deliver or cause to be delivered to the General Partner an opinion of legal counsel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Units Transferred;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General Partner may waive this condition upon the request of the transferor. If the General Partner determines, based on the advice of counsel, that such Transfer would create a material risk of requiring the filing of a registration statement under the Securities Act or otherwise violating any federal or state securities laws or regulations applicable to the Partnership or the Partnership Units, the General Partner may prohibit any Transfer otherwise permitted under this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It is a condition to any Transfer otherwise permitted hereunder (whether or not such Transfer is effected during or after any applicable Lock-Up Period) that the transferee assumes by operation of law or express agreement all of the obligations of the transferor Limited Partner under this Agreement with respect to such Transferred Partnership Units, and no such Transfer (other than pursuant to a statutory merger or consolidation wherein all obligations and liabilities of the transferor are assumed by a successor corporation by operation of law) shall relieve the transferor of its obligations under this Agreement without the approval of the General Partner.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1278"/>
        <w:spacing w:after="0" w:line="264" w:lineRule="auto"/>
        <w:tabs>
          <w:tab w:leader="none" w:pos="189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Incapacity</w:t>
      </w:r>
      <w:r>
        <w:rPr>
          <w:rFonts w:ascii="Times New Roman" w:cs="Times New Roman" w:eastAsia="Times New Roman" w:hAnsi="Times New Roman"/>
          <w:sz w:val="19"/>
          <w:szCs w:val="19"/>
          <w:color w:val="auto"/>
        </w:rPr>
        <w:t>. 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176"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Tax Consequences</w:t>
      </w:r>
      <w:r>
        <w:rPr>
          <w:rFonts w:ascii="Times New Roman" w:cs="Times New Roman" w:eastAsia="Times New Roman" w:hAnsi="Times New Roman"/>
          <w:sz w:val="19"/>
          <w:szCs w:val="19"/>
          <w:color w:val="auto"/>
        </w:rPr>
        <w:t>. No Transfer by a Holder of its Partnership Units (including any Exchange, any other acquisition of Partnership Units by the General Partner or any acquisition of Partnership Units by the Partnership and including any Permitted Transfer) may be made to or by any Person if the Partnership determines, (i) such Transfer would create a material risk of the Partnership being treated as an association taxable as a corporation or (ii) there would be a material risk that such Transfer would be treated as effectuated through an “established securities market” or a “secondary market (or the substantial equivalent thereof)” within the meaning of Code section 7704.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89" w:right="339" w:bottom="1440" w:gutter="0" w:footer="0" w:header="0"/>
        </w:sectPr>
      </w:pPr>
    </w:p>
    <w:bookmarkStart w:id="174" w:name="page175"/>
    <w:bookmarkEnd w:id="174"/>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10.4</w:t>
      </w:r>
      <w:r>
        <w:rPr>
          <w:sz w:val="20"/>
          <w:szCs w:val="20"/>
          <w:color w:val="auto"/>
        </w:rPr>
        <w:tab/>
      </w:r>
      <w:r>
        <w:rPr>
          <w:rFonts w:ascii="Times New Roman" w:cs="Times New Roman" w:eastAsia="Times New Roman" w:hAnsi="Times New Roman"/>
          <w:sz w:val="19"/>
          <w:szCs w:val="19"/>
          <w:u w:val="single" w:color="auto"/>
          <w:color w:val="auto"/>
        </w:rPr>
        <w:t>Substituted Limited Partners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57" w:lineRule="auto"/>
        <w:tabs>
          <w:tab w:leader="none" w:pos="1898"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Limited Partner shall have the right to substitute a transferee other than a Permitted Transferee as a Limited Partner in its place. A transferee of the interest of a Limited Partner may be admitted as a Substituted Limited Partner only with the consent of the General Partner;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Permitted Transferee shall be admitted as a Substituted Limited Partner pursuant to a Permitted Transfer without the consent of the General Partner, subject to compliance with the last sentence of this </w:t>
      </w:r>
      <w:r>
        <w:rPr>
          <w:rFonts w:ascii="Times New Roman" w:cs="Times New Roman" w:eastAsia="Times New Roman" w:hAnsi="Times New Roman"/>
          <w:sz w:val="19"/>
          <w:szCs w:val="19"/>
          <w:u w:val="single" w:color="auto"/>
          <w:color w:val="auto"/>
        </w:rPr>
        <w:t>Section 10.4(a)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General Partner will not unreasonably withhold its consent to the admission of an Estate Planning Vehicle transferee as a Substituted Limited Partner so long as the applicable transferor of AdCo Common Units agrees to (x) indemnify the Partnership, the General Partner and each other Limited Partner from any loss or damage incurred in connection with any such Transfer and (y) at all times maintain voting control of any such Estate Planning Vehicle with respect to such Estate Planning Vehicle’s investment in the Partnership.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(ii) a counterpart signature page to this Agreement executed by such Assignee,</w:t>
      </w:r>
    </w:p>
    <w:p>
      <w:pPr>
        <w:spacing w:after="0" w:line="2" w:lineRule="exact"/>
        <w:rPr>
          <w:rFonts w:ascii="Times New Roman" w:cs="Times New Roman" w:eastAsia="Times New Roman" w:hAnsi="Times New Roman"/>
          <w:sz w:val="19"/>
          <w:szCs w:val="19"/>
          <w:color w:val="auto"/>
        </w:rPr>
      </w:pPr>
    </w:p>
    <w:p>
      <w:pPr>
        <w:ind w:firstLine="6"/>
        <w:spacing w:after="0" w:line="269" w:lineRule="auto"/>
        <w:tabs>
          <w:tab w:leader="none" w:pos="34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by Spouse and (iv) such other documents and instruments as the General Partner may require to effect such Assignee’s admission as a Substituted Limited Partner.</w:t>
      </w:r>
    </w:p>
    <w:p>
      <w:pPr>
        <w:spacing w:after="0" w:line="171"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Concurrently with, and as evidence of, the admission of a Substituted Limited Partner, the General Partner shall amend the Register and the books and records of the Partnership to reflect the name, address and number of Partnership Units of such Substituted Limited Partner and to eliminate or adjust, if necessary, the name, address and number of Partnership Units of the predecessor of such Substituted Limited Partner.</w:t>
      </w:r>
    </w:p>
    <w:p>
      <w:pPr>
        <w:spacing w:after="0" w:line="159"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transferee who has been admitted as a Substituted Limited Partner in accordance with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shall have all the rights and powers and be subject to all the restrictions and liabilities of a Limited Partner under this Agreement.</w:t>
      </w:r>
    </w:p>
    <w:p>
      <w:pPr>
        <w:spacing w:after="0" w:line="13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Assignees</w:t>
      </w:r>
      <w:r>
        <w:rPr>
          <w:rFonts w:ascii="Times New Roman" w:cs="Times New Roman" w:eastAsia="Times New Roman" w:hAnsi="Times New Roman"/>
          <w:sz w:val="19"/>
          <w:szCs w:val="19"/>
          <w:color w:val="auto"/>
        </w:rPr>
        <w:t xml:space="preserve">. If the General Partner’s consent is required for the admission of any transferee under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as a Substituted Limited Partner, as described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the General Partner withholds such consent, such transferee shall be considered an Assignee for purposes of this Agreement. An Assignee shall be entitled to all the rights of an assignee of a limited partnership interest under the Act, including the right to receive distributions from the Partnership and the share of Net Income, Net Losses and other items of income, gain, loss, deduction and credit of the Partnership attributable to the Partnership Units assigned to such transferee and the rights to Transfer the Partnership Units provided in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but shall not be deemed to be a holder of Partnership Units for any other purpose under this Agreement (other than as expressly provided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with respect to a Qualifying Party that elects to Exchange), and shall not be entitled to effect a Consent or vote with respect to such Partnership Units on any matter presented to the Limited Partners for approval (such right to Consent or vote, to the extent provided in this Agreement or under the Act, fully remaining with the transferor Limited Partner). In the event that any such transferee desires to make a further assignment of any such Partnership Units, such transferee shall be subject to all the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to the same extent and in the same manner as any Limited Partner desiring to make an assignment of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89" w:right="339" w:bottom="1440" w:gutter="0" w:footer="0" w:header="0"/>
        </w:sectPr>
      </w:pPr>
    </w:p>
    <w:bookmarkStart w:id="175" w:name="page176"/>
    <w:bookmarkEnd w:id="175"/>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10.6</w:t>
      </w:r>
      <w:r>
        <w:rPr>
          <w:sz w:val="20"/>
          <w:szCs w:val="20"/>
          <w:color w:val="auto"/>
        </w:rPr>
        <w:tab/>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3" w:lineRule="auto"/>
        <w:tabs>
          <w:tab w:leader="none" w:pos="189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Limited Partner may withdraw from the Partnership other than: (i) as a result of a Permitted Transfer of all of such Limited Partner’s Partnership Interest in accordance with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with respect to which the transferee becomes a Substituted Limited Partner; (ii) pursuant to a redemption (or acquisition by the General Partner or the Special Limited Partner) of all of its Partnership Interest pursuant to a redemption under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and/or pursuant to any Partnership Unit Designation; or (iii) as a result of the acquisition by the Partnership, the General Partner or the Special Limited Partner of all of such Limited Partner’s Partnership Interest, whether or not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Limited Partner who shall Transfer all of its Partnership Units in a Transfer (i) permitted pursuant to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where such transferee was admitted as a Substituted Limited Partner, (ii) pursuant to the exercise of its rights to effect a redemption of all of its Partnership Units pursuant to an Exchange under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and/or pursuant to any Partnership Unit Designation or (iii) to the Special Limited Partner, whether or not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shall cease to be a Limited Partner.</w:t>
      </w:r>
    </w:p>
    <w:p>
      <w:pPr>
        <w:spacing w:after="0" w:line="173" w:lineRule="exact"/>
        <w:rPr>
          <w:rFonts w:ascii="Times New Roman" w:cs="Times New Roman" w:eastAsia="Times New Roman" w:hAnsi="Times New Roman"/>
          <w:sz w:val="19"/>
          <w:szCs w:val="19"/>
          <w:color w:val="auto"/>
        </w:rPr>
      </w:pPr>
    </w:p>
    <w:p>
      <w:pPr>
        <w:jc w:val="both"/>
        <w:ind w:firstLine="1278"/>
        <w:spacing w:after="0" w:line="251" w:lineRule="auto"/>
        <w:tabs>
          <w:tab w:leader="none" w:pos="189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Partnership Unit is Transferred in compliance with the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or is redeemed by the Partnership, or acquired by the Special Limited Partner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on any day other than the first day of a Fiscal Year, then Net Income, Net Losses, each item thereof and all other items of income, gain, loss, deduction and credit attributable to such Partnership Unit for such Fiscal Year shall be allocated to the transferor Partner or the Qualifying Party that elected the Exchange (as the case may be) and, in the case of a Transfer or assignment other than an Exchange, to the transferee Partner, by taking into account their varying interests during the Fiscal Year in accordance with Code section 706(d), using the “interim closing of the books” method or another permissible method or methods selected by the General Partner. Solely for purposes of making such allocations, unless otherwise determined by the General Partner, each of such items for the calendar month in which a Transfer occurs shall be allocated to the transferee Partner and none of such items for the calendar month in which a Transfer or an Exchange occurs shall be allocated to the transferor Partner, or the Qualifying Party that elected the Exchange (as the case may be) if such Transfer occurs on or before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of the month, otherwise such items shall be allocated to the transferor. All distributions attributable to such Partnership Unit with respect to which the Partnership Record Date is before the date of such Transfer, assignment or Exchange shall be made to the transferor Partner or the Qualifying Party that elected the Exchange (as the case may be) and, in the case of a Transfer other than an Exchange, all distributions thereafter attributable to such Partnership Unit shall be made to the transferee.</w:t>
      </w:r>
    </w:p>
    <w:p>
      <w:pPr>
        <w:spacing w:after="0" w:line="200" w:lineRule="exact"/>
        <w:rPr>
          <w:rFonts w:ascii="Times New Roman" w:cs="Times New Roman" w:eastAsia="Times New Roman" w:hAnsi="Times New Roman"/>
          <w:sz w:val="19"/>
          <w:szCs w:val="19"/>
          <w:color w:val="auto"/>
        </w:rPr>
      </w:pPr>
    </w:p>
    <w:p>
      <w:pPr>
        <w:spacing w:after="0" w:line="228"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other restrictions on Transfer herein contained, in no event may any Transfer or assignment of a Partnership Interest by any Partner (including any Exchange, any acquisition of Partnership Units by the Special Limited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 from all other components of a Partnership Interest; (iv) if the General Partner determines that such Transfer would create a material risk that the Partnership would become, with respect to any employee benefit plan subject to Title I of ERISA, a “party-in-interest” (as defined in ERISA Section 3(14)) or a “disqualified person” (as defined in Code section 4975(c)); (v) if the General Partner determines, based on the advice of counsel, that such Transfer would create a material risk that any portion of the assets of the Partnership would constitute assets of any employee benefit plan pursuant to Department of Labor Regulations section 2510.2-101; (vi) if such Transfer requires the registration of such Partnership Interest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89" w:right="339" w:bottom="1440" w:gutter="0" w:footer="0" w:header="0"/>
        </w:sectPr>
      </w:pPr>
    </w:p>
    <w:bookmarkStart w:id="176" w:name="page177"/>
    <w:bookmarkEnd w:id="176"/>
    <w:p>
      <w:pPr>
        <w:jc w:val="both"/>
        <w:spacing w:after="0" w:line="263" w:lineRule="auto"/>
        <w:rPr>
          <w:sz w:val="20"/>
          <w:szCs w:val="20"/>
          <w:color w:val="auto"/>
        </w:rPr>
      </w:pPr>
      <w:r>
        <w:rPr>
          <w:rFonts w:ascii="Times New Roman" w:cs="Times New Roman" w:eastAsia="Times New Roman" w:hAnsi="Times New Roman"/>
          <w:sz w:val="19"/>
          <w:szCs w:val="19"/>
          <w:color w:val="auto"/>
        </w:rPr>
        <w:t>any applicable federal or state securities laws; (vii) if the General Partner determines that such Transfer creates a material risk that the Partnership would become a reporting company under the Exchange Act; (viii) if such Transfer subjects the Partnership to regulation under the Investment Company Act of 1940, the Investment Advisors Act of 1940 or ERISA, each as amended; or (ix) if the General Partner determines that such Transfer would create a material risk that the Partnership would become a “publicly traded partnership,” as such term is defined in Code section 469(k)(2) or Code section 7704(b), or otherwise cease to be classified as a partnership for U.S. federal income tax purposes (except as a result of the redemption (or acquisition by the Special Limited Partner) of all Partnership Units held by all Limited Partners (other than the Special Limited Partner)).</w:t>
      </w:r>
    </w:p>
    <w:p>
      <w:pPr>
        <w:spacing w:after="0" w:line="166" w:lineRule="exact"/>
        <w:rPr>
          <w:sz w:val="20"/>
          <w:szCs w:val="20"/>
          <w:color w:val="auto"/>
        </w:rPr>
      </w:pPr>
    </w:p>
    <w:p>
      <w:pPr>
        <w:jc w:val="both"/>
        <w:ind w:firstLine="1278"/>
        <w:spacing w:after="0" w:line="284" w:lineRule="auto"/>
        <w:tabs>
          <w:tab w:leader="none" w:pos="1898"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Transfers pursuant to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other than a Permitted Transfer to a Permitted Transferee pursuant to the exercise of remedies under a Pledge, may only be made on the first day of a fiscal quarter of the Partnership, unless the General Partner otherwise agrees.</w:t>
      </w:r>
    </w:p>
    <w:p>
      <w:pPr>
        <w:spacing w:after="0" w:line="397" w:lineRule="exact"/>
        <w:rPr>
          <w:sz w:val="20"/>
          <w:szCs w:val="20"/>
          <w:color w:val="auto"/>
        </w:rPr>
      </w:pPr>
    </w:p>
    <w:p>
      <w:pPr>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Restrictions on Termination Transactions</w:t>
      </w:r>
      <w:r>
        <w:rPr>
          <w:rFonts w:ascii="Times New Roman" w:cs="Times New Roman" w:eastAsia="Times New Roman" w:hAnsi="Times New Roman"/>
          <w:sz w:val="19"/>
          <w:szCs w:val="19"/>
          <w:color w:val="auto"/>
        </w:rPr>
        <w:t>. Neither the Special Limited Partner nor the General Partner shall engage in, or cause or permit, a Termination Transaction, other than (i) with the Consent of the Limited Partners, or (ii) either:</w:t>
      </w:r>
    </w:p>
    <w:p>
      <w:pPr>
        <w:spacing w:after="0" w:line="130" w:lineRule="exact"/>
        <w:rPr>
          <w:sz w:val="20"/>
          <w:szCs w:val="20"/>
          <w:color w:val="auto"/>
        </w:rPr>
      </w:pPr>
    </w:p>
    <w:p>
      <w:pPr>
        <w:jc w:val="both"/>
        <w:ind w:firstLine="1278"/>
        <w:spacing w:after="0" w:line="260" w:lineRule="auto"/>
        <w:tabs>
          <w:tab w:leader="none" w:pos="189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such Termination Transaction, each holder of Partnership Common Units (other than the Special Limited Partner and its wholly owned Subsidiaries) will receive, or will have the right to elect to receive, for each Partnership Common Unit an amount of cash, securities or other property equal to the product of the Adjustment Factor and the greatest amount of cash, securities or other property paid to a holder of one Class A Share in consideration of one Class A Share pursuant to the terms of such Termination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in connection with such Termination Transaction, a purchase, tender or exchange offer shall have been made to and accepted by the holders of a majority of the outstanding Class A Shares, each holder of Partnership Common Units (other than the Special Limited Partner and its wholly owned subsidiaries) will receive, or will have the right to elect to receive, the greatest amount of cash, securities or other property which such holder of Partnership Common Units would have received had it exercised its right to Exchange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 received Class A Shares in exchange for its Partnership Common Units immediately prior to the expiration of such purchase, tender or exchange offer and had thereupon accepted such purchase, tender or exchange offer and then such Termination Transaction shall have been consummated; or</w:t>
      </w:r>
    </w:p>
    <w:p>
      <w:pPr>
        <w:spacing w:after="0" w:line="200" w:lineRule="exact"/>
        <w:rPr>
          <w:rFonts w:ascii="Times New Roman" w:cs="Times New Roman" w:eastAsia="Times New Roman" w:hAnsi="Times New Roman"/>
          <w:sz w:val="19"/>
          <w:szCs w:val="19"/>
          <w:color w:val="auto"/>
        </w:rPr>
      </w:pPr>
    </w:p>
    <w:p>
      <w:pPr>
        <w:spacing w:after="0" w:line="215" w:lineRule="exact"/>
        <w:rPr>
          <w:rFonts w:ascii="Times New Roman" w:cs="Times New Roman" w:eastAsia="Times New Roman" w:hAnsi="Times New Roman"/>
          <w:sz w:val="19"/>
          <w:szCs w:val="19"/>
          <w:color w:val="auto"/>
        </w:rPr>
      </w:pPr>
    </w:p>
    <w:p>
      <w:pPr>
        <w:jc w:val="both"/>
        <w:ind w:firstLine="1278"/>
        <w:spacing w:after="0" w:line="258" w:lineRule="auto"/>
        <w:tabs>
          <w:tab w:leader="none" w:pos="1896"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following conditions are met: (i) substantially all of the assets directly or indirectly owned by the Partnership prior to the announcement of the Termination Transaction are, immediately after the Termination Transaction, owned directly or indirectly by the Partnership or another limited partnership or limited liability company which is the survivor of a merger, consolidation or combination of assets with the Partnership (in each case, the “</w:t>
      </w:r>
      <w:r>
        <w:rPr>
          <w:rFonts w:ascii="Times New Roman" w:cs="Times New Roman" w:eastAsia="Times New Roman" w:hAnsi="Times New Roman"/>
          <w:sz w:val="19"/>
          <w:szCs w:val="19"/>
          <w:u w:val="single" w:color="auto"/>
          <w:color w:val="auto"/>
        </w:rPr>
        <w:t>Surviving Partnership</w:t>
      </w:r>
      <w:r>
        <w:rPr>
          <w:rFonts w:ascii="Times New Roman" w:cs="Times New Roman" w:eastAsia="Times New Roman" w:hAnsi="Times New Roman"/>
          <w:sz w:val="19"/>
          <w:szCs w:val="19"/>
          <w:color w:val="auto"/>
        </w:rPr>
        <w:t>”); (ii) the Surviving Partnership is classified as a partnership for U.S. federal income tax purposes; (iii) the Limited Partners (other than the Special Limited Partner) that held Partnership Common Units immediately prior to the consummation of such Termination Transaction own a percentage interest of the Surviving Partnership based on the relative fair market value (as determined by the General Partner, whose determination shall be conclusive) of the net assets of the Partnership and the other net assets of the Surviving Partnership immediately prior to the consummation of such transaction; (iv) the rights of such Limited Partners with respect to the Surviving Partnership are at least as favorable as those of Limited Partners holding Partnership Common Units immediately prior to the consummation of such transaction (except to the extent that any such rights are consistent with clause (v) below) and as those applicable to any other limited partners or non-managing members of the Surviving Partnership; and (v) such rights include the right to redeem their interests in the Surviving Partnership at any time for cash in an amount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389" w:right="339" w:bottom="1440" w:gutter="0" w:footer="0" w:header="0"/>
        </w:sectPr>
      </w:pPr>
    </w:p>
    <w:bookmarkStart w:id="177" w:name="page178"/>
    <w:bookmarkEnd w:id="177"/>
    <w:p>
      <w:pPr>
        <w:jc w:val="both"/>
        <w:spacing w:after="0" w:line="300" w:lineRule="auto"/>
        <w:rPr>
          <w:sz w:val="20"/>
          <w:szCs w:val="20"/>
          <w:color w:val="auto"/>
        </w:rPr>
      </w:pPr>
      <w:r>
        <w:rPr>
          <w:rFonts w:ascii="Times New Roman" w:cs="Times New Roman" w:eastAsia="Times New Roman" w:hAnsi="Times New Roman"/>
          <w:sz w:val="19"/>
          <w:szCs w:val="19"/>
          <w:color w:val="auto"/>
        </w:rPr>
        <w:t>fair market value of such interest at the time of redemption, as determined at least once every calendar quarter by an independent appraisal firm of recognized national standing retained by the Surviving Partnership.</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Article XI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ADMISSION OF PARTNERS</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11.1 </w:t>
      </w:r>
      <w:r>
        <w:rPr>
          <w:rFonts w:ascii="Times New Roman" w:cs="Times New Roman" w:eastAsia="Times New Roman" w:hAnsi="Times New Roman"/>
          <w:sz w:val="19"/>
          <w:szCs w:val="19"/>
          <w:u w:val="single" w:color="auto"/>
          <w:color w:val="auto"/>
        </w:rPr>
        <w:t>Admission of Successor General Partner</w:t>
      </w:r>
      <w:r>
        <w:rPr>
          <w:rFonts w:ascii="Times New Roman" w:cs="Times New Roman" w:eastAsia="Times New Roman" w:hAnsi="Times New Roman"/>
          <w:sz w:val="19"/>
          <w:szCs w:val="19"/>
          <w:color w:val="auto"/>
        </w:rPr>
        <w:t xml:space="preserve">. A successor to all or a portion of the General Partner’s Partnership Interest pursuant to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who the General Partner has designated to become a successor General Partner shall be admitted to the Partnership as the General Partner, effective immediately upon the Transfer of such Partnership Interest to it. Upon any such Transfer and the admission of any such transferee as a successor General Partner in accordance with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the transferor General Partner shall be relieved of its obligations under this Agreement and shall cease to be a general partner of the Partnership without any separate Consent of the Partners or the consent or approval of any other Partner. Any such successor shall carry on the business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In the event that the General Partner withdraws from the Partnership, or transfers its entire Partnership Interest, in violation of this Agreement, or otherwise dissolves or terminates or ceases to be the general partner of the Partnership, a Majority in Interest of the Partners may elect to continue the Partnership by selecting a successor General Partner in accordance with </w:t>
      </w:r>
      <w:r>
        <w:rPr>
          <w:rFonts w:ascii="Times New Roman" w:cs="Times New Roman" w:eastAsia="Times New Roman" w:hAnsi="Times New Roman"/>
          <w:sz w:val="19"/>
          <w:szCs w:val="19"/>
          <w:u w:val="single" w:color="auto"/>
          <w:color w:val="auto"/>
        </w:rPr>
        <w:t>Section 12.2(c)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11.2</w:t>
      </w:r>
      <w:r>
        <w:rPr>
          <w:sz w:val="20"/>
          <w:szCs w:val="20"/>
          <w:color w:val="auto"/>
        </w:rPr>
        <w:tab/>
      </w:r>
      <w:r>
        <w:rPr>
          <w:rFonts w:ascii="Times New Roman" w:cs="Times New Roman" w:eastAsia="Times New Roman" w:hAnsi="Times New Roman"/>
          <w:sz w:val="19"/>
          <w:szCs w:val="19"/>
          <w:u w:val="single" w:color="auto"/>
          <w:color w:val="auto"/>
        </w:rPr>
        <w:t>Partners; Admission of Additional Limited Partners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1" w:lineRule="auto"/>
        <w:tabs>
          <w:tab w:leader="none" w:pos="1898"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the Effective Date, a Person (other than a then-existing Partner) who makes a Capital Contribution to the Partnership in exchange for Partnership Units and in accordance with this Agreement shall be admitted to the Partnership as an Additional Limited Partner only upon furnishing to the General Partner (i) evidence of acceptance, in form and substance satisfactory to the General Partner, of all of the terms and conditions of this Agreement, including the power of attorney granted in </w:t>
      </w:r>
      <w:r>
        <w:rPr>
          <w:rFonts w:ascii="Times New Roman" w:cs="Times New Roman" w:eastAsia="Times New Roman" w:hAnsi="Times New Roman"/>
          <w:sz w:val="19"/>
          <w:szCs w:val="19"/>
          <w:u w:val="single" w:color="auto"/>
          <w:color w:val="auto"/>
        </w:rPr>
        <w:t>Section 15.1</w:t>
      </w:r>
      <w:r>
        <w:rPr>
          <w:rFonts w:ascii="Times New Roman" w:cs="Times New Roman" w:eastAsia="Times New Roman" w:hAnsi="Times New Roman"/>
          <w:sz w:val="19"/>
          <w:szCs w:val="19"/>
          <w:color w:val="auto"/>
        </w:rPr>
        <w:t>, (ii) a counterpart signature page to this Agreement executed by such Person, (iii) Consent by Spouse and (iv) such other documents or instruments as may be required by the General Partner in order to effect such Person’s admission as an Additional Limited Partner. Concurrently with, and as evidence of, the admission of an Additional Limited Partner, the General Partner shall amend the Register and the books and records of the Partnership to reflect the name, address, number and type of Partnership Units of such Additional Limited Partner.</w:t>
      </w:r>
    </w:p>
    <w:p>
      <w:pPr>
        <w:spacing w:after="0" w:line="179"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Times New Roman" w:cs="Times New Roman" w:eastAsia="Times New Roman" w:hAnsi="Times New Roman"/>
          <w:sz w:val="19"/>
          <w:szCs w:val="19"/>
          <w:u w:val="single" w:color="auto"/>
          <w:color w:val="auto"/>
        </w:rPr>
        <w:t>Section 11.2(a)</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8"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Additional Limited Partner is admitted to the Partnership on any day other than the first day of a Fiscal Year, then Net Income, Net Losses,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“interim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89" w:right="339" w:bottom="1440" w:gutter="0" w:footer="0" w:header="0"/>
        </w:sectPr>
      </w:pPr>
    </w:p>
    <w:bookmarkStart w:id="178" w:name="page179"/>
    <w:bookmarkEnd w:id="178"/>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books” method or another permissible method or methods selected by the General Partner.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Times New Roman" w:cs="Times New Roman" w:eastAsia="Times New Roman" w:hAnsi="Times New Roman"/>
          <w:sz w:val="19"/>
          <w:szCs w:val="19"/>
          <w:u w:val="single" w:color="auto"/>
          <w:color w:val="auto"/>
        </w:rPr>
        <w:t>Section 10.6(c)</w:t>
      </w:r>
      <w:r>
        <w:rPr>
          <w:rFonts w:ascii="Times New Roman" w:cs="Times New Roman" w:eastAsia="Times New Roman" w:hAnsi="Times New Roman"/>
          <w:sz w:val="19"/>
          <w:szCs w:val="19"/>
          <w:color w:val="auto"/>
        </w:rPr>
        <w:t>. All distributions with respect to which the Partnership Record Date is before the date of such admission shall be made solely to Partners and Assignees other than the Additional Limited Partner, and all distributions thereafter shall be made to all the Partners and Assignees including such Additional Limited Partner.</w:t>
      </w:r>
    </w:p>
    <w:p>
      <w:pPr>
        <w:spacing w:after="0" w:line="176" w:lineRule="exact"/>
        <w:rPr>
          <w:sz w:val="20"/>
          <w:szCs w:val="20"/>
          <w:color w:val="auto"/>
        </w:rPr>
      </w:pPr>
    </w:p>
    <w:p>
      <w:pPr>
        <w:jc w:val="both"/>
        <w:ind w:firstLine="1278"/>
        <w:spacing w:after="0" w:line="269" w:lineRule="auto"/>
        <w:tabs>
          <w:tab w:leader="none" w:pos="189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admission to the Partnership of any Partner, the General Partner shall take all steps necessary and appropriate under the Act to amend the Register and the books and records of the Partnership and, if necessary, to prepare as soon as practical an amendment of this Agreement and, if required by law, shall prepare and file an amendment to the Certificate and may for this purpose exercise the power of attorney granted pursuant to </w:t>
      </w:r>
      <w:r>
        <w:rPr>
          <w:rFonts w:ascii="Times New Roman" w:cs="Times New Roman" w:eastAsia="Times New Roman" w:hAnsi="Times New Roman"/>
          <w:sz w:val="19"/>
          <w:szCs w:val="19"/>
          <w:u w:val="single" w:color="auto"/>
          <w:color w:val="auto"/>
        </w:rPr>
        <w:t>Section 15.2</w:t>
      </w:r>
      <w:r>
        <w:rPr>
          <w:rFonts w:ascii="Times New Roman" w:cs="Times New Roman" w:eastAsia="Times New Roman" w:hAnsi="Times New Roman"/>
          <w:sz w:val="19"/>
          <w:szCs w:val="19"/>
          <w:color w:val="auto"/>
        </w:rPr>
        <w:t xml:space="preserve"> hereof.</w:t>
      </w:r>
    </w:p>
    <w:p>
      <w:pPr>
        <w:spacing w:after="0" w:line="16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11.3 </w:t>
      </w:r>
      <w:r>
        <w:rPr>
          <w:rFonts w:ascii="Times New Roman" w:cs="Times New Roman" w:eastAsia="Times New Roman" w:hAnsi="Times New Roman"/>
          <w:sz w:val="19"/>
          <w:szCs w:val="19"/>
          <w:u w:val="single" w:color="auto"/>
          <w:color w:val="auto"/>
        </w:rPr>
        <w:t>Limit on Number of Partners</w:t>
      </w:r>
      <w:r>
        <w:rPr>
          <w:rFonts w:ascii="Times New Roman" w:cs="Times New Roman" w:eastAsia="Times New Roman" w:hAnsi="Times New Roman"/>
          <w:sz w:val="19"/>
          <w:szCs w:val="19"/>
          <w:color w:val="auto"/>
        </w:rPr>
        <w:t>. Unless otherwise permitted by the General Partner, no Person shall be admitted to the Partnership as an Additional Limited Partner if the effect of such admission would be to cause the Partnership to have a number of Partners (including as Partners for this purpose those Persons indirectly owning an interest in the Partnership through another partnership, a limited liability company, a subchapter S corporation or a grantor trust) that would cause the Partnership to become a reporting company under the Exchange Act.</w:t>
      </w:r>
    </w:p>
    <w:p>
      <w:pPr>
        <w:spacing w:after="0" w:line="398" w:lineRule="exact"/>
        <w:rPr>
          <w:sz w:val="20"/>
          <w:szCs w:val="20"/>
          <w:color w:val="auto"/>
        </w:rPr>
      </w:pPr>
    </w:p>
    <w:p>
      <w:pPr>
        <w:jc w:val="both"/>
        <w:ind w:firstLine="636"/>
        <w:spacing w:after="0" w:line="280" w:lineRule="auto"/>
        <w:rPr>
          <w:sz w:val="20"/>
          <w:szCs w:val="20"/>
          <w:color w:val="auto"/>
        </w:rPr>
      </w:pPr>
      <w:r>
        <w:rPr>
          <w:rFonts w:ascii="Times New Roman" w:cs="Times New Roman" w:eastAsia="Times New Roman" w:hAnsi="Times New Roman"/>
          <w:sz w:val="19"/>
          <w:szCs w:val="19"/>
          <w:color w:val="auto"/>
        </w:rPr>
        <w:t xml:space="preserve">Section 11.4 </w:t>
      </w:r>
      <w:r>
        <w:rPr>
          <w:rFonts w:ascii="Times New Roman" w:cs="Times New Roman" w:eastAsia="Times New Roman" w:hAnsi="Times New Roman"/>
          <w:sz w:val="19"/>
          <w:szCs w:val="19"/>
          <w:u w:val="single" w:color="auto"/>
          <w:color w:val="auto"/>
        </w:rPr>
        <w:t>Admission</w:t>
      </w:r>
      <w:r>
        <w:rPr>
          <w:rFonts w:ascii="Times New Roman" w:cs="Times New Roman" w:eastAsia="Times New Roman" w:hAnsi="Times New Roman"/>
          <w:sz w:val="19"/>
          <w:szCs w:val="19"/>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1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Article XII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DISSOLUTION, LIQUIDATION AND TERMINATION</w:t>
      </w:r>
    </w:p>
    <w:p>
      <w:pPr>
        <w:spacing w:after="0" w:line="236"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12.1 </w:t>
      </w:r>
      <w:r>
        <w:rPr>
          <w:rFonts w:ascii="Times New Roman" w:cs="Times New Roman" w:eastAsia="Times New Roman" w:hAnsi="Times New Roman"/>
          <w:sz w:val="19"/>
          <w:szCs w:val="19"/>
          <w:u w:val="single" w:color="auto"/>
          <w:color w:val="auto"/>
        </w:rPr>
        <w:t>No Dissolution</w:t>
      </w:r>
      <w:r>
        <w:rPr>
          <w:rFonts w:ascii="Times New Roman" w:cs="Times New Roman" w:eastAsia="Times New Roman" w:hAnsi="Times New Roman"/>
          <w:sz w:val="19"/>
          <w:szCs w:val="19"/>
          <w:color w:val="auto"/>
        </w:rPr>
        <w:t xml:space="preserve">. The Partnership shall not be dissolved by the admission of additional Partners in accordance with the terms of this Agreement. The Partnership may be dissolved, liquidated and terminated only pursuant to the provisions of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and the Partners hereby irrevocably waive any and all other rights they may have to cause a dissolution of the Partnership or a sale or partition of any or all of the Partnership assets.</w:t>
      </w:r>
    </w:p>
    <w:p>
      <w:pPr>
        <w:spacing w:after="0" w:line="160"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12.2 </w:t>
      </w:r>
      <w:r>
        <w:rPr>
          <w:rFonts w:ascii="Times New Roman" w:cs="Times New Roman" w:eastAsia="Times New Roman" w:hAnsi="Times New Roman"/>
          <w:sz w:val="19"/>
          <w:szCs w:val="19"/>
          <w:u w:val="single" w:color="auto"/>
          <w:color w:val="auto"/>
        </w:rPr>
        <w:t>Events Causing Dissolution</w:t>
      </w:r>
      <w:r>
        <w:rPr>
          <w:rFonts w:ascii="Times New Roman" w:cs="Times New Roman" w:eastAsia="Times New Roman" w:hAnsi="Times New Roman"/>
          <w:sz w:val="19"/>
          <w:szCs w:val="19"/>
          <w:color w:val="auto"/>
        </w:rPr>
        <w:t>. The Partnership shall be dissolved and its affairs shall be wound up upon the occurrence of any of the following events (each, a “</w:t>
      </w:r>
      <w:r>
        <w:rPr>
          <w:rFonts w:ascii="Times New Roman" w:cs="Times New Roman" w:eastAsia="Times New Roman" w:hAnsi="Times New Roman"/>
          <w:sz w:val="19"/>
          <w:szCs w:val="19"/>
          <w:u w:val="single" w:color="auto"/>
          <w:color w:val="auto"/>
        </w:rPr>
        <w:t>Liquidating Event</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ind w:left="1900" w:hanging="622"/>
        <w:spacing w:after="0"/>
        <w:tabs>
          <w:tab w:leader="none" w:pos="190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of all or substantially all of the Partnership’s assets;</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there are no limited partners of the Partnership;</w:t>
      </w:r>
    </w:p>
    <w:p>
      <w:pPr>
        <w:spacing w:after="0" w:line="232"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Incapacity or removal of the General Partner or the occurrence of a Disabling Event with respect to the General Partner (each, an “</w:t>
      </w:r>
      <w:r>
        <w:rPr>
          <w:rFonts w:ascii="Times New Roman" w:cs="Times New Roman" w:eastAsia="Times New Roman" w:hAnsi="Times New Roman"/>
          <w:sz w:val="19"/>
          <w:szCs w:val="19"/>
          <w:u w:val="single" w:color="auto"/>
          <w:color w:val="auto"/>
        </w:rPr>
        <w:t>Event of Withdrawal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Partnership will not be dissolved or required to be wound up in connection with any of the events specified in this </w:t>
      </w:r>
      <w:r>
        <w:rPr>
          <w:rFonts w:ascii="Times New Roman" w:cs="Times New Roman" w:eastAsia="Times New Roman" w:hAnsi="Times New Roman"/>
          <w:sz w:val="19"/>
          <w:szCs w:val="19"/>
          <w:u w:val="single" w:color="auto"/>
          <w:color w:val="auto"/>
        </w:rPr>
        <w:t>Section 12.2(c)</w:t>
      </w:r>
      <w:r>
        <w:rPr>
          <w:rFonts w:ascii="Times New Roman" w:cs="Times New Roman" w:eastAsia="Times New Roman" w:hAnsi="Times New Roman"/>
          <w:sz w:val="19"/>
          <w:szCs w:val="19"/>
          <w:color w:val="auto"/>
        </w:rPr>
        <w:t xml:space="preserve"> if, within ninety (90) days after the Event of Withdrawal, the Consent of the Special Limited Partner is delivered with respect to the appointment, effective as of the Event of Withdrawal, of another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89" w:right="339" w:bottom="1440" w:gutter="0" w:footer="0" w:header="0"/>
        </w:sectPr>
      </w:pPr>
    </w:p>
    <w:bookmarkStart w:id="179" w:name="page180"/>
    <w:bookmarkEnd w:id="179"/>
    <w:p>
      <w:pPr>
        <w:ind w:left="1900" w:hanging="622"/>
        <w:spacing w:after="0"/>
        <w:tabs>
          <w:tab w:leader="none" w:pos="19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election to dissolve the Partnership made by the General Partner, with the Consent of the Special Limited Partner; or</w:t>
      </w:r>
    </w:p>
    <w:p>
      <w:pPr>
        <w:spacing w:after="0" w:line="232" w:lineRule="exact"/>
        <w:rPr>
          <w:rFonts w:ascii="Times New Roman" w:cs="Times New Roman" w:eastAsia="Times New Roman" w:hAnsi="Times New Roman"/>
          <w:sz w:val="19"/>
          <w:szCs w:val="19"/>
          <w:color w:val="auto"/>
        </w:rPr>
      </w:pPr>
    </w:p>
    <w:p>
      <w:pPr>
        <w:ind w:left="1900" w:hanging="622"/>
        <w:spacing w:after="0"/>
        <w:tabs>
          <w:tab w:leader="none" w:pos="19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entry of a decree of judicial dissolution under Section 17-802 of the Act.</w:t>
      </w:r>
    </w:p>
    <w:p>
      <w:pPr>
        <w:spacing w:after="0" w:line="21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12.3</w:t>
      </w:r>
      <w:r>
        <w:rPr>
          <w:sz w:val="20"/>
          <w:szCs w:val="20"/>
          <w:color w:val="auto"/>
        </w:rPr>
        <w:tab/>
      </w:r>
      <w:r>
        <w:rPr>
          <w:rFonts w:ascii="Times New Roman" w:cs="Times New Roman" w:eastAsia="Times New Roman" w:hAnsi="Times New Roman"/>
          <w:sz w:val="19"/>
          <w:szCs w:val="19"/>
          <w:u w:val="single" w:color="auto"/>
          <w:color w:val="auto"/>
        </w:rPr>
        <w:t>Distribution upon Dissolution</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1" w:lineRule="auto"/>
        <w:tabs>
          <w:tab w:leader="none" w:pos="189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dissolution of the Partnership pursuant to </w:t>
      </w:r>
      <w:r>
        <w:rPr>
          <w:rFonts w:ascii="Times New Roman" w:cs="Times New Roman" w:eastAsia="Times New Roman" w:hAnsi="Times New Roman"/>
          <w:sz w:val="19"/>
          <w:szCs w:val="19"/>
          <w:u w:val="single" w:color="auto"/>
          <w:color w:val="auto"/>
        </w:rPr>
        <w:t>Section 12.2</w:t>
      </w:r>
      <w:r>
        <w:rPr>
          <w:rFonts w:ascii="Times New Roman" w:cs="Times New Roman" w:eastAsia="Times New Roman" w:hAnsi="Times New Roman"/>
          <w:sz w:val="19"/>
          <w:szCs w:val="19"/>
          <w:color w:val="auto"/>
        </w:rPr>
        <w:t xml:space="preserve">, unless the Partnership is continued pursuant to </w:t>
      </w:r>
      <w:r>
        <w:rPr>
          <w:rFonts w:ascii="Times New Roman" w:cs="Times New Roman" w:eastAsia="Times New Roman" w:hAnsi="Times New Roman"/>
          <w:sz w:val="19"/>
          <w:szCs w:val="19"/>
          <w:u w:val="single" w:color="auto"/>
          <w:color w:val="auto"/>
        </w:rPr>
        <w:t>Section 12.2</w:t>
      </w:r>
      <w:r>
        <w:rPr>
          <w:rFonts w:ascii="Times New Roman" w:cs="Times New Roman" w:eastAsia="Times New Roman" w:hAnsi="Times New Roman"/>
          <w:sz w:val="19"/>
          <w:szCs w:val="19"/>
          <w:color w:val="auto"/>
        </w:rPr>
        <w:t>, the General Partner (or, in the event that there is no remaining General Partner or the General Partner has dissolved, become Bankrupt or ceased to operate, any Person elected by a Majority in Interest of the Partners (the General Partner or such other Person being referred to herein as the “</w:t>
      </w:r>
      <w:r>
        <w:rPr>
          <w:rFonts w:ascii="Times New Roman" w:cs="Times New Roman" w:eastAsia="Times New Roman" w:hAnsi="Times New Roman"/>
          <w:sz w:val="19"/>
          <w:szCs w:val="19"/>
          <w:u w:val="single" w:color="auto"/>
          <w:color w:val="auto"/>
        </w:rPr>
        <w:t>Liquidator</w:t>
      </w:r>
      <w:r>
        <w:rPr>
          <w:rFonts w:ascii="Times New Roman" w:cs="Times New Roman" w:eastAsia="Times New Roman" w:hAnsi="Times New Roman"/>
          <w:sz w:val="19"/>
          <w:szCs w:val="19"/>
          <w:color w:val="auto"/>
        </w:rPr>
        <w:t>”)) shall be responsible for overseeing the winding up and dissolution of the Partnership and shall take full account of the Partnership’s liabilities and property, and the Partnership property shall be liquidated as promptly as is consistent with obtaining the fair value thereof, and the proceeds therefrom (which may, to the extent determined by the General Partner, include shares of stock in the Special Limited Partner) shall be applied and distributed in the following order:</w:t>
      </w:r>
    </w:p>
    <w:p>
      <w:pPr>
        <w:spacing w:after="0" w:line="178"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6"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to the satisfaction of all of the Partnership’s debts and liabilities to creditors including Partners who are creditors (other than with respect to liabilities owed to Partners in satisfaction of liabilities for distributions), whether by payment or the making of reasonable provision for payment thereof;</w:t>
      </w:r>
    </w:p>
    <w:p>
      <w:pPr>
        <w:spacing w:after="0" w:line="168" w:lineRule="exact"/>
        <w:rPr>
          <w:rFonts w:ascii="Times New Roman" w:cs="Times New Roman" w:eastAsia="Times New Roman" w:hAnsi="Times New Roman"/>
          <w:sz w:val="19"/>
          <w:szCs w:val="19"/>
          <w:color w:val="auto"/>
        </w:rPr>
      </w:pPr>
    </w:p>
    <w:p>
      <w:pPr>
        <w:ind w:left="640" w:firstLine="1274"/>
        <w:spacing w:after="0" w:line="285" w:lineRule="auto"/>
        <w:tabs>
          <w:tab w:leader="none" w:pos="2547"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 the satisfaction of all of the Partnership’s liabilities to the Partners in satisfaction of liabilities for distributions, whether by payment or the making of reasonable provision for payment thereof; and</w:t>
      </w:r>
    </w:p>
    <w:p>
      <w:pPr>
        <w:spacing w:after="0" w:line="156"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8"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any Partnership Unit Designation, the balance, if any, to the Holders in accordance with and in proportion to their positive Capital Account balances, after giving effect to all contributions, distributions and allocations for all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General Partner shall not receive any additional compensation for any services performed pursuant to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1" w:lineRule="auto"/>
        <w:tabs>
          <w:tab w:leader="none" w:pos="1896"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provisions of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 xml:space="preserve">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 undivided interests in such Partnership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68" w:lineRule="exact"/>
        <w:rPr>
          <w:rFonts w:ascii="Times New Roman" w:cs="Times New Roman" w:eastAsia="Times New Roman" w:hAnsi="Times New Roman"/>
          <w:sz w:val="19"/>
          <w:szCs w:val="19"/>
          <w:color w:val="auto"/>
        </w:rPr>
      </w:pPr>
    </w:p>
    <w:p>
      <w:pPr>
        <w:ind w:firstLine="1278"/>
        <w:spacing w:after="0" w:line="300" w:lineRule="auto"/>
        <w:tabs>
          <w:tab w:leader="none" w:pos="189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Partnership is “liquidated,” within the meaning of Regulations section 1.704-1(b)(2)(ii)(g), distributions shall be made pursuant to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89" w:right="339" w:bottom="1440" w:gutter="0" w:footer="0" w:header="0"/>
        </w:sectPr>
      </w:pPr>
    </w:p>
    <w:bookmarkStart w:id="180" w:name="page181"/>
    <w:bookmarkEnd w:id="180"/>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In the sole and absolute discretion of the General Partner or the Liquidator, a pro rata portion of the distributions that would otherwise be made to the Holders pursuant to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may be:</w:t>
      </w:r>
    </w:p>
    <w:p>
      <w:pPr>
        <w:spacing w:after="0" w:line="180" w:lineRule="exact"/>
        <w:rPr>
          <w:sz w:val="20"/>
          <w:szCs w:val="20"/>
          <w:color w:val="auto"/>
        </w:rPr>
      </w:pPr>
    </w:p>
    <w:p>
      <w:pPr>
        <w:jc w:val="both"/>
        <w:ind w:left="640" w:firstLine="1274"/>
        <w:spacing w:after="0" w:line="264" w:lineRule="auto"/>
        <w:tabs>
          <w:tab w:leader="none" w:pos="254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distributed to a trust established for the benefit of the General Partner and the Holders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Holders, from time to time, in the reasonable discretion of the General Partner, in the same proportions and amounts as would otherwise have been distributed to the Holders pursuant to this Agreement; or</w:t>
      </w:r>
    </w:p>
    <w:p>
      <w:pPr>
        <w:spacing w:after="0" w:line="176" w:lineRule="exact"/>
        <w:rPr>
          <w:rFonts w:ascii="Times New Roman" w:cs="Times New Roman" w:eastAsia="Times New Roman" w:hAnsi="Times New Roman"/>
          <w:sz w:val="19"/>
          <w:szCs w:val="19"/>
          <w:color w:val="auto"/>
        </w:rPr>
      </w:pPr>
    </w:p>
    <w:p>
      <w:pPr>
        <w:jc w:val="both"/>
        <w:ind w:left="640" w:firstLine="1274"/>
        <w:spacing w:after="0" w:line="273" w:lineRule="auto"/>
        <w:tabs>
          <w:tab w:leader="none" w:pos="254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withheld or escrowed to provide a reasonable reserve for Partnership liabilities (contingent or otherwise) and to reflect the unrealized portion of any installment obligations owed to the Partnership;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withheld or escrowed amounts shall be distributed to the Holders in the manner and order of priority set forth in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 xml:space="preserve"> as soon as practicable.</w:t>
      </w:r>
    </w:p>
    <w:p>
      <w:pPr>
        <w:spacing w:after="0" w:line="15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12.1 </w:t>
      </w:r>
      <w:r>
        <w:rPr>
          <w:rFonts w:ascii="Times New Roman" w:cs="Times New Roman" w:eastAsia="Times New Roman" w:hAnsi="Times New Roman"/>
          <w:sz w:val="19"/>
          <w:szCs w:val="19"/>
          <w:u w:val="single" w:color="auto"/>
          <w:color w:val="auto"/>
        </w:rPr>
        <w:t>Rights of Holders</w:t>
      </w:r>
      <w:r>
        <w:rPr>
          <w:rFonts w:ascii="Times New Roman" w:cs="Times New Roman" w:eastAsia="Times New Roman" w:hAnsi="Times New Roman"/>
          <w:sz w:val="19"/>
          <w:szCs w:val="19"/>
          <w:color w:val="auto"/>
        </w:rPr>
        <w:t>. Except as otherwise provided in this Agreement and subject to the rights of any Holder set forth in a Partnership Unit Designation, (a) each Holder shall look solely to the assets of the Partnership for the return of its Capital Contribution, (b) no Holder shall have the right or power to demand or receive property other than cash from the Partnership and (c) no Holder shall have priority over any other Holder as to the return of its Capital Contributions, distributions or allocations.</w:t>
      </w:r>
    </w:p>
    <w:p>
      <w:pPr>
        <w:spacing w:after="0" w:line="173"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12.5 </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xml:space="preserve">. The Partnership shall terminate when all of the assets of the Partnership, after payment of or due provision for all debts, liabilities and obligations of the Partnership, shall have been distributed to the holders of Partnership Units in the manner provided for in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and the Certificate shall have been canceled in the manner required by the Act.</w:t>
      </w:r>
    </w:p>
    <w:p>
      <w:pPr>
        <w:spacing w:after="0" w:line="155" w:lineRule="exact"/>
        <w:rPr>
          <w:sz w:val="20"/>
          <w:szCs w:val="20"/>
          <w:color w:val="auto"/>
        </w:rPr>
      </w:pPr>
    </w:p>
    <w:p>
      <w:pPr>
        <w:jc w:val="both"/>
        <w:ind w:firstLine="636"/>
        <w:spacing w:after="0" w:line="280" w:lineRule="auto"/>
        <w:rPr>
          <w:sz w:val="20"/>
          <w:szCs w:val="20"/>
          <w:color w:val="auto"/>
        </w:rPr>
      </w:pPr>
      <w:r>
        <w:rPr>
          <w:rFonts w:ascii="Times New Roman" w:cs="Times New Roman" w:eastAsia="Times New Roman" w:hAnsi="Times New Roman"/>
          <w:sz w:val="19"/>
          <w:szCs w:val="19"/>
          <w:color w:val="auto"/>
        </w:rPr>
        <w:t xml:space="preserve">Section 12.6 </w:t>
      </w:r>
      <w:r>
        <w:rPr>
          <w:rFonts w:ascii="Times New Roman" w:cs="Times New Roman" w:eastAsia="Times New Roman" w:hAnsi="Times New Roman"/>
          <w:sz w:val="19"/>
          <w:szCs w:val="19"/>
          <w:u w:val="single" w:color="auto"/>
          <w:color w:val="auto"/>
        </w:rPr>
        <w:t>Reasonable Time for Winding Up</w:t>
      </w:r>
      <w:r>
        <w:rPr>
          <w:rFonts w:ascii="Times New Roman" w:cs="Times New Roman" w:eastAsia="Times New Roman" w:hAnsi="Times New Roman"/>
          <w:sz w:val="19"/>
          <w:szCs w:val="19"/>
          <w:color w:val="auto"/>
        </w:rPr>
        <w:t xml:space="preserve">. A reasonable time shall be allowed for the orderly winding up of the business and affairs of the Partnership and the liquidation of its assets pursuant to </w:t>
      </w:r>
      <w:r>
        <w:rPr>
          <w:rFonts w:ascii="Times New Roman" w:cs="Times New Roman" w:eastAsia="Times New Roman" w:hAnsi="Times New Roman"/>
          <w:sz w:val="19"/>
          <w:szCs w:val="19"/>
          <w:u w:val="single" w:color="auto"/>
          <w:color w:val="auto"/>
        </w:rPr>
        <w:t>Section 12.3</w:t>
      </w:r>
      <w:r>
        <w:rPr>
          <w:rFonts w:ascii="Times New Roman" w:cs="Times New Roman" w:eastAsia="Times New Roman" w:hAnsi="Times New Roman"/>
          <w:sz w:val="19"/>
          <w:szCs w:val="19"/>
          <w:color w:val="auto"/>
        </w:rPr>
        <w:t>, in order to minimize any losses otherwise attendant upon such winding up, and the provisions of this Agreement shall remain in effect between and among the Partners during the period of liquidation.</w:t>
      </w:r>
    </w:p>
    <w:p>
      <w:pPr>
        <w:spacing w:after="0" w:line="1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Article XIII</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PROCEDURES FOR ACTIONS AND CONSENTS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PARTNERS; AMENDMENTS; MEETINGS</w:t>
      </w:r>
    </w:p>
    <w:p>
      <w:pPr>
        <w:spacing w:after="0" w:line="217" w:lineRule="exact"/>
        <w:rPr>
          <w:sz w:val="20"/>
          <w:szCs w:val="20"/>
          <w:color w:val="auto"/>
        </w:rPr>
      </w:pPr>
    </w:p>
    <w:p>
      <w:pPr>
        <w:jc w:val="both"/>
        <w:ind w:right="20" w:firstLine="636"/>
        <w:spacing w:after="0" w:line="285" w:lineRule="auto"/>
        <w:rPr>
          <w:sz w:val="20"/>
          <w:szCs w:val="20"/>
          <w:color w:val="auto"/>
        </w:rPr>
      </w:pPr>
      <w:r>
        <w:rPr>
          <w:rFonts w:ascii="Times New Roman" w:cs="Times New Roman" w:eastAsia="Times New Roman" w:hAnsi="Times New Roman"/>
          <w:sz w:val="19"/>
          <w:szCs w:val="19"/>
          <w:color w:val="auto"/>
        </w:rPr>
        <w:t xml:space="preserve">Section 13.1 </w:t>
      </w:r>
      <w:r>
        <w:rPr>
          <w:rFonts w:ascii="Times New Roman" w:cs="Times New Roman" w:eastAsia="Times New Roman" w:hAnsi="Times New Roman"/>
          <w:sz w:val="19"/>
          <w:szCs w:val="19"/>
          <w:u w:val="single" w:color="auto"/>
          <w:color w:val="auto"/>
        </w:rPr>
        <w:t>Actions and Consents of Partners</w:t>
      </w:r>
      <w:r>
        <w:rPr>
          <w:rFonts w:ascii="Times New Roman" w:cs="Times New Roman" w:eastAsia="Times New Roman" w:hAnsi="Times New Roman"/>
          <w:sz w:val="19"/>
          <w:szCs w:val="19"/>
          <w:color w:val="auto"/>
        </w:rPr>
        <w:t xml:space="preserve">. The actions requiring Consent of any Partner pursuant to this Agreement, or otherwise pursuant to applicable law, are subject to the procedures set forth in this </w:t>
      </w:r>
      <w:r>
        <w:rPr>
          <w:rFonts w:ascii="Times New Roman" w:cs="Times New Roman" w:eastAsia="Times New Roman" w:hAnsi="Times New Roman"/>
          <w:sz w:val="19"/>
          <w:szCs w:val="19"/>
          <w:u w:val="single" w:color="auto"/>
          <w:color w:val="auto"/>
        </w:rPr>
        <w:t>Article XIII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89" w:right="339" w:bottom="1440" w:gutter="0" w:footer="0" w:header="0"/>
        </w:sectPr>
      </w:pPr>
    </w:p>
    <w:bookmarkStart w:id="181" w:name="page182"/>
    <w:bookmarkEnd w:id="181"/>
    <w:p>
      <w:pPr>
        <w:jc w:val="both"/>
        <w:ind w:firstLine="636"/>
        <w:spacing w:after="0" w:line="258" w:lineRule="auto"/>
        <w:rPr>
          <w:sz w:val="20"/>
          <w:szCs w:val="20"/>
          <w:color w:val="auto"/>
        </w:rPr>
      </w:pPr>
      <w:r>
        <w:rPr>
          <w:rFonts w:ascii="Times New Roman" w:cs="Times New Roman" w:eastAsia="Times New Roman" w:hAnsi="Times New Roman"/>
          <w:sz w:val="19"/>
          <w:szCs w:val="19"/>
          <w:color w:val="auto"/>
        </w:rPr>
        <w:t xml:space="preserve">Section 13.2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xml:space="preserve">. Except as otherwise required or permitted by this Agreement (including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amendments to this Agreement (including, for purposes of clarity and the avoidance of any doubt, the Schedules hereto) must be approved by (x) to the extent related exclusively to the AdCo Professionals Partners or the AdCo Common Units, the Consent of PWP LLC and the Consent of a Majority in Interest of the AdCo Professionals Partners and (y) otherwise, the Consent of the General Partner and the Consent of the Partners, and may be proposed only by (a) the General Partner, or (b) Limited Partners holding a majority of the Partnership Common Units then held by Limited Partners (excluding the Special Limited Partner and any Controlled Entity of the Special Limited Partner). Following such proposal, the General Partner shall submit to the applicable Partners any proposed amendment that, pursuant to the terms of this Agreement, requires the Consent of such Partners. The General Partner shall seek the Consent of the Partners entitled to vote thereon on any such proposed amendment in accordance with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Upon obtaining any such Consent, or any other Consent required by this Agreement, and without further action or execution by any other Person, including any Limited Partner, (i) any amendment to this Agreement may be implemented and reflected in a writing executed solely by the General Partner, and (ii) the Holders shall be deemed a party to and bound by such amendment of this Agreement. Within thirty (30) days after the effectiveness of any amendment to this Agreement that does not receive the Consent of all Partners, the General Partner shall deliver notice of the adoption of such amendment (and to the extent not already delivered to such Partners, a copy of such amendment) to all Partners that did not Consent to such amendment. For the avoidance of doubt, notwithstanding anything to the contrary in this Agreement, this Agreement may not be amended without the Consent of the General Partner.</w:t>
      </w:r>
    </w:p>
    <w:p>
      <w:pPr>
        <w:spacing w:after="0" w:line="18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13.3</w:t>
      </w:r>
      <w:r>
        <w:rPr>
          <w:sz w:val="20"/>
          <w:szCs w:val="20"/>
          <w:color w:val="auto"/>
        </w:rPr>
        <w:tab/>
      </w:r>
      <w:r>
        <w:rPr>
          <w:rFonts w:ascii="Times New Roman" w:cs="Times New Roman" w:eastAsia="Times New Roman" w:hAnsi="Times New Roman"/>
          <w:sz w:val="19"/>
          <w:szCs w:val="19"/>
          <w:u w:val="single" w:color="auto"/>
          <w:color w:val="auto"/>
        </w:rPr>
        <w:t>Procedures for Meetings and Actions of the Partners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1" w:lineRule="auto"/>
        <w:tabs>
          <w:tab w:leader="none" w:pos="189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Meetings of the Partners may be called only by the General Partner. The call shall state the nature of the business to be transacted. Notice of any such meeting shall be given to all Partners entitled to act at the meeting not less than ten (10) days nor more than ninety (90) days prior to the date of such meeting. Partners may vote in person or by proxy at such meeting. Unless approval by a different number or proportion of the Partners is required by this Agreement, or any Partnership Unit Designation, the affirmative vote of a Majority in Interest of the Partners shall be sufficient to approve such proposal at a meeting of the Partners. Whenever the Consent of any Partners is permitted or required under this Agreement, such Consent may be given at a meeting of Partners or in accordance with the procedure prescribed in </w:t>
      </w:r>
      <w:r>
        <w:rPr>
          <w:rFonts w:ascii="Times New Roman" w:cs="Times New Roman" w:eastAsia="Times New Roman" w:hAnsi="Times New Roman"/>
          <w:sz w:val="19"/>
          <w:szCs w:val="19"/>
          <w:u w:val="single" w:color="auto"/>
          <w:color w:val="auto"/>
        </w:rPr>
        <w:t>Section 13.3(b)</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action requiring the Consent of any Partner or a group of Partners pursuant to this Agreement, or that is required or permitted to be taken at a meeting of the Partners may be taken without a meeting if a Consent in writing or by electronic transmission setting forth the action so taken or consented to is given by Partners whose affirmative vote would be sufficient to approve such action or provide such Consent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of receipt of notice, and failure to respond in such time period shall constitute a Consent that is consistent with the General Partner’s recommendation with respect to the proposal;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 action shall become effective at such time as requisite Consents are received even if prior to such specified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389" w:right="339" w:bottom="1440" w:gutter="0" w:footer="0" w:header="0"/>
        </w:sectPr>
      </w:pPr>
    </w:p>
    <w:bookmarkStart w:id="182" w:name="page183"/>
    <w:bookmarkEnd w:id="182"/>
    <w:p>
      <w:pPr>
        <w:jc w:val="both"/>
        <w:ind w:firstLine="1278"/>
        <w:spacing w:after="0" w:line="263" w:lineRule="auto"/>
        <w:tabs>
          <w:tab w:leader="none" w:pos="189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Partner entitled to act at a meeting of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 to be effective upon the Partnership’s receipt of written notice of such revocation from the Partner executing such proxy, unless such proxy states that it is irrevocable and is coupled with an interest.</w:t>
      </w:r>
    </w:p>
    <w:p>
      <w:pPr>
        <w:spacing w:after="0" w:line="180"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may set, in advance, a record date for the purpose of determining the Partners (i) entitled to Consent to any action, (ii) entitled to receive notice of or vote at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ten (10) days, before the date on which the meeting is to be held. If no record date is fixed, the record date for the determination of Partners entitled to notice of or to vote at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vote at any meeting of the Partners has been made as provided in this section, such determination shall apply to any adjournment thereof.</w:t>
      </w:r>
    </w:p>
    <w:p>
      <w:pPr>
        <w:spacing w:after="0" w:line="166"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Special Limited Partner’s stockholders and may be held at the same time as, and as part of, the meetings of the Special Limited Partner’s stockholders.</w:t>
      </w:r>
    </w:p>
    <w:p>
      <w:pPr>
        <w:spacing w:after="0" w:line="1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Article XIV</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REDEMPTION RIGHTS</w:t>
      </w:r>
    </w:p>
    <w:p>
      <w:pPr>
        <w:spacing w:after="0" w:line="22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14.1</w:t>
      </w:r>
      <w:r>
        <w:rPr>
          <w:sz w:val="20"/>
          <w:szCs w:val="20"/>
          <w:color w:val="auto"/>
        </w:rPr>
        <w:tab/>
      </w:r>
      <w:r>
        <w:rPr>
          <w:rFonts w:ascii="Times New Roman" w:cs="Times New Roman" w:eastAsia="Times New Roman" w:hAnsi="Times New Roman"/>
          <w:sz w:val="19"/>
          <w:szCs w:val="19"/>
          <w:u w:val="single" w:color="auto"/>
          <w:color w:val="auto"/>
        </w:rPr>
        <w:t>Exchange of Exchangeable Units</w:t>
      </w:r>
      <w:r>
        <w:rPr>
          <w:rFonts w:ascii="Times New Roman" w:cs="Times New Roman" w:eastAsia="Times New Roman" w:hAnsi="Times New Roman"/>
          <w:sz w:val="19"/>
          <w:szCs w:val="19"/>
          <w:color w:val="auto"/>
        </w:rPr>
        <w:t>.</w:t>
      </w:r>
    </w:p>
    <w:p>
      <w:pPr>
        <w:spacing w:after="0" w:line="259" w:lineRule="exact"/>
        <w:rPr>
          <w:sz w:val="20"/>
          <w:szCs w:val="20"/>
          <w:color w:val="auto"/>
        </w:rPr>
      </w:pPr>
    </w:p>
    <w:p>
      <w:pPr>
        <w:jc w:val="both"/>
        <w:ind w:firstLine="1278"/>
        <w:spacing w:after="0" w:line="259" w:lineRule="auto"/>
        <w:tabs>
          <w:tab w:leader="none" w:pos="1898"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each Quarterly Exchange Date, after the expiration or earlier termination or waiver of any applicable Lock-Up Period, each Qualifying Party shall be entitled, upon the terms and subject to the conditions hereof, to surrender Partnership Class A-0 Common Units or Partnership Class A-1 Common Units (the “</w:t>
      </w:r>
      <w:r>
        <w:rPr>
          <w:rFonts w:ascii="Times New Roman" w:cs="Times New Roman" w:eastAsia="Times New Roman" w:hAnsi="Times New Roman"/>
          <w:sz w:val="19"/>
          <w:szCs w:val="19"/>
          <w:u w:val="single" w:color="auto"/>
          <w:color w:val="auto"/>
        </w:rPr>
        <w:t>Exchangeable Units</w:t>
      </w:r>
      <w:r>
        <w:rPr>
          <w:rFonts w:ascii="Times New Roman" w:cs="Times New Roman" w:eastAsia="Times New Roman" w:hAnsi="Times New Roman"/>
          <w:sz w:val="19"/>
          <w:szCs w:val="19"/>
          <w:color w:val="auto"/>
        </w:rPr>
        <w:t>”) in exchange for the delivery to such exchanging Qualifying Party (for each Exchangeable Unit so surrendered) of the Cash Amount or, in the sole discretion of the Special Limited Partner, the Stock Amount (such exchange, an “</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the consent of the General Partner, any such Exchange is for a minimum of the lesser of ten thousand (10,000) Exchangeable Units (as adjusted for any unit split, unit distribution, reverse unit split, reclassification or similar event, in each case with such adjustment being determined by the General Partner) or all of the Exchangeable Units then held by such Qualifying Party. Notwithstanding the foregoing or anything to the contrary herein, (i) a Qualifying Party shall only be entitled to surrender a fractional Exchangeable Unit in connection with an Exchange of all of the Exchangeable Units then held by such Qualifying Party, (ii) to the extent that a Qualifying Party has delivered an Election of Exchange indicating an election to Exchange all of the Exchangeable Units then held by such Qualifying Party other than a fractional Exchangeable Unit, the Partnership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89" w:right="339" w:bottom="1440" w:gutter="0" w:footer="0" w:header="0"/>
        </w:sectPr>
      </w:pPr>
    </w:p>
    <w:bookmarkStart w:id="183" w:name="page184"/>
    <w:bookmarkEnd w:id="183"/>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option to redeem such fractional Exchangeable Unit in accordance with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 xml:space="preserve"> in connection with an Exchange, (iii) each Exchange of a fractional Exchangeable Unit shall be settled pursuant to a redemption of such fractional Exchangeable Unit by the Partnership for an amount of cash (from any source) equal to the proportionate share of the Cash Amount payable in respect of an Exchangeable Unit in such Exchange and (iv) with respect to any Exchange of Partnership Class A-1 Common Units, (A) unless otherwise agreed by the General Partner, such Partnership Class A-1 Common Units shall automatically be converted into an equivalent number of Partnership Class A-0 Common Units concurrently with the consummation of such Exchange, (B) a Holder shall only be entitled to exchange Partnership Class A-1 Common Units to the extent that an equivalent number of such Holder’s VoteCo Professionals Class A-1 Common Units are redeemed concurrently therewith pursuant to the VoteCo Professionals LPA, (C) the consummation of the Exchange is subject to (I) the expiration or termination of the applicable waiting period, if any, under the HSR Act and (II) the Partnership’s receipt of a release from the Holder, in substantially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and (D) to the extent that (I) any such Partnership Class A-1 Common Unit is forfeited pursuant to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prior to the applicable Quarterly Exchange Date (or, to the extent applicable, any later settlement date that complies with the terms of this Agreement) or (II) the Lock-Up Period is reinstated with respect to any such Partnership Class A-1 Common Unit as a result of the Holder’s (or its Associated Person’s) resignation without Good Reason, such Partnership Class A-1 Common Unit shall (x) automatically be withdrawn on the applicable date of forfeiture or reinstatement, as applicable, and (y) to the extent reallocated to a Holder pursuant to </w:t>
      </w:r>
      <w:r>
        <w:rPr>
          <w:rFonts w:ascii="Times New Roman" w:cs="Times New Roman" w:eastAsia="Times New Roman" w:hAnsi="Times New Roman"/>
          <w:sz w:val="19"/>
          <w:szCs w:val="19"/>
          <w:u w:val="single" w:color="auto"/>
          <w:color w:val="auto"/>
        </w:rPr>
        <w:t>Section 7.10(c)</w:t>
      </w:r>
      <w:r>
        <w:rPr>
          <w:rFonts w:ascii="Times New Roman" w:cs="Times New Roman" w:eastAsia="Times New Roman" w:hAnsi="Times New Roman"/>
          <w:sz w:val="19"/>
          <w:szCs w:val="19"/>
          <w:color w:val="auto"/>
        </w:rPr>
        <w:t xml:space="preserve"> following the delivery of an Election of Exchange by such Holder for the Exchange of all of the Partnership Class A-1 Common Units held by such Holder but before the consummation of such Exchange, automatically be exchanged in such Exchange.</w:t>
      </w:r>
    </w:p>
    <w:p>
      <w:pPr>
        <w:spacing w:after="0" w:line="191" w:lineRule="exact"/>
        <w:rPr>
          <w:sz w:val="20"/>
          <w:szCs w:val="20"/>
          <w:color w:val="auto"/>
        </w:rPr>
      </w:pPr>
    </w:p>
    <w:p>
      <w:pPr>
        <w:jc w:val="both"/>
        <w:ind w:firstLine="1278"/>
        <w:spacing w:after="0" w:line="261" w:lineRule="auto"/>
        <w:tabs>
          <w:tab w:leader="none" w:pos="189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Partnership will provide notice thereof to each Qualifying Party eligible to Exchange Exchangeable Units on a Quarterly Exchange Date at least seventy-five (75) days prior to the anticipated date of such Quarterly Exchange Date. A Qualifying Party shall exercise its right to Exchange Exchangeable Units as set forth in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 xml:space="preserve"> by delivering to the Special Limited Partner and to the Partnership a written Election of Exchange, duly executed by such Holder or such Holder’s duly authorized attorney in respect of the Exchangeable Units to be exchanged. In order to be effective, such Election of Exchange must be received by the Partnership and the Special Limited Partner at least sixty (60) days prior to the anticipated Quarterly Exchange Date. Such Election of Exchange shall be irrevocable, except to the extent validly withdrawn in accordance with this Agreement, if applicable.</w:t>
      </w:r>
    </w:p>
    <w:p>
      <w:pPr>
        <w:spacing w:after="0" w:line="17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14.2</w:t>
      </w:r>
      <w:r>
        <w:rPr>
          <w:sz w:val="20"/>
          <w:szCs w:val="20"/>
          <w:color w:val="auto"/>
        </w:rPr>
        <w:tab/>
      </w:r>
      <w:r>
        <w:rPr>
          <w:rFonts w:ascii="Times New Roman" w:cs="Times New Roman" w:eastAsia="Times New Roman" w:hAnsi="Times New Roman"/>
          <w:sz w:val="19"/>
          <w:szCs w:val="19"/>
          <w:u w:val="single" w:color="auto"/>
          <w:color w:val="auto"/>
        </w:rPr>
        <w:t>Exchange for Cash Amount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8"/>
        <w:spacing w:after="0" w:line="264" w:lineRule="auto"/>
        <w:tabs>
          <w:tab w:leader="none" w:pos="189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prior to the applicable Cash Amount Settlement Date, the Partnership shall deposit or cause to be deposited in the account of each applicable exchanging Qualifying Party, as specified in such Qualifying Party’s Election of Exchange, the applicable Cash Amount with respect to the Exchangeable Units to be settled on such Cash Amount Settlement Date that are the subject of an Election of Exchange for the applicable Quarterly Exchange Date (and which has not been validly withdrawn in accordance with this Agreement, if applicable), other than any Exchangeable Unit in respect of which the Special Limited Partner has provided a Stock Settlement Notice on or prior to the Business Day prior to the applicable Quarterly Exchange Date (such date and time the “</w:t>
      </w:r>
      <w:r>
        <w:rPr>
          <w:rFonts w:ascii="Times New Roman" w:cs="Times New Roman" w:eastAsia="Times New Roman" w:hAnsi="Times New Roman"/>
          <w:sz w:val="19"/>
          <w:szCs w:val="19"/>
          <w:u w:val="single" w:color="auto"/>
          <w:color w:val="auto"/>
        </w:rPr>
        <w:t>Cut-Off Date</w:t>
      </w:r>
      <w:r>
        <w:rPr>
          <w:rFonts w:ascii="Times New Roman" w:cs="Times New Roman" w:eastAsia="Times New Roman" w:hAnsi="Times New Roman"/>
          <w:sz w:val="19"/>
          <w:szCs w:val="19"/>
          <w:color w:val="auto"/>
        </w:rPr>
        <w:t>”), against delivery to the Partnership of such Exchangeable Units.</w:t>
      </w:r>
    </w:p>
    <w:p>
      <w:pPr>
        <w:spacing w:after="0" w:line="399" w:lineRule="exact"/>
        <w:rPr>
          <w:rFonts w:ascii="Times New Roman" w:cs="Times New Roman" w:eastAsia="Times New Roman" w:hAnsi="Times New Roman"/>
          <w:sz w:val="19"/>
          <w:szCs w:val="19"/>
          <w:color w:val="auto"/>
        </w:rPr>
      </w:pPr>
    </w:p>
    <w:p>
      <w:pPr>
        <w:jc w:val="both"/>
        <w:ind w:firstLine="1278"/>
        <w:spacing w:after="0" w:line="280" w:lineRule="auto"/>
        <w:tabs>
          <w:tab w:leader="none" w:pos="1896"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neither the Partnership nor the Special Limited Partner shall effectuate, or cause to be effectuated, the payment of any Cash Amount other than as provided in this </w:t>
      </w:r>
      <w:r>
        <w:rPr>
          <w:rFonts w:ascii="Times New Roman" w:cs="Times New Roman" w:eastAsia="Times New Roman" w:hAnsi="Times New Roman"/>
          <w:sz w:val="19"/>
          <w:szCs w:val="19"/>
          <w:u w:val="single" w:color="auto"/>
          <w:color w:val="auto"/>
        </w:rPr>
        <w:t>Section 14.2(b)</w:t>
      </w:r>
      <w:r>
        <w:rPr>
          <w:rFonts w:ascii="Times New Roman" w:cs="Times New Roman" w:eastAsia="Times New Roman" w:hAnsi="Times New Roman"/>
          <w:sz w:val="19"/>
          <w:szCs w:val="19"/>
          <w:color w:val="auto"/>
        </w:rPr>
        <w:t xml:space="preserve"> (other than in respect of a fractional Exchangeable Unit as provided in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89" w:right="339" w:bottom="1440" w:gutter="0" w:footer="0" w:header="0"/>
        </w:sectPr>
      </w:pPr>
    </w:p>
    <w:bookmarkStart w:id="184" w:name="page185"/>
    <w:bookmarkEnd w:id="184"/>
    <w:p>
      <w:pPr>
        <w:jc w:val="both"/>
        <w:ind w:left="-480" w:firstLine="1274"/>
        <w:spacing w:after="0" w:line="263" w:lineRule="auto"/>
        <w:tabs>
          <w:tab w:leader="none" w:pos="1426"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that the Special Limited Partner has provided a Stock Settlement Notice with respect to Exchangeable Units subject to an Election of Exchange in accordance with </w:t>
      </w:r>
      <w:r>
        <w:rPr>
          <w:rFonts w:ascii="Times New Roman" w:cs="Times New Roman" w:eastAsia="Times New Roman" w:hAnsi="Times New Roman"/>
          <w:sz w:val="19"/>
          <w:szCs w:val="19"/>
          <w:u w:val="single" w:color="auto"/>
          <w:color w:val="auto"/>
        </w:rPr>
        <w:t>Section 14.3(a)</w:t>
      </w:r>
      <w:r>
        <w:rPr>
          <w:rFonts w:ascii="Times New Roman" w:cs="Times New Roman" w:eastAsia="Times New Roman" w:hAnsi="Times New Roman"/>
          <w:sz w:val="19"/>
          <w:szCs w:val="19"/>
          <w:color w:val="auto"/>
        </w:rPr>
        <w:t>, the Special Limited Partner shall cause the Partnership to settle the Exchange of Exchangeable Units that are the subject of such Election of Exchange (such Exchangeable Units not subject to a Stock Settlement Notice, the “</w:t>
      </w:r>
      <w:r>
        <w:rPr>
          <w:rFonts w:ascii="Times New Roman" w:cs="Times New Roman" w:eastAsia="Times New Roman" w:hAnsi="Times New Roman"/>
          <w:sz w:val="19"/>
          <w:szCs w:val="19"/>
          <w:u w:val="single" w:color="auto"/>
          <w:color w:val="auto"/>
        </w:rPr>
        <w:t>Cash Settled Units</w:t>
      </w:r>
      <w:r>
        <w:rPr>
          <w:rFonts w:ascii="Times New Roman" w:cs="Times New Roman" w:eastAsia="Times New Roman" w:hAnsi="Times New Roman"/>
          <w:sz w:val="19"/>
          <w:szCs w:val="19"/>
          <w:color w:val="auto"/>
        </w:rPr>
        <w:t>”) with (x) the proceeds of a primary offering of Class A Shares (“</w:t>
      </w:r>
      <w:r>
        <w:rPr>
          <w:rFonts w:ascii="Times New Roman" w:cs="Times New Roman" w:eastAsia="Times New Roman" w:hAnsi="Times New Roman"/>
          <w:sz w:val="19"/>
          <w:szCs w:val="19"/>
          <w:u w:val="single" w:color="auto"/>
          <w:color w:val="auto"/>
        </w:rPr>
        <w:t>Primary Offering Shares</w:t>
      </w:r>
      <w:r>
        <w:rPr>
          <w:rFonts w:ascii="Times New Roman" w:cs="Times New Roman" w:eastAsia="Times New Roman" w:hAnsi="Times New Roman"/>
          <w:sz w:val="19"/>
          <w:szCs w:val="19"/>
          <w:color w:val="auto"/>
        </w:rPr>
        <w:t>”), whether registered under the Securities Act or exempt from such registration, underwritten, sold directly to investors or through agents or other intermediaries, or otherwise distributed (a “</w:t>
      </w:r>
      <w:r>
        <w:rPr>
          <w:rFonts w:ascii="Times New Roman" w:cs="Times New Roman" w:eastAsia="Times New Roman" w:hAnsi="Times New Roman"/>
          <w:sz w:val="19"/>
          <w:szCs w:val="19"/>
          <w:u w:val="single" w:color="auto"/>
          <w:color w:val="auto"/>
        </w:rPr>
        <w:t>Primary Offering</w:t>
      </w:r>
      <w:r>
        <w:rPr>
          <w:rFonts w:ascii="Times New Roman" w:cs="Times New Roman" w:eastAsia="Times New Roman" w:hAnsi="Times New Roman"/>
          <w:sz w:val="19"/>
          <w:szCs w:val="19"/>
          <w:color w:val="auto"/>
        </w:rPr>
        <w:t>”), or (y) cash from any other source (the cash contemplated by clauses (x) and (y), a “</w:t>
      </w:r>
      <w:r>
        <w:rPr>
          <w:rFonts w:ascii="Times New Roman" w:cs="Times New Roman" w:eastAsia="Times New Roman" w:hAnsi="Times New Roman"/>
          <w:sz w:val="19"/>
          <w:szCs w:val="19"/>
          <w:u w:val="single" w:color="auto"/>
          <w:color w:val="auto"/>
        </w:rPr>
        <w:t>Primary Issuance Funding</w:t>
      </w:r>
      <w:r>
        <w:rPr>
          <w:rFonts w:ascii="Times New Roman" w:cs="Times New Roman" w:eastAsia="Times New Roman" w:hAnsi="Times New Roman"/>
          <w:sz w:val="19"/>
          <w:szCs w:val="19"/>
          <w:color w:val="auto"/>
        </w:rPr>
        <w:t xml:space="preserve">”) pursuant to the terms of this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left="-480" w:firstLine="1274"/>
        <w:spacing w:after="0" w:line="273" w:lineRule="auto"/>
        <w:tabs>
          <w:tab w:leader="none" w:pos="1427"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14.2(b)(iv)</w:t>
      </w:r>
      <w:r>
        <w:rPr>
          <w:rFonts w:ascii="Times New Roman" w:cs="Times New Roman" w:eastAsia="Times New Roman" w:hAnsi="Times New Roman"/>
          <w:sz w:val="19"/>
          <w:szCs w:val="19"/>
          <w:color w:val="auto"/>
        </w:rPr>
        <w:t>, the Special Limited Partner must provide notice (a “</w:t>
      </w:r>
      <w:r>
        <w:rPr>
          <w:rFonts w:ascii="Times New Roman" w:cs="Times New Roman" w:eastAsia="Times New Roman" w:hAnsi="Times New Roman"/>
          <w:sz w:val="19"/>
          <w:szCs w:val="19"/>
          <w:u w:val="single" w:color="auto"/>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Offering Notice</w:t>
      </w:r>
      <w:r>
        <w:rPr>
          <w:rFonts w:ascii="Times New Roman" w:cs="Times New Roman" w:eastAsia="Times New Roman" w:hAnsi="Times New Roman"/>
          <w:sz w:val="19"/>
          <w:szCs w:val="19"/>
          <w:color w:val="auto"/>
        </w:rPr>
        <w:t xml:space="preserve">”) of the exercise of its election described in </w:t>
      </w:r>
      <w:r>
        <w:rPr>
          <w:rFonts w:ascii="Times New Roman" w:cs="Times New Roman" w:eastAsia="Times New Roman" w:hAnsi="Times New Roman"/>
          <w:sz w:val="19"/>
          <w:szCs w:val="19"/>
          <w:u w:val="single" w:color="auto"/>
          <w:color w:val="auto"/>
        </w:rPr>
        <w:t>Section 14.2(b)(i)</w:t>
      </w:r>
      <w:r>
        <w:rPr>
          <w:rFonts w:ascii="Times New Roman" w:cs="Times New Roman" w:eastAsia="Times New Roman" w:hAnsi="Times New Roman"/>
          <w:sz w:val="19"/>
          <w:szCs w:val="19"/>
          <w:color w:val="auto"/>
        </w:rPr>
        <w:t xml:space="preserve"> to settle an Exchange of Exchangeable Units with the proceeds of a Primary Offering on or prior to the applicable Cut-Off Date. The Primary Offering Notice shall set forth:</w:t>
      </w:r>
    </w:p>
    <w:p>
      <w:pPr>
        <w:spacing w:after="0" w:line="168" w:lineRule="exact"/>
        <w:rPr>
          <w:rFonts w:ascii="Times New Roman" w:cs="Times New Roman" w:eastAsia="Times New Roman" w:hAnsi="Times New Roman"/>
          <w:sz w:val="19"/>
          <w:szCs w:val="19"/>
          <w:color w:val="auto"/>
        </w:rPr>
      </w:pPr>
    </w:p>
    <w:p>
      <w:pPr>
        <w:ind w:left="2060" w:hanging="630"/>
        <w:spacing w:after="0"/>
        <w:tabs>
          <w:tab w:leader="none" w:pos="206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Primary Offering Shares contemplated to be issued in the Primary Offering;</w:t>
      </w:r>
    </w:p>
    <w:p>
      <w:pPr>
        <w:spacing w:after="0" w:line="232" w:lineRule="exact"/>
        <w:rPr>
          <w:rFonts w:ascii="Times New Roman" w:cs="Times New Roman" w:eastAsia="Times New Roman" w:hAnsi="Times New Roman"/>
          <w:sz w:val="19"/>
          <w:szCs w:val="19"/>
          <w:color w:val="auto"/>
        </w:rPr>
      </w:pPr>
    </w:p>
    <w:p>
      <w:pPr>
        <w:ind w:left="2060" w:hanging="630"/>
        <w:spacing w:after="0"/>
        <w:tabs>
          <w:tab w:leader="none" w:pos="206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such Primary Offering Shares that will be sold in a Permitted ATM Funding;</w:t>
      </w:r>
    </w:p>
    <w:p>
      <w:pPr>
        <w:spacing w:after="0" w:line="218" w:lineRule="exact"/>
        <w:rPr>
          <w:rFonts w:ascii="Times New Roman" w:cs="Times New Roman" w:eastAsia="Times New Roman" w:hAnsi="Times New Roman"/>
          <w:sz w:val="19"/>
          <w:szCs w:val="19"/>
          <w:color w:val="auto"/>
        </w:rPr>
      </w:pPr>
    </w:p>
    <w:p>
      <w:pPr>
        <w:ind w:left="2060" w:hanging="630"/>
        <w:spacing w:after="0"/>
        <w:tabs>
          <w:tab w:leader="none" w:pos="2060"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anticipated settlement date(s) of the Primary Offering;</w:t>
      </w:r>
    </w:p>
    <w:p>
      <w:pPr>
        <w:spacing w:after="0" w:line="232" w:lineRule="exact"/>
        <w:rPr>
          <w:rFonts w:ascii="Times New Roman" w:cs="Times New Roman" w:eastAsia="Times New Roman" w:hAnsi="Times New Roman"/>
          <w:sz w:val="19"/>
          <w:szCs w:val="19"/>
          <w:color w:val="auto"/>
        </w:rPr>
      </w:pPr>
    </w:p>
    <w:p>
      <w:pPr>
        <w:ind w:left="-480" w:firstLine="1910"/>
        <w:spacing w:after="0" w:line="285" w:lineRule="auto"/>
        <w:tabs>
          <w:tab w:leader="none" w:pos="2052"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estimated discounts and commissions or similar costs payable to any underwriters, broker/dealers or placement or selling agents in connection with such Primary Offering; and</w:t>
      </w:r>
    </w:p>
    <w:p>
      <w:pPr>
        <w:spacing w:after="0" w:line="156" w:lineRule="exact"/>
        <w:rPr>
          <w:rFonts w:ascii="Times New Roman" w:cs="Times New Roman" w:eastAsia="Times New Roman" w:hAnsi="Times New Roman"/>
          <w:sz w:val="19"/>
          <w:szCs w:val="19"/>
          <w:color w:val="auto"/>
        </w:rPr>
      </w:pPr>
    </w:p>
    <w:p>
      <w:pPr>
        <w:jc w:val="both"/>
        <w:ind w:left="-480" w:firstLine="1910"/>
        <w:spacing w:after="0" w:line="261" w:lineRule="auto"/>
        <w:tabs>
          <w:tab w:leader="none" w:pos="2052"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reasonably detailed information concerning the manner of distribution, including (x) whether the Primary Offering Shares will be sold at market prices prevailing at the time of sale, at prices related to market prices, at a fixed price or prices subject to change or at negotiated prices; and (y) whether the Primary Offering Shares will be sold on the NASDAQ Capital Market or another national securities exchange (including through at the market offerings); in the over-the-counter market; in a privately negotiated transaction; through broker/dealers, who may act as agents or principals; through one or more underwriters on a firm commitment or best-efforts basis; in a block trade; directly to one or more purchasers; through agents; and/or any combination of the foregoing.</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jc w:val="both"/>
        <w:ind w:left="-480" w:firstLine="1274"/>
        <w:spacing w:after="0" w:line="261" w:lineRule="auto"/>
        <w:tabs>
          <w:tab w:leader="none" w:pos="142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14.2(b)(iv)</w:t>
      </w:r>
      <w:r>
        <w:rPr>
          <w:rFonts w:ascii="Times New Roman" w:cs="Times New Roman" w:eastAsia="Times New Roman" w:hAnsi="Times New Roman"/>
          <w:sz w:val="19"/>
          <w:szCs w:val="19"/>
          <w:color w:val="auto"/>
        </w:rPr>
        <w:t>, each exchanging Qualifying Party shall have the right to elect to withdraw its Election of Exchange with respect to Cash Settled Units for which such Qualifying Party has received a Primary Offering Notice (an exchanging Qualifying Party making such an election being a “</w:t>
      </w:r>
      <w:r>
        <w:rPr>
          <w:rFonts w:ascii="Times New Roman" w:cs="Times New Roman" w:eastAsia="Times New Roman" w:hAnsi="Times New Roman"/>
          <w:sz w:val="19"/>
          <w:szCs w:val="19"/>
          <w:u w:val="single" w:color="auto"/>
          <w:color w:val="auto"/>
        </w:rPr>
        <w:t>Withdrawing Partner</w:t>
      </w:r>
      <w:r>
        <w:rPr>
          <w:rFonts w:ascii="Times New Roman" w:cs="Times New Roman" w:eastAsia="Times New Roman" w:hAnsi="Times New Roman"/>
          <w:sz w:val="19"/>
          <w:szCs w:val="19"/>
          <w:color w:val="auto"/>
        </w:rPr>
        <w:t>”) by providing notice of such election to the Special Limited Partner on or before 5:00 p.m. (New York City Time) on the next Business Day following the Special Limited Partner’s delivery of the Primary Offering Notice (as such time may be extended by the Special Limited Partner in its sole discretion), whereupon the Exchangeable Units of such Withdrawing Partner shall be considered to be withdrawn from the related Exchange in respect of such Quarterly Exchange Date and the number of Primary Offering Shares and Cash Settled Units shall be reduced accordingly. If an exchanging Qualifying Party, within such time period, fails to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120"/>
          </w:cols>
          <w:pgMar w:left="1440" w:top="1389" w:right="339" w:bottom="1440" w:gutter="0" w:footer="0" w:header="0"/>
        </w:sectPr>
      </w:pPr>
    </w:p>
    <w:bookmarkStart w:id="185" w:name="page186"/>
    <w:bookmarkEnd w:id="185"/>
    <w:p>
      <w:pPr>
        <w:ind w:left="640"/>
        <w:spacing w:after="0" w:line="300" w:lineRule="auto"/>
        <w:rPr>
          <w:sz w:val="20"/>
          <w:szCs w:val="20"/>
          <w:color w:val="auto"/>
        </w:rPr>
      </w:pPr>
      <w:r>
        <w:rPr>
          <w:rFonts w:ascii="Times New Roman" w:cs="Times New Roman" w:eastAsia="Times New Roman" w:hAnsi="Times New Roman"/>
          <w:sz w:val="19"/>
          <w:szCs w:val="19"/>
          <w:color w:val="auto"/>
        </w:rPr>
        <w:t>Special Limited Partner of such Qualifying Party’s election to become a Withdrawing Partner, then such Qualifying Party shall be deemed not to have withdrawn from the Exchange.</w:t>
      </w:r>
    </w:p>
    <w:p>
      <w:pPr>
        <w:spacing w:after="0" w:line="130" w:lineRule="exact"/>
        <w:rPr>
          <w:sz w:val="20"/>
          <w:szCs w:val="20"/>
          <w:color w:val="auto"/>
        </w:rPr>
      </w:pPr>
    </w:p>
    <w:p>
      <w:pPr>
        <w:jc w:val="both"/>
        <w:ind w:left="640" w:firstLine="1274"/>
        <w:spacing w:after="0" w:line="263" w:lineRule="auto"/>
        <w:tabs>
          <w:tab w:leader="none" w:pos="2537"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otherwise to the contrary herein, the Special Limited Partner shall not be required to provide a Primary Offering Notice, and Qualifying Parties shall not have the withdrawal rights set forth in </w:t>
      </w:r>
      <w:r>
        <w:rPr>
          <w:rFonts w:ascii="Times New Roman" w:cs="Times New Roman" w:eastAsia="Times New Roman" w:hAnsi="Times New Roman"/>
          <w:sz w:val="19"/>
          <w:szCs w:val="19"/>
          <w:u w:val="single" w:color="auto"/>
          <w:color w:val="auto"/>
        </w:rPr>
        <w:t>Section 14.2(b)(iii)</w:t>
      </w:r>
      <w:r>
        <w:rPr>
          <w:rFonts w:ascii="Times New Roman" w:cs="Times New Roman" w:eastAsia="Times New Roman" w:hAnsi="Times New Roman"/>
          <w:sz w:val="19"/>
          <w:szCs w:val="19"/>
          <w:color w:val="auto"/>
        </w:rPr>
        <w:t xml:space="preserve">, with respect to any Primary Offering to the extent it qualifies as a Permitted ATM Funding. For purposes of clarity and the avoidance of any doubt, the Special Limited Partner shall not be required to provide a Primary Offering Notice, and Qualifying Parties shall not have the withdrawal rights set forth in </w:t>
      </w:r>
      <w:r>
        <w:rPr>
          <w:rFonts w:ascii="Times New Roman" w:cs="Times New Roman" w:eastAsia="Times New Roman" w:hAnsi="Times New Roman"/>
          <w:sz w:val="19"/>
          <w:szCs w:val="19"/>
          <w:u w:val="single" w:color="auto"/>
          <w:color w:val="auto"/>
        </w:rPr>
        <w:t>Section 14.2(b)(iii)</w:t>
      </w:r>
      <w:r>
        <w:rPr>
          <w:rFonts w:ascii="Times New Roman" w:cs="Times New Roman" w:eastAsia="Times New Roman" w:hAnsi="Times New Roman"/>
          <w:sz w:val="19"/>
          <w:szCs w:val="19"/>
          <w:color w:val="auto"/>
        </w:rPr>
        <w:t>, to the extent an Exchange of Exchangeable Units is settled with cash from a source other than the proceeds of a Primary Offering.</w:t>
      </w:r>
    </w:p>
    <w:p>
      <w:pPr>
        <w:spacing w:after="0" w:line="180" w:lineRule="exact"/>
        <w:rPr>
          <w:rFonts w:ascii="Times New Roman" w:cs="Times New Roman" w:eastAsia="Times New Roman" w:hAnsi="Times New Roman"/>
          <w:sz w:val="19"/>
          <w:szCs w:val="19"/>
          <w:color w:val="auto"/>
        </w:rPr>
      </w:pPr>
    </w:p>
    <w:p>
      <w:pPr>
        <w:jc w:val="both"/>
        <w:ind w:left="640" w:firstLine="1274"/>
        <w:spacing w:after="0" w:line="248" w:lineRule="auto"/>
        <w:tabs>
          <w:tab w:leader="none" w:pos="2536"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Special Limited Partner elects to settle an Exchange with the proceeds of a Primary Offering pursuant to this </w:t>
      </w:r>
      <w:r>
        <w:rPr>
          <w:rFonts w:ascii="Times New Roman" w:cs="Times New Roman" w:eastAsia="Times New Roman" w:hAnsi="Times New Roman"/>
          <w:sz w:val="19"/>
          <w:szCs w:val="19"/>
          <w:u w:val="single" w:color="auto"/>
          <w:color w:val="auto"/>
        </w:rPr>
        <w:t>Section 14.2(b)</w:t>
      </w:r>
      <w:r>
        <w:rPr>
          <w:rFonts w:ascii="Times New Roman" w:cs="Times New Roman" w:eastAsia="Times New Roman" w:hAnsi="Times New Roman"/>
          <w:sz w:val="19"/>
          <w:szCs w:val="19"/>
          <w:color w:val="auto"/>
        </w:rPr>
        <w:t>, the Partnership shall settle the Exchange of each Cash Settled Unit, other than any Cash Settled Unit that has been withdrawn in accordance with this Agreement, to the extent applicable, for the Cash Amount, which shall be payable on or prior to the applicable Cash Amount Settlement Date, which may not be later than thirty (30) days after the applicable Quarterly Exchange Date, or in the case of a Permitted ATM Funding,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Business Day following the expiration of the applicable Permitted ATM Distribution Period.</w:t>
      </w:r>
    </w:p>
    <w:p>
      <w:pPr>
        <w:spacing w:after="0" w:line="17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14.3</w:t>
      </w:r>
      <w:r>
        <w:rPr>
          <w:sz w:val="20"/>
          <w:szCs w:val="20"/>
          <w:color w:val="auto"/>
        </w:rPr>
        <w:tab/>
      </w:r>
      <w:r>
        <w:rPr>
          <w:rFonts w:ascii="Times New Roman" w:cs="Times New Roman" w:eastAsia="Times New Roman" w:hAnsi="Times New Roman"/>
          <w:sz w:val="19"/>
          <w:szCs w:val="19"/>
          <w:u w:val="single" w:color="auto"/>
          <w:color w:val="auto"/>
        </w:rPr>
        <w:t>Exchange for Stock Amount</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1" w:lineRule="auto"/>
        <w:tabs>
          <w:tab w:leader="none" w:pos="189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the Special Limited Partner may, in its sole discretion, by means of delivery of a written notice to such effect (a “</w:t>
      </w:r>
      <w:r>
        <w:rPr>
          <w:rFonts w:ascii="Times New Roman" w:cs="Times New Roman" w:eastAsia="Times New Roman" w:hAnsi="Times New Roman"/>
          <w:sz w:val="19"/>
          <w:szCs w:val="19"/>
          <w:u w:val="single" w:color="auto"/>
          <w:color w:val="auto"/>
        </w:rPr>
        <w:t>Stock Settlement Notice</w:t>
      </w:r>
      <w:r>
        <w:rPr>
          <w:rFonts w:ascii="Times New Roman" w:cs="Times New Roman" w:eastAsia="Times New Roman" w:hAnsi="Times New Roman"/>
          <w:sz w:val="19"/>
          <w:szCs w:val="19"/>
          <w:color w:val="auto"/>
        </w:rPr>
        <w:t>”) by 5:00 p.m. (New York City time) on the applicable Cut-Off Date, elect to Exchange all or any portion (as specified in such notice) of the Exchangeable Units that are the subject of Elections of Exchange for such Quarterly Exchange Date by delivery of the Stock Amount against delivery to the Special Limited Partner of such Exchangeable Units. The Partnership shall be required to settle by paying the Cash Amount for the Exchange of all Exchangeable Units that are the subject of Elections of Exchange for such Quarterly Exchange Date (and which have not been validly withdrawn in accordance with this Agreement, if applicable) other than those in respect of which the Special Limited Partner has provided a Stock Settlement Notice on or prior to the applicable Cut-Off Date.</w:t>
      </w:r>
    </w:p>
    <w:p>
      <w:pPr>
        <w:spacing w:after="0" w:line="200" w:lineRule="exact"/>
        <w:rPr>
          <w:rFonts w:ascii="Times New Roman" w:cs="Times New Roman" w:eastAsia="Times New Roman" w:hAnsi="Times New Roman"/>
          <w:sz w:val="19"/>
          <w:szCs w:val="19"/>
          <w:color w:val="auto"/>
        </w:rPr>
      </w:pPr>
    </w:p>
    <w:p>
      <w:pPr>
        <w:spacing w:after="0" w:line="217" w:lineRule="exact"/>
        <w:rPr>
          <w:rFonts w:ascii="Times New Roman" w:cs="Times New Roman" w:eastAsia="Times New Roman" w:hAnsi="Times New Roman"/>
          <w:sz w:val="19"/>
          <w:szCs w:val="19"/>
          <w:color w:val="auto"/>
        </w:rPr>
      </w:pPr>
    </w:p>
    <w:p>
      <w:pPr>
        <w:jc w:val="both"/>
        <w:ind w:firstLine="1278"/>
        <w:spacing w:after="0" w:line="259" w:lineRule="auto"/>
        <w:tabs>
          <w:tab w:leader="none" w:pos="189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such event, on the Quarterly Exchange Date, upon the surrender for exchange of the applicable Exchangeable Units in the manner provided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the Special Limited Partner shall deliver or cause to be delivered at the offices of the then-acting registrar and transfer agent of the Class A Shares or, if there is no then-acting registrar and transfer agent of the Class A Shares, at the principal executive offices of the Special Limited Partner, the number of Class A Shares deliverable upon such Exchange, registered in the name of the relevant exchanging Qualifying Party or its designee. Notwithstanding the foregoing, if the Class A Shares are eligible for the depository and book-entry services of The Depository Trust Company, the Special Limited Partner will, subject to </w:t>
      </w:r>
      <w:r>
        <w:rPr>
          <w:rFonts w:ascii="Times New Roman" w:cs="Times New Roman" w:eastAsia="Times New Roman" w:hAnsi="Times New Roman"/>
          <w:sz w:val="19"/>
          <w:szCs w:val="19"/>
          <w:u w:val="single" w:color="auto"/>
          <w:color w:val="auto"/>
        </w:rPr>
        <w:t>Section 14.5</w:t>
      </w:r>
      <w:r>
        <w:rPr>
          <w:rFonts w:ascii="Times New Roman" w:cs="Times New Roman" w:eastAsia="Times New Roman" w:hAnsi="Times New Roman"/>
          <w:sz w:val="19"/>
          <w:szCs w:val="19"/>
          <w:color w:val="auto"/>
        </w:rPr>
        <w:t xml:space="preserve"> below, upon the written instruction of an exchanging Qualifying Party, use its commercially reasonable efforts to deliver the Class A Shares deliverable to such exchanging Qualifying Party, through the facilities of The Depository Trust Company, to the account of the participant of The Depository Trust Company designated by such exchanging Qualifying Party.</w:t>
      </w:r>
    </w:p>
    <w:p>
      <w:pPr>
        <w:spacing w:after="0" w:line="184"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14.4</w:t>
      </w:r>
      <w:r>
        <w:rPr>
          <w:sz w:val="20"/>
          <w:szCs w:val="20"/>
          <w:color w:val="auto"/>
        </w:rPr>
        <w:tab/>
      </w:r>
      <w:r>
        <w:rPr>
          <w:rFonts w:ascii="Times New Roman" w:cs="Times New Roman" w:eastAsia="Times New Roman" w:hAnsi="Times New Roman"/>
          <w:sz w:val="19"/>
          <w:szCs w:val="19"/>
          <w:u w:val="single" w:color="auto"/>
          <w:color w:val="auto"/>
        </w:rPr>
        <w:t>Class A Shares to be Issued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89" w:right="339" w:bottom="1440" w:gutter="0" w:footer="0" w:header="0"/>
        </w:sectPr>
      </w:pPr>
    </w:p>
    <w:bookmarkStart w:id="186" w:name="page187"/>
    <w:bookmarkEnd w:id="186"/>
    <w:p>
      <w:pPr>
        <w:jc w:val="both"/>
        <w:ind w:firstLine="1278"/>
        <w:spacing w:after="0" w:line="261" w:lineRule="auto"/>
        <w:tabs>
          <w:tab w:leader="none" w:pos="189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Special Limited Partner shall at all times reserve and keep available out of its authorized but unissued Class A Shares, solely for the purpose of issuance upon an Exchange, such number of Class A Shares as shall be deliverable upon any such Exchange where the Special Limited Partner has elected to pay the Stock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contained herein shall be construed to preclude the Special Limited Partner from satisfying its obligations in respect of the Exchange of the Exchangeable Units where the Special Limited Partner has elected to pay the Stock Amount by delivery of Class A Shares which are held in the treasury of the Special Limited Partner or any of its subsidiaries or by delivery of purchased Class A Shares (which may or may not be held in the treasury of the Special Limited Partner or any subsidiary thereof). The Special Limited Partner covenants that all Class A Shares issued upon an Exchange will, upon issuance, be validly issued, fully paid and non-assessable.</w:t>
      </w:r>
    </w:p>
    <w:p>
      <w:pPr>
        <w:spacing w:after="0" w:line="179"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Special Limited Partner and the Partnership shall use commercially reasonable efforts to list the Class A Shares to be delivered upon an Exchange prior to such delivery upon each national securities exchange upon which the outstanding Class A Shares may be listed or traded at the time of such delivery.</w:t>
      </w:r>
    </w:p>
    <w:p>
      <w:pPr>
        <w:spacing w:after="0" w:line="16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 xml:space="preserve">Section 14.5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Special Limited Partner, the Partnership and each exchanging Qualifying Party shall bear their own expenses in connection with the consummation of any Exchange, whether or not any such Exchange is ultimately consummated.</w:t>
      </w:r>
    </w:p>
    <w:p>
      <w:pPr>
        <w:spacing w:after="0" w:line="15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14.6 </w:t>
      </w:r>
      <w:r>
        <w:rPr>
          <w:rFonts w:ascii="Times New Roman" w:cs="Times New Roman" w:eastAsia="Times New Roman" w:hAnsi="Times New Roman"/>
          <w:sz w:val="19"/>
          <w:szCs w:val="19"/>
          <w:u w:val="single" w:color="auto"/>
          <w:color w:val="auto"/>
        </w:rPr>
        <w:t>Conflicts</w:t>
      </w:r>
      <w:r>
        <w:rPr>
          <w:rFonts w:ascii="Times New Roman" w:cs="Times New Roman" w:eastAsia="Times New Roman" w:hAnsi="Times New Roman"/>
          <w:sz w:val="19"/>
          <w:szCs w:val="19"/>
          <w:color w:val="auto"/>
        </w:rPr>
        <w:t xml:space="preserve">. For the avoidance of doubt, and notwithstanding anything to the contrary herein, a Qualifying Party shall not be entitled to exchange Exchangeable Units to the extent the Special Limited Partner determines that such Exchange (i) would be prohibited by law, (ii) would result in any breach of any debt agreement or other material contract of the Partnership or the Special Limited Partner or (iii) would cause unreasonable financial burden on the Partnership, as reasonably determined by the board of directors of the Special Limited Partner acting in good faith (it being understood that impact on the market price of Class A Shares shall not in and of itself be deemed to be an unreasonable financial burden on the Partnership);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Special Limited Partner cancels any Quarterly Exchange Date with respect to a Qualifying Party in reliance on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14.6</w:t>
      </w:r>
      <w:r>
        <w:rPr>
          <w:rFonts w:ascii="Times New Roman" w:cs="Times New Roman" w:eastAsia="Times New Roman" w:hAnsi="Times New Roman"/>
          <w:sz w:val="19"/>
          <w:szCs w:val="19"/>
          <w:color w:val="auto"/>
        </w:rPr>
        <w:t xml:space="preserve">, the Special Limited Partner shall not be entitled to cancel the Quarterly Exchange Date next succeeding such canceled Quarterly Exchange Date with respect to such Qualifying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nothing in this Agreement shall be construed to limit the rights and remedies of any Qualifying Party pursuant to the Registration Rights Agreement by and among the Special Limited Partner, and the other parties thereto, as such agreement may be amended, restated, modified or supplemented from time to time. For the avoidance of doubt, no Exchange shall be deemed to be prohibited by law pertaining to the registration of securities if such securities have been so registered in the name of the Qualifying Party or if any exemption from such registration requirements is reasonably available.</w:t>
      </w:r>
    </w:p>
    <w:p>
      <w:pPr>
        <w:spacing w:after="0" w:line="168"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14.7</w:t>
      </w:r>
      <w:r>
        <w:rPr>
          <w:sz w:val="20"/>
          <w:szCs w:val="20"/>
          <w:color w:val="auto"/>
        </w:rPr>
        <w:tab/>
      </w:r>
      <w:r>
        <w:rPr>
          <w:rFonts w:ascii="Times New Roman" w:cs="Times New Roman" w:eastAsia="Times New Roman" w:hAnsi="Times New Roman"/>
          <w:sz w:val="19"/>
          <w:szCs w:val="19"/>
          <w:u w:val="single" w:color="auto"/>
          <w:color w:val="auto"/>
        </w:rPr>
        <w:t>Other Exchange Procedures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73" w:lineRule="auto"/>
        <w:tabs>
          <w:tab w:leader="none" w:pos="1898"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Partnership and the Special Limited Partner may adopt reasonable procedures for the implementation of the exchange provisions set forth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including procedures requiring the use of designated administrators or brokers with respect to the sale of any Class A Shares received in an Exchange and procedures for the delivery of an Election of Exchange.</w:t>
      </w:r>
    </w:p>
    <w:p>
      <w:pPr>
        <w:spacing w:after="0" w:line="168" w:lineRule="exact"/>
        <w:rPr>
          <w:rFonts w:ascii="Times New Roman" w:cs="Times New Roman" w:eastAsia="Times New Roman" w:hAnsi="Times New Roman"/>
          <w:sz w:val="19"/>
          <w:szCs w:val="19"/>
          <w:color w:val="auto"/>
        </w:rPr>
      </w:pPr>
    </w:p>
    <w:p>
      <w:pPr>
        <w:jc w:val="both"/>
        <w:ind w:firstLine="1278"/>
        <w:spacing w:after="0" w:line="273" w:lineRule="auto"/>
        <w:tabs>
          <w:tab w:leader="none" w:pos="1896"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if the board of directors of the Special Limited Partner shall determine in good faith that additional restrictions on Exchange are necessary so that the Partnership is not treated as a “publicly traded partnership” under Section 7704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89" w:right="339" w:bottom="1440" w:gutter="0" w:footer="0" w:header="0"/>
        </w:sectPr>
      </w:pPr>
    </w:p>
    <w:bookmarkStart w:id="187" w:name="page188"/>
    <w:bookmarkEnd w:id="187"/>
    <w:p>
      <w:pPr>
        <w:jc w:val="both"/>
        <w:spacing w:after="0" w:line="300" w:lineRule="auto"/>
        <w:rPr>
          <w:sz w:val="20"/>
          <w:szCs w:val="20"/>
          <w:color w:val="auto"/>
        </w:rPr>
      </w:pPr>
      <w:r>
        <w:rPr>
          <w:rFonts w:ascii="Times New Roman" w:cs="Times New Roman" w:eastAsia="Times New Roman" w:hAnsi="Times New Roman"/>
          <w:sz w:val="19"/>
          <w:szCs w:val="19"/>
          <w:color w:val="auto"/>
        </w:rPr>
        <w:t>the Code, the Special Limited Partner or the Partnership may impose such additional restrictions on Exchange as the board of directors of the Special Limited Partner has determined in good faith to be so necessary.</w:t>
      </w:r>
    </w:p>
    <w:p>
      <w:pPr>
        <w:spacing w:after="0" w:line="13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14.8 </w:t>
      </w:r>
      <w:r>
        <w:rPr>
          <w:rFonts w:ascii="Times New Roman" w:cs="Times New Roman" w:eastAsia="Times New Roman" w:hAnsi="Times New Roman"/>
          <w:sz w:val="19"/>
          <w:szCs w:val="19"/>
          <w:u w:val="single" w:color="auto"/>
          <w:color w:val="auto"/>
        </w:rPr>
        <w:t>Pro Rata Treatment of Exchanging Qualifying Parties</w:t>
      </w:r>
      <w:r>
        <w:rPr>
          <w:rFonts w:ascii="Times New Roman" w:cs="Times New Roman" w:eastAsia="Times New Roman" w:hAnsi="Times New Roman"/>
          <w:sz w:val="19"/>
          <w:szCs w:val="19"/>
          <w:color w:val="auto"/>
        </w:rPr>
        <w:t xml:space="preserve">. Notwithstanding anything otherwise to the contrary herein, the Special Limited Partner and the Partnership may settle the Exchange of Exchangeable Units that are the subject of Elections of Exchange in respect of any Quarterly Exchange Date for the Cash Amount, the Stock Amount or any combination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method shall be applied to settle a portion of the Exchangeable Units of each exchanging Qualifying Party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according to the respective number of Exchangeable Units each exchanging Qualifying Party has tendered for exchange (and not validly withdrawn in accordance with this Agreement, if applicable).</w:t>
      </w:r>
    </w:p>
    <w:p>
      <w:pPr>
        <w:spacing w:after="0" w:line="18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14.9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Each of the Partnership and the Special Limited Partner shall be entitled to deduct and withhold from any consideration payable or otherwise deliverable upon an Exchange such amounts as may be required to be deducted or withheld therefrom under the Code or 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Qualifying Party that elected the Exchange.</w:t>
      </w:r>
    </w:p>
    <w:p>
      <w:pPr>
        <w:spacing w:after="0" w:line="1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Article XV</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2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9"/>
          <w:szCs w:val="19"/>
          <w:color w:val="auto"/>
        </w:rPr>
        <w:t xml:space="preserve">Section 15.1 </w:t>
      </w:r>
      <w:r>
        <w:rPr>
          <w:rFonts w:ascii="Times New Roman" w:cs="Times New Roman" w:eastAsia="Times New Roman" w:hAnsi="Times New Roman"/>
          <w:sz w:val="19"/>
          <w:szCs w:val="19"/>
          <w:u w:val="single" w:color="auto"/>
          <w:color w:val="auto"/>
        </w:rPr>
        <w:t>Partnership Counsel</w:t>
      </w:r>
      <w:r>
        <w:rPr>
          <w:rFonts w:ascii="Times New Roman" w:cs="Times New Roman" w:eastAsia="Times New Roman" w:hAnsi="Times New Roman"/>
          <w:sz w:val="19"/>
          <w:szCs w:val="19"/>
          <w:color w:val="auto"/>
        </w:rPr>
        <w:t>. THE PARTNERSHIP, THE GENERAL PARTNER, THE SPECIAL LIMITED PARTNER AND EACH OF THE OTHER PWP ENTITIES MAY BE REPRESENTED BY THE SAME COUNSEL. THE ATTORNEYS, ACCOUNTANTS AND OTHER EXPERTS WHO PERFORM SERVICES FOR THE PARTNERSHIP MAY ALSO PERFORM SERVICES FOR THE SPECIAL LIMITED PARTNER AND EACH OF THE OTHER PWP ENTITIES AND AFFILIATES THEREOF. THE GENERAL PARTNER MAY, WITHOUT THE CONSENT OF THE LIMITED PARTNERS, EXECUTE ON BEHALF OF THE PARTNERSHIP ANY CONSENT TO THE REPRESENTATION OF THE PARTNERSHIP THAT COUNSEL MAY REQUEST PURSUANT TO THE NEW YORK RULES OF PROFESSIONAL CONDUCT OR SIMILAR RULES IN ANY OTHER JURISDICTION. THE PARTNERSHIP HAS INITIALLY SELECTED SKADDEN, ARPS, SLATE, MEAGHER &amp; FLOM LLP (“</w:t>
      </w:r>
      <w:r>
        <w:rPr>
          <w:rFonts w:ascii="Times New Roman" w:cs="Times New Roman" w:eastAsia="Times New Roman" w:hAnsi="Times New Roman"/>
          <w:sz w:val="19"/>
          <w:szCs w:val="19"/>
          <w:u w:val="single" w:color="auto"/>
          <w:color w:val="auto"/>
        </w:rPr>
        <w:t>PARTNERSHIP COUNSEL</w:t>
      </w:r>
      <w:r>
        <w:rPr>
          <w:rFonts w:ascii="Times New Roman" w:cs="Times New Roman" w:eastAsia="Times New Roman" w:hAnsi="Times New Roman"/>
          <w:sz w:val="19"/>
          <w:szCs w:val="19"/>
          <w:color w:val="auto"/>
        </w:rPr>
        <w:t>”) AS LEGAL COUNSEL TO THE PARTNERSHIP. EACH HOLDER ACKNOWLEDGES THAT PARTNERSHIP COUNSEL DOES NOT REPRESENT ANY HOLDER IN ITS CAPACITY AS SUCH IN THE ABSENCE OF A CLEAR AND EXPLICIT WRITTEN AGREEMENT TO SUCH EFFECT BETWEEN SUCH HOLDER AND PARTNERSHIP COUNSEL (AND THEN ONLY TO THE EXTENT SPECIALLY SET FORTH IN SUCH AGREEMENT), AND THAT IN ABSENCE OF ANY SUCH AGREEMENT PARTNERSHIP COUNSEL SHALL OWE NO DUTIES TO ANY HOLDER. EACH HOLDER FURTHER ACKNOWLEDGES THAT, WHETHER OR NOT PARTNERSHIP COUNSEL HAS IN THE PAST REPRESENTED OR IS CURRENTLY REPRESENTING SUCH HOLDER WITH RESPECT TO OTHER MATTERS, PARTNERSHIP COUNSEL HAS NOT REPRESENTED THE INTERESTS OF ANY HOLDER IN THE PREPARATION AND/OR NEGOTIATION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389" w:right="339" w:bottom="1440" w:gutter="0" w:footer="0" w:header="0"/>
        </w:sectPr>
      </w:pPr>
    </w:p>
    <w:bookmarkStart w:id="188" w:name="page189"/>
    <w:bookmarkEnd w:id="188"/>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15.2</w:t>
      </w:r>
      <w:r>
        <w:rPr>
          <w:sz w:val="20"/>
          <w:szCs w:val="20"/>
          <w:color w:val="auto"/>
        </w:rPr>
        <w:tab/>
      </w:r>
      <w:r>
        <w:rPr>
          <w:rFonts w:ascii="Times New Roman" w:cs="Times New Roman" w:eastAsia="Times New Roman" w:hAnsi="Times New Roman"/>
          <w:sz w:val="19"/>
          <w:szCs w:val="19"/>
          <w:u w:val="single" w:color="auto"/>
          <w:color w:val="auto"/>
        </w:rPr>
        <w:t>Appointment of General Partner as Attorney-in-Fact</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4" w:lineRule="auto"/>
        <w:tabs>
          <w:tab w:leader="none" w:pos="189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Limited Partner, including each Additional Limited Partner and Substituted Limited Partner, irrevocably makes, constitutes and appoints the General Partner, any Liquidator, and authorized officers and attorneys-in-fact of each, and each of those 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176" w:lineRule="exact"/>
        <w:rPr>
          <w:rFonts w:ascii="Times New Roman" w:cs="Times New Roman" w:eastAsia="Times New Roman" w:hAnsi="Times New Roman"/>
          <w:sz w:val="19"/>
          <w:szCs w:val="19"/>
          <w:color w:val="auto"/>
        </w:rPr>
      </w:pPr>
    </w:p>
    <w:p>
      <w:pPr>
        <w:jc w:val="both"/>
        <w:ind w:left="640" w:firstLine="1274"/>
        <w:spacing w:after="0" w:line="264" w:lineRule="auto"/>
        <w:tabs>
          <w:tab w:leader="none" w:pos="2546"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certificates and other instruments (including counterparts of this Agreement), and all amendments thereto, which the General Partner deems appropriate to form, qualify, continue or otherwise operate the Partnership as a limited partnership (or other entity in which the Partners will have limited liability comparable to that provided in the Act), in the jurisdictions in which the Partnership may conduct business or in which such formation, qualification or continuation is, in the opinion of the General Partner, necessary or desirable to protect the limited liability of the Partners.</w:t>
      </w:r>
    </w:p>
    <w:p>
      <w:pPr>
        <w:spacing w:after="0" w:line="176" w:lineRule="exact"/>
        <w:rPr>
          <w:rFonts w:ascii="Times New Roman" w:cs="Times New Roman" w:eastAsia="Times New Roman" w:hAnsi="Times New Roman"/>
          <w:sz w:val="19"/>
          <w:szCs w:val="19"/>
          <w:color w:val="auto"/>
        </w:rPr>
      </w:pPr>
    </w:p>
    <w:p>
      <w:pPr>
        <w:jc w:val="both"/>
        <w:ind w:left="640" w:firstLine="1274"/>
        <w:spacing w:after="0" w:line="284" w:lineRule="auto"/>
        <w:tabs>
          <w:tab w:leader="none" w:pos="2547"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amendments to this Agreement adopted in accordance with the terms hereof, and all instruments which the General Partner deems appropriate to reflect a change or modification of the Partnership in accordance with the terms of this Agreement.</w:t>
      </w:r>
    </w:p>
    <w:p>
      <w:pPr>
        <w:spacing w:after="0" w:line="383" w:lineRule="exact"/>
        <w:rPr>
          <w:rFonts w:ascii="Times New Roman" w:cs="Times New Roman" w:eastAsia="Times New Roman" w:hAnsi="Times New Roman"/>
          <w:sz w:val="19"/>
          <w:szCs w:val="19"/>
          <w:color w:val="auto"/>
        </w:rPr>
      </w:pPr>
    </w:p>
    <w:p>
      <w:pPr>
        <w:ind w:left="640" w:right="20" w:firstLine="1274"/>
        <w:spacing w:after="0" w:line="300" w:lineRule="auto"/>
        <w:tabs>
          <w:tab w:leader="none" w:pos="2548"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conveyances of Partnership assets, and other instruments which the General Partner reasonably deems necessary in order to complete a dissolution and termination of the Partnership pursuant to this Agreement.</w:t>
      </w:r>
    </w:p>
    <w:p>
      <w:pPr>
        <w:spacing w:after="0" w:line="142"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appointment by all Limited Partners of the General Partner as attorney-in-fact shall be deemed to be a power coupled with an interest, in recognition of the fact that each of the Limited Partners and Assignees under this Agreement will be relying upon the power of the General Partner to act as contemplated by this Agreement in any filing and other action by it on behalf of the Partnership, shall survive the Incapacity of any Person hereby giving such power, and the Transfer or assignment of all or any portion of such Person’s Partnership Interest, and shall not be affected by the subsequent Incapacity of the principal;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of the assignment by a Limited Partner of all of its Partnership Interest, the foregoing power of attorney of an assignor Limited Partner shall survive such assignment only until such time as the Assignee shall have been admitted to the Partnership as a Substituted Limited Partner and all required documents and instruments shall have been duly executed, filed and recorded to effect such substitution.</w:t>
      </w:r>
    </w:p>
    <w:p>
      <w:pPr>
        <w:spacing w:after="0" w:line="16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15.3</w:t>
      </w:r>
      <w:r>
        <w:rPr>
          <w:sz w:val="20"/>
          <w:szCs w:val="20"/>
          <w:color w:val="auto"/>
        </w:rPr>
        <w:tab/>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firstLine="1278"/>
        <w:spacing w:after="0" w:line="264" w:lineRule="auto"/>
        <w:tabs>
          <w:tab w:leader="none" w:pos="1898"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dispute, controversy or claim arising out of or relating to this Agreement, including the validity, interpretation, negotiation, performance, breach, alleged breach or termination of this Agreement (“</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shall be submitted to mandatory, final and binding arbitration administered by the American Arbitration Association (“</w:t>
      </w:r>
      <w:r>
        <w:rPr>
          <w:rFonts w:ascii="Times New Roman" w:cs="Times New Roman" w:eastAsia="Times New Roman" w:hAnsi="Times New Roman"/>
          <w:sz w:val="19"/>
          <w:szCs w:val="19"/>
          <w:u w:val="single" w:color="auto"/>
          <w:color w:val="auto"/>
        </w:rPr>
        <w:t>AAA</w:t>
      </w:r>
      <w:r>
        <w:rPr>
          <w:rFonts w:ascii="Times New Roman" w:cs="Times New Roman" w:eastAsia="Times New Roman" w:hAnsi="Times New Roman"/>
          <w:sz w:val="19"/>
          <w:szCs w:val="19"/>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76" w:lineRule="exact"/>
        <w:rPr>
          <w:rFonts w:ascii="Times New Roman" w:cs="Times New Roman" w:eastAsia="Times New Roman" w:hAnsi="Times New Roman"/>
          <w:sz w:val="19"/>
          <w:szCs w:val="19"/>
          <w:color w:val="auto"/>
        </w:rPr>
      </w:pPr>
    </w:p>
    <w:p>
      <w:pPr>
        <w:ind w:firstLine="1278"/>
        <w:spacing w:after="0" w:line="285" w:lineRule="auto"/>
        <w:tabs>
          <w:tab w:leader="none" w:pos="1896"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arbitration shall be heard by one arbitrator who shall be agreed upon by the parties to the Dispute within twenty (20) days of receipt by the respondent to the arbitration of a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389" w:right="339" w:bottom="1440" w:gutter="0" w:footer="0" w:header="0"/>
        </w:sectPr>
      </w:pPr>
    </w:p>
    <w:bookmarkStart w:id="189" w:name="page190"/>
    <w:bookmarkEnd w:id="189"/>
    <w:p>
      <w:pPr>
        <w:jc w:val="both"/>
        <w:spacing w:after="0" w:line="264" w:lineRule="auto"/>
        <w:rPr>
          <w:sz w:val="20"/>
          <w:szCs w:val="20"/>
          <w:color w:val="auto"/>
        </w:rPr>
      </w:pPr>
      <w:r>
        <w:rPr>
          <w:rFonts w:ascii="Times New Roman" w:cs="Times New Roman" w:eastAsia="Times New Roman" w:hAnsi="Times New Roman"/>
          <w:sz w:val="19"/>
          <w:szCs w:val="19"/>
          <w:color w:val="auto"/>
        </w:rPr>
        <w:t>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years of experience with corporate and limited partnership matters. In rendering an award, the arbitrator shall be required to follow the laws of the state of Delaware.</w:t>
      </w:r>
    </w:p>
    <w:p>
      <w:pPr>
        <w:spacing w:after="0" w:line="176" w:lineRule="exact"/>
        <w:rPr>
          <w:sz w:val="20"/>
          <w:szCs w:val="20"/>
          <w:color w:val="auto"/>
        </w:rPr>
      </w:pPr>
    </w:p>
    <w:p>
      <w:pPr>
        <w:jc w:val="both"/>
        <w:ind w:firstLine="1278"/>
        <w:spacing w:after="0" w:line="264" w:lineRule="auto"/>
        <w:tabs>
          <w:tab w:leader="none" w:pos="1898"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200" w:lineRule="exact"/>
        <w:rPr>
          <w:rFonts w:ascii="Times New Roman" w:cs="Times New Roman" w:eastAsia="Times New Roman" w:hAnsi="Times New Roman"/>
          <w:sz w:val="19"/>
          <w:szCs w:val="19"/>
          <w:color w:val="auto"/>
        </w:rPr>
      </w:pPr>
    </w:p>
    <w:p>
      <w:pPr>
        <w:spacing w:after="0" w:line="214" w:lineRule="exact"/>
        <w:rPr>
          <w:rFonts w:ascii="Times New Roman" w:cs="Times New Roman" w:eastAsia="Times New Roman" w:hAnsi="Times New Roman"/>
          <w:sz w:val="19"/>
          <w:szCs w:val="19"/>
          <w:color w:val="auto"/>
        </w:rPr>
      </w:pPr>
    </w:p>
    <w:p>
      <w:pPr>
        <w:jc w:val="both"/>
        <w:ind w:firstLine="1278"/>
        <w:spacing w:after="0" w:line="261" w:lineRule="auto"/>
        <w:tabs>
          <w:tab w:leader="none" w:pos="189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agree that the arbitration shall be kept confidential and that the existence of the proceeding and any element of it (including any pleadings, briefs or other documents submitted or exchanged, any documents disclosed by one party to another, testimony or other oral submission, and any award or decision) shall not be disclosed beyond the arbitrators, the AAA, the parties, their legal and professional advisors, and any person necessary for the conduct of the arbitration, except as may be required in judicial proceedings relating to the arbitration, 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78" w:lineRule="exact"/>
        <w:rPr>
          <w:rFonts w:ascii="Times New Roman" w:cs="Times New Roman" w:eastAsia="Times New Roman" w:hAnsi="Times New Roman"/>
          <w:sz w:val="19"/>
          <w:szCs w:val="19"/>
          <w:color w:val="auto"/>
        </w:rPr>
      </w:pPr>
    </w:p>
    <w:p>
      <w:pPr>
        <w:jc w:val="both"/>
        <w:ind w:firstLine="1278"/>
        <w:spacing w:after="0" w:line="264" w:lineRule="auto"/>
        <w:tabs>
          <w:tab w:leader="none" w:pos="1898"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78" w:lineRule="exact"/>
        <w:rPr>
          <w:rFonts w:ascii="Times New Roman" w:cs="Times New Roman" w:eastAsia="Times New Roman" w:hAnsi="Times New Roman"/>
          <w:sz w:val="19"/>
          <w:szCs w:val="19"/>
          <w:color w:val="auto"/>
        </w:rPr>
      </w:pPr>
    </w:p>
    <w:p>
      <w:pPr>
        <w:jc w:val="both"/>
        <w:ind w:firstLine="1278"/>
        <w:spacing w:after="0" w:line="260" w:lineRule="auto"/>
        <w:tabs>
          <w:tab w:leader="none" w:pos="1903"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 (i) irrevocably and unconditionally consents to the exclusive jurisdiction and venue of the federal or state courts located in New York County, New York (the “</w:t>
      </w:r>
      <w:r>
        <w:rPr>
          <w:rFonts w:ascii="Times New Roman" w:cs="Times New Roman" w:eastAsia="Times New Roman" w:hAnsi="Times New Roman"/>
          <w:sz w:val="19"/>
          <w:szCs w:val="19"/>
          <w:u w:val="single" w:color="auto"/>
          <w:color w:val="auto"/>
        </w:rPr>
        <w:t>New York Courts</w:t>
      </w:r>
      <w:r>
        <w:rPr>
          <w:rFonts w:ascii="Times New Roman" w:cs="Times New Roman" w:eastAsia="Times New Roman" w:hAnsi="Times New Roman"/>
          <w:sz w:val="19"/>
          <w:szCs w:val="19"/>
          <w:color w:val="auto"/>
        </w:rPr>
        <w:t>”) for the purpose of any pre-arbitral injunction, pre-arbitral attachment, or other order in aid of arbitration proceedings, and to the non-exclusive jurisdiction of such courts for the enforcement of any judgment on any award; (ii) 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irrevocably waives any and all right to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389" w:right="339" w:bottom="1440" w:gutter="0" w:footer="0" w:header="0"/>
        </w:sectPr>
      </w:pPr>
    </w:p>
    <w:bookmarkStart w:id="190" w:name="page191"/>
    <w:bookmarkEnd w:id="190"/>
    <w:p>
      <w:pPr>
        <w:jc w:val="both"/>
        <w:ind w:firstLine="1278"/>
        <w:spacing w:after="0" w:line="263" w:lineRule="auto"/>
        <w:tabs>
          <w:tab w:leader="none" w:pos="189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80"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 xml:space="preserve">Section 15.4 </w:t>
      </w:r>
      <w:r>
        <w:rPr>
          <w:rFonts w:ascii="Times New Roman" w:cs="Times New Roman" w:eastAsia="Times New Roman" w:hAnsi="Times New Roman"/>
          <w:sz w:val="19"/>
          <w:szCs w:val="19"/>
          <w:u w:val="single" w:color="auto"/>
          <w:color w:val="auto"/>
        </w:rPr>
        <w:t>Accounting and Fiscal Year</w:t>
      </w:r>
      <w:r>
        <w:rPr>
          <w:rFonts w:ascii="Times New Roman" w:cs="Times New Roman" w:eastAsia="Times New Roman" w:hAnsi="Times New Roman"/>
          <w:sz w:val="19"/>
          <w:szCs w:val="19"/>
          <w:color w:val="auto"/>
        </w:rPr>
        <w:t>. Subject to Code section 448, the books of the Partnership shall be kept on such method of accounting for tax and financial reporting purposes as may be determined by the General Partner. The fiscal year of the Partnership (the “</w:t>
      </w:r>
      <w:r>
        <w:rPr>
          <w:rFonts w:ascii="Times New Roman" w:cs="Times New Roman" w:eastAsia="Times New Roman" w:hAnsi="Times New Roman"/>
          <w:sz w:val="19"/>
          <w:szCs w:val="19"/>
          <w:u w:val="single" w:color="auto"/>
          <w:color w:val="auto"/>
        </w:rPr>
        <w:t>Fiscal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Year</w:t>
      </w:r>
      <w:r>
        <w:rPr>
          <w:rFonts w:ascii="Times New Roman" w:cs="Times New Roman" w:eastAsia="Times New Roman" w:hAnsi="Times New Roman"/>
          <w:sz w:val="19"/>
          <w:szCs w:val="19"/>
          <w:color w:val="auto"/>
        </w:rPr>
        <w:t>”) shall be the calendar year, or, in the case of the first and last Fiscal Years of the Partnership, the fraction thereof commencing on the date of this Agreement or ending on the date on which the winding up of the Partnership is completed, as the case may be, unless otherwise determined by the General Partner and permitted under the Code.</w:t>
      </w:r>
    </w:p>
    <w:p>
      <w:pPr>
        <w:spacing w:after="0" w:line="17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Section 15.5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xml:space="preserve">. This Agreement (including the Schedules hereto), together with (a) any side letter or similar agreements entered into and incorporated herein pursuant to </w:t>
      </w:r>
      <w:r>
        <w:rPr>
          <w:rFonts w:ascii="Times New Roman" w:cs="Times New Roman" w:eastAsia="Times New Roman" w:hAnsi="Times New Roman"/>
          <w:sz w:val="19"/>
          <w:szCs w:val="19"/>
          <w:u w:val="single" w:color="auto"/>
          <w:color w:val="auto"/>
        </w:rPr>
        <w:t>Section 15.16</w:t>
      </w:r>
      <w:r>
        <w:rPr>
          <w:rFonts w:ascii="Times New Roman" w:cs="Times New Roman" w:eastAsia="Times New Roman" w:hAnsi="Times New Roman"/>
          <w:sz w:val="19"/>
          <w:szCs w:val="19"/>
          <w:color w:val="auto"/>
        </w:rPr>
        <w:t xml:space="preserve"> and (b) the VoteCo Professionals LPA, constitutes the entire agreement between the parties hereto pertaining to the subject matter hereof and fully supersedes any and all prior or contemporaneous agreements or understandings between the parties hereto pertaining to the subject matter hereof, including the Original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Agreement shall not supersede or otherwise affect the validity of, and is not intended to (and shall not be deemed to) limit, decrease or reduce the scope of, any prior or contemporaneous restrictive covenants, including any confidentiality, non-disparagement, non-competition, non-solicitation or similar restrictive covenants to which any AdCo Professionals Partner (or its Associated Person) is subject in respect of the PWP Entities.</w:t>
      </w:r>
    </w:p>
    <w:p>
      <w:pPr>
        <w:spacing w:after="0" w:line="200" w:lineRule="exact"/>
        <w:rPr>
          <w:sz w:val="20"/>
          <w:szCs w:val="20"/>
          <w:color w:val="auto"/>
        </w:rPr>
      </w:pPr>
    </w:p>
    <w:p>
      <w:pPr>
        <w:spacing w:after="0" w:line="204"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15.6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applicable law or reasonably necessary to effectively carry out the purposes of this Agreement.</w:t>
      </w:r>
    </w:p>
    <w:p>
      <w:pPr>
        <w:spacing w:after="0" w:line="1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 xml:space="preserve">Section 15.7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Any notice, consent, payment, demand, or communication required or permitted to be given by any provision of this Agreement shall be in writing and shall be (a) delivered personally to the Person or to an officer of the Person to whom the same is directed, (b) sent by overnight mail or registered or certified mail, return receipt requested, postage prepaid, or (c) (except with respect to notice to the Partnership, PWP LLC or the General Partner) sent by email, with electronic, written or oral confirmation of receipt, in each case addressed as follows: if to the Partnership, PWP LLC or the General Partner, to it c/o Perella Weinberg Partners, 767 Fifth Avenue, New York, New York 10153, Attention: Legal Department, email: </w:t>
      </w:r>
      <w:r>
        <w:rPr>
          <w:rFonts w:ascii="Times New Roman" w:cs="Times New Roman" w:eastAsia="Times New Roman" w:hAnsi="Times New Roman"/>
          <w:sz w:val="19"/>
          <w:szCs w:val="19"/>
          <w:u w:val="single" w:color="auto"/>
          <w:color w:val="0000FF"/>
        </w:rPr>
        <w:t>Legal@PWPartners.com</w:t>
      </w:r>
      <w:r>
        <w:rPr>
          <w:rFonts w:ascii="Times New Roman" w:cs="Times New Roman" w:eastAsia="Times New Roman" w:hAnsi="Times New Roman"/>
          <w:sz w:val="19"/>
          <w:szCs w:val="19"/>
          <w:color w:val="auto"/>
        </w:rPr>
        <w:t>, or to such other address as the Partnership may from time to time specify by notice to the Partners; and if to any Limited Partner, to such Limited Partner at the address set forth in the records of the Partnership. Any such notice shall be deemed to be delivered, given and received for all purposes as of: (i) the date so delivered, if delivered personally, (ii) upon receipt, if sent by email, or (iii) on the date of receipt or refusal indicated on the return receipt, if sent by registered or certified mail, return receipt requested, postage and charges prepaid and properly addressed.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389" w:right="339" w:bottom="1440" w:gutter="0" w:footer="0" w:header="0"/>
        </w:sectPr>
      </w:pPr>
    </w:p>
    <w:bookmarkStart w:id="191" w:name="page192"/>
    <w:bookmarkEnd w:id="191"/>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15.8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including its existence, validity, construction, and operating effect, and the rights of each of the parties hereto, shall be governed by and construed in accordance with the laws of the State of Delaware without regard to otherwise governing principles of conflicts of law.</w:t>
      </w:r>
    </w:p>
    <w:p>
      <w:pPr>
        <w:spacing w:after="0" w:line="16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15.9</w:t>
      </w:r>
      <w:r>
        <w:rPr>
          <w:sz w:val="20"/>
          <w:szCs w:val="20"/>
          <w:color w:val="auto"/>
        </w:rPr>
        <w:tab/>
      </w: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This Agreement shall be construed as if all parties hereto prepared this Agreement.</w:t>
      </w:r>
    </w:p>
    <w:p>
      <w:pPr>
        <w:spacing w:after="0" w:line="21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9"/>
          <w:szCs w:val="19"/>
          <w:color w:val="auto"/>
        </w:rPr>
        <w:t xml:space="preserve">Section 15.10 </w:t>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Except as otherwise expressly provided herein, this Agreement (including the Schedules hereto) shall be binding on and inure to the benefit of the Partners, their heirs, executors, administrators, successors and all other Persons hereafter holding, having or receiving an interest in the Partnership, whether as Assignees, Substituted Limited Partners or otherwise. The Partnership may assign its rights and obligations under this Agreement, in whole or in part, to a third party. No Limited Partner (or its Associated Person) may assign such Limited Partner’s (or its Associated Person’s) obligations under this Agreement to a third party.</w:t>
      </w:r>
    </w:p>
    <w:p>
      <w:pPr>
        <w:spacing w:after="0" w:line="16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9"/>
          <w:szCs w:val="19"/>
          <w:color w:val="auto"/>
        </w:rPr>
        <w:t xml:space="preserve">Section 15.11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Section 15.12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A Limited Partner’s rights to access or receive any information about the Partnership or its business are conditioned on such Limited Partner’s willingness and ability to assure that the Partnership information will be used solely by such Limited Partner for purposes reasonably related to such Limited Partner’s interest as a Limited Partner, and that such Partnership information will not become publicly available as a result of such Limited Partner’s rights to access or receive such Partnership information. Each Limited Partner hereby acknowledges that the Partnership creates and will be in possession of confidential information, the improper use or disclosure of which could have a material adverse effect upon the PWP Entities and their respective Affiliates. Each Limited Partner further acknowledges and agrees that the Partnership information constitutes a valuable trade secret of the Partnership and agrees to maintain any Partnership information provided to it in the strictest confidence. Accordingly, without limiting the generality of the foregoing:</w:t>
      </w:r>
    </w:p>
    <w:p>
      <w:pPr>
        <w:spacing w:after="0" w:line="166" w:lineRule="exact"/>
        <w:rPr>
          <w:sz w:val="20"/>
          <w:szCs w:val="20"/>
          <w:color w:val="auto"/>
        </w:rPr>
      </w:pPr>
    </w:p>
    <w:p>
      <w:pPr>
        <w:jc w:val="both"/>
        <w:ind w:firstLine="1278"/>
        <w:spacing w:after="0" w:line="261" w:lineRule="auto"/>
        <w:tabs>
          <w:tab w:leader="none" w:pos="189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the General Partner shall have the right to keep confidential from the Limited Partners (and their respective agents and attorneys) for such period of time as the General Partner deems reasonable, any information: (i) that the General Partner believes to be in the nature of trade secrets; (ii) other information, the disclosure of which the General Partner believes is not in the best interest of the PWP Entities or could damage any of the PWP Entities or their respective businesses; or (iii) which the General Partner (or its Affiliates, employees, officers, directors, members, partners or personnel) or any PWP Entity is required by law or by agreement with a third party to keep confidential;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General Partner shall make available to a Limited Partner, upon reasonable request, information required by such Limited Partner to comply with applicable laws, rules and regulations, as well as any requests from any federal or state regulatory body having jurisdiction over such Limited Partner. Notwithstanding the immediately preceding proviso, in no event shall the General Partner be required to disclose to any Limited Partner the identity of, or any account details relating to, any other Partner (or any other investor in any other PWP Entity) unless it is required to do so by law applicable to it, as determined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389" w:right="339" w:bottom="1440" w:gutter="0" w:footer="0" w:header="0"/>
        </w:sectPr>
      </w:pPr>
    </w:p>
    <w:bookmarkStart w:id="192" w:name="page193"/>
    <w:bookmarkEnd w:id="192"/>
    <w:p>
      <w:pPr>
        <w:jc w:val="both"/>
        <w:ind w:firstLine="1278"/>
        <w:spacing w:after="0" w:line="264" w:lineRule="auto"/>
        <w:tabs>
          <w:tab w:leader="none" w:pos="1896"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permitted by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or as required by applicable law, each party hereto agrees that the provisions of this Agreement, all of the information and documents described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all understandings, agreements and other arrangements between and among the parties (or any of them), and all other non-public information received from, or otherwise relating to, any PWP Entity, any Limited Partners, the General Partner and/or their respective Affiliates shall be confidential, and shall not disclose or otherwise release to any other Person (other than another party hereto) such matters, without the written consent of the General Partner.</w:t>
      </w:r>
    </w:p>
    <w:p>
      <w:pPr>
        <w:spacing w:after="0" w:line="176" w:lineRule="exact"/>
        <w:rPr>
          <w:rFonts w:ascii="Times New Roman" w:cs="Times New Roman" w:eastAsia="Times New Roman" w:hAnsi="Times New Roman"/>
          <w:sz w:val="19"/>
          <w:szCs w:val="19"/>
          <w:color w:val="auto"/>
        </w:rPr>
      </w:pPr>
    </w:p>
    <w:p>
      <w:pPr>
        <w:jc w:val="both"/>
        <w:ind w:firstLine="1278"/>
        <w:spacing w:after="0" w:line="257" w:lineRule="auto"/>
        <w:tabs>
          <w:tab w:leader="none" w:pos="1898"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confidentiality obligations of the parties under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shall not apply to: (i) the disclosure by a Limited Partner of information to the other Limited Partners or such Limited Partner’s Affiliates, partners, officers, agents, board members, trustees, attorneys, auditors, employees, prospective transferees permitted hereunder, financial advisors and other professional advisors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prospective transferees and other Persons agree to hold confidential such information substantially in accordance with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or are otherwise bound by a duty of confidentiality to such Limited Partner) solely on a need-to-know basis, which Persons shall be bound by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as if they were Limited Partners; (ii) information already known to the general public at the time of disclosure or that became known prior to such disclosure through no act or omission by any Limited Partner (or any investor in any other PWP Entity) or any Person acting on behalf of any of the foregoing; (iii) information received from a source not bound by a duty of confidentiality to any PWP Entity, any Partner or any Affiliate of any of the foregoing; (iv)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 disclosures made in connection with any lawsuit initiated to enforce any rights granted under this Agreement or any side letter entered into pursuant to </w:t>
      </w:r>
      <w:r>
        <w:rPr>
          <w:rFonts w:ascii="Times New Roman" w:cs="Times New Roman" w:eastAsia="Times New Roman" w:hAnsi="Times New Roman"/>
          <w:sz w:val="19"/>
          <w:szCs w:val="19"/>
          <w:u w:val="single" w:color="auto"/>
          <w:color w:val="auto"/>
        </w:rPr>
        <w:t>Section 15.16</w:t>
      </w:r>
      <w:r>
        <w:rPr>
          <w:rFonts w:ascii="Times New Roman" w:cs="Times New Roman" w:eastAsia="Times New Roman" w:hAnsi="Times New Roman"/>
          <w:sz w:val="19"/>
          <w:szCs w:val="19"/>
          <w:color w:val="auto"/>
        </w:rPr>
        <w:t xml:space="preserve">; or (vi) the disclosure of confidential information to rating agencies to the extent such disclosure is required by such rating agencies;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disclosing such confidential information, a party shall, to the extent permitted by applicable law, notify the General Partner thereof, which notice shall include the basis upon which such party believes the information is required to be disclosed. Notwithstanding the foregoing or anything to the contrary herein, in no event shall this </w:t>
      </w:r>
      <w:r>
        <w:rPr>
          <w:rFonts w:ascii="Times New Roman" w:cs="Times New Roman" w:eastAsia="Times New Roman" w:hAnsi="Times New Roman"/>
          <w:sz w:val="19"/>
          <w:szCs w:val="19"/>
          <w:u w:val="single" w:color="auto"/>
          <w:color w:val="auto"/>
        </w:rPr>
        <w:t>Section 15.12(c)</w:t>
      </w:r>
      <w:r>
        <w:rPr>
          <w:rFonts w:ascii="Times New Roman" w:cs="Times New Roman" w:eastAsia="Times New Roman" w:hAnsi="Times New Roman"/>
          <w:sz w:val="19"/>
          <w:szCs w:val="19"/>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200" w:lineRule="exact"/>
        <w:rPr>
          <w:rFonts w:ascii="Times New Roman" w:cs="Times New Roman" w:eastAsia="Times New Roman" w:hAnsi="Times New Roman"/>
          <w:sz w:val="19"/>
          <w:szCs w:val="19"/>
          <w:color w:val="auto"/>
        </w:rPr>
      </w:pPr>
    </w:p>
    <w:p>
      <w:pPr>
        <w:spacing w:after="0" w:line="230" w:lineRule="exact"/>
        <w:rPr>
          <w:rFonts w:ascii="Times New Roman" w:cs="Times New Roman" w:eastAsia="Times New Roman" w:hAnsi="Times New Roman"/>
          <w:sz w:val="19"/>
          <w:szCs w:val="19"/>
          <w:color w:val="auto"/>
        </w:rPr>
      </w:pPr>
    </w:p>
    <w:p>
      <w:pPr>
        <w:jc w:val="both"/>
        <w:ind w:firstLine="1278"/>
        <w:spacing w:after="0" w:line="258" w:lineRule="auto"/>
        <w:tabs>
          <w:tab w:leader="none" w:pos="1896"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a Limited Partner is subject to the United States Freedom of Information Act or any similar public disclosure or public records act statutes: (i) such Limited Partner acknowledges the General Partner’s and the Partnership’s position that the information intended to be protected by the provisions of </w:t>
      </w:r>
      <w:r>
        <w:rPr>
          <w:rFonts w:ascii="Times New Roman" w:cs="Times New Roman" w:eastAsia="Times New Roman" w:hAnsi="Times New Roman"/>
          <w:sz w:val="19"/>
          <w:szCs w:val="19"/>
          <w:u w:val="single" w:color="auto"/>
          <w:color w:val="auto"/>
        </w:rPr>
        <w:t>Section 15.12(a)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15.12(b)</w:t>
      </w:r>
      <w:r>
        <w:rPr>
          <w:rFonts w:ascii="Times New Roman" w:cs="Times New Roman" w:eastAsia="Times New Roman" w:hAnsi="Times New Roman"/>
          <w:sz w:val="19"/>
          <w:szCs w:val="19"/>
          <w:color w:val="auto"/>
        </w:rPr>
        <w:t xml:space="preserve"> constitutes or includes sensitive financial data, proprietary data, commercial and financial information and/or trade secrets that are being provided to and/or entered into with the Limited Partner with the specific understanding that such documents and information will remain confidential; (ii) the General Partner advises each such Limited Partner that the documents and information intended to be protected by the provisions of </w:t>
      </w:r>
      <w:r>
        <w:rPr>
          <w:rFonts w:ascii="Times New Roman" w:cs="Times New Roman" w:eastAsia="Times New Roman" w:hAnsi="Times New Roman"/>
          <w:sz w:val="19"/>
          <w:szCs w:val="19"/>
          <w:u w:val="single" w:color="auto"/>
          <w:color w:val="auto"/>
        </w:rPr>
        <w:t>Section 15.12(a)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15.12(b)</w:t>
      </w:r>
      <w:r>
        <w:rPr>
          <w:rFonts w:ascii="Times New Roman" w:cs="Times New Roman" w:eastAsia="Times New Roman" w:hAnsi="Times New Roman"/>
          <w:sz w:val="19"/>
          <w:szCs w:val="19"/>
          <w:color w:val="auto"/>
        </w:rPr>
        <w:t xml:space="preserve"> would not be supplied to such Limited Partner without an understanding that such documents and information will be held and treated by such Limited Partner as confidential information; and (iii) to the extent that such Limited Partner is nevertheless required to disclose any such confidential information, (A) such Limited Partner shall, unless legally prohibited, give the General Partner prior notice of any such required disclosure and</w:t>
      </w:r>
    </w:p>
    <w:p>
      <w:pPr>
        <w:spacing w:after="0" w:line="1"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Limited Partner shall in any event maintain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389" w:right="339" w:bottom="1440" w:gutter="0" w:footer="0" w:header="0"/>
        </w:sectPr>
      </w:pPr>
    </w:p>
    <w:bookmarkStart w:id="193" w:name="page194"/>
    <w:bookmarkEnd w:id="193"/>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confidentiality of the Partnership’s information (including this Agreement) to at least the same extent as, and in a manner no less favorable to the Partnership and the General Partner than the manner in which, it maintains the confidentiality of comparable information in respect of any other private investment vehicles in which such Limited Partner invests (whether such vehicles are focused on private investments, public investments or otherwise). Notwithstanding the foregoing or anything to the contrary herein, in no event shall this </w:t>
      </w:r>
      <w:r>
        <w:rPr>
          <w:rFonts w:ascii="Times New Roman" w:cs="Times New Roman" w:eastAsia="Times New Roman" w:hAnsi="Times New Roman"/>
          <w:sz w:val="19"/>
          <w:szCs w:val="19"/>
          <w:u w:val="single" w:color="auto"/>
          <w:color w:val="auto"/>
        </w:rPr>
        <w:t>Section 15.12(d)</w:t>
      </w:r>
      <w:r>
        <w:rPr>
          <w:rFonts w:ascii="Times New Roman" w:cs="Times New Roman" w:eastAsia="Times New Roman" w:hAnsi="Times New Roman"/>
          <w:sz w:val="19"/>
          <w:szCs w:val="19"/>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80" w:lineRule="exact"/>
        <w:rPr>
          <w:sz w:val="20"/>
          <w:szCs w:val="20"/>
          <w:color w:val="auto"/>
        </w:rPr>
      </w:pPr>
    </w:p>
    <w:p>
      <w:pPr>
        <w:jc w:val="both"/>
        <w:ind w:firstLine="1278"/>
        <w:spacing w:after="0" w:line="259" w:lineRule="auto"/>
        <w:tabs>
          <w:tab w:leader="none" w:pos="1898"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Partnership and the General Partner shall be entitled to enforce the obligations of each Limited Partner under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to maintain the confidentiality of the information described herein. The remedies provided for in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are in addition to and not in limitation of any other right or remedy of the Partnership or the General Partner provided by law or equity, this Agreement or any other agreement entered into by or among one or more of the Limited Partners and/or the Partnership. Each Limited Partner expressly acknowledges that the remedy at law for damages resulting from a breach of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may be inadequate and that the Partnership and the General Partner shall be entitled to institute an action for specific performance of a Limited Partner’s obligations hereunder. The General Partner shall be entitled to consider the different circumstances of different Limited Partners with respect to the restrictions and obligations imposed on Limited Partners hereunder to the full extent permitted by law, and, to the full extent permitted by law, the General Partner may, in its good faith discretion, waive or modify such restrictions and obligations with respect to a Limited Partner without waiving or modifying such restrictions and obligations for other Limited Partners.</w:t>
      </w:r>
    </w:p>
    <w:p>
      <w:pPr>
        <w:spacing w:after="0" w:line="186" w:lineRule="exact"/>
        <w:rPr>
          <w:rFonts w:ascii="Times New Roman" w:cs="Times New Roman" w:eastAsia="Times New Roman" w:hAnsi="Times New Roman"/>
          <w:sz w:val="19"/>
          <w:szCs w:val="19"/>
          <w:color w:val="auto"/>
        </w:rPr>
      </w:pPr>
    </w:p>
    <w:p>
      <w:pPr>
        <w:jc w:val="both"/>
        <w:ind w:firstLine="1278"/>
        <w:spacing w:after="0" w:line="263" w:lineRule="auto"/>
        <w:tabs>
          <w:tab w:leader="none" w:pos="1903"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full extent permitted by law, each Limited Partner agrees to indemnify the Partnership and each Indemnitee against any claim, demand, controversy, dispute, cost, loss, damage, expense (including attorneys’ fees), judgment and/or liability incurred by or imposed upon the Partnership or any such Indemnitee in connection with any action, suit or proceeding (including any proceeding before any administrative or legislative body or agency), to which the Partnership or any such Indemnitee may be made a party or otherwise involved or with which the Partnership or any such Indemnitee shall be threatened, by reason of the Limited Partner’s obligations (or breach thereof) set forth in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firstLine="1278"/>
        <w:spacing w:after="0" w:line="269" w:lineRule="auto"/>
        <w:tabs>
          <w:tab w:leader="none" w:pos="189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(including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the Special Limited Partner may disclose any confidential information otherwise subject to the confidentiality obligations of this </w:t>
      </w:r>
      <w:r>
        <w:rPr>
          <w:rFonts w:ascii="Times New Roman" w:cs="Times New Roman" w:eastAsia="Times New Roman" w:hAnsi="Times New Roman"/>
          <w:sz w:val="19"/>
          <w:szCs w:val="19"/>
          <w:u w:val="single" w:color="auto"/>
          <w:color w:val="auto"/>
        </w:rPr>
        <w:t>Section 15.12</w:t>
      </w:r>
      <w:r>
        <w:rPr>
          <w:rFonts w:ascii="Times New Roman" w:cs="Times New Roman" w:eastAsia="Times New Roman" w:hAnsi="Times New Roman"/>
          <w:sz w:val="19"/>
          <w:szCs w:val="19"/>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73"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 xml:space="preserve">Section 15.13 </w:t>
      </w:r>
      <w:r>
        <w:rPr>
          <w:rFonts w:ascii="Times New Roman" w:cs="Times New Roman" w:eastAsia="Times New Roman" w:hAnsi="Times New Roman"/>
          <w:sz w:val="19"/>
          <w:szCs w:val="19"/>
          <w:u w:val="single" w:color="auto"/>
          <w:color w:val="auto"/>
        </w:rPr>
        <w:t>Consent to Use of Name</w:t>
      </w:r>
      <w:r>
        <w:rPr>
          <w:rFonts w:ascii="Times New Roman" w:cs="Times New Roman" w:eastAsia="Times New Roman" w:hAnsi="Times New Roman"/>
          <w:sz w:val="19"/>
          <w:szCs w:val="19"/>
          <w:color w:val="auto"/>
        </w:rPr>
        <w:t>. Each Partner hereby consents to the use and inclusion of its (and, to the extent applicable, its Associated Person’s) name in the Partnership’s books and records hereto and any and all other notices or communications required or permitted to be given by the General Partner to any other PWP Entity or any member(s)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89" w:right="339" w:bottom="1440" w:gutter="0" w:footer="0" w:header="0"/>
        </w:sectPr>
      </w:pPr>
    </w:p>
    <w:bookmarkStart w:id="194" w:name="page195"/>
    <w:bookmarkEnd w:id="194"/>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15.14 </w:t>
      </w:r>
      <w:r>
        <w:rPr>
          <w:rFonts w:ascii="Times New Roman" w:cs="Times New Roman" w:eastAsia="Times New Roman" w:hAnsi="Times New Roman"/>
          <w:sz w:val="19"/>
          <w:szCs w:val="19"/>
          <w:u w:val="single" w:color="auto"/>
          <w:color w:val="auto"/>
        </w:rPr>
        <w:t>Consent by Spouse</w:t>
      </w:r>
      <w:r>
        <w:rPr>
          <w:rFonts w:ascii="Times New Roman" w:cs="Times New Roman" w:eastAsia="Times New Roman" w:hAnsi="Times New Roman"/>
          <w:sz w:val="19"/>
          <w:szCs w:val="19"/>
          <w:color w:val="auto"/>
        </w:rPr>
        <w:t xml:space="preserve">. Each Limited Partner holding Other Partnership Units who is a natural person and is married (and not formally separated with an agreed-upon division of assets) and is subject to the community property laws of any state shall deliver a duly executed Consent by Spouse with respect to such Other Partnership Units, in the form prescribed in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and at the time of execution of this Agreement. Each such Limited Partner shall also have such Consent by Spouse executed by any spouse married to him or her at any time subsequent thereto while such natural person is a Limited Partner. Each Limited Partner agrees and acknowledges that compliance with the requirements of this </w:t>
      </w:r>
      <w:r>
        <w:rPr>
          <w:rFonts w:ascii="Times New Roman" w:cs="Times New Roman" w:eastAsia="Times New Roman" w:hAnsi="Times New Roman"/>
          <w:sz w:val="19"/>
          <w:szCs w:val="19"/>
          <w:u w:val="single" w:color="auto"/>
          <w:color w:val="auto"/>
        </w:rPr>
        <w:t>Section 15.14</w:t>
      </w:r>
      <w:r>
        <w:rPr>
          <w:rFonts w:ascii="Times New Roman" w:cs="Times New Roman" w:eastAsia="Times New Roman" w:hAnsi="Times New Roman"/>
          <w:sz w:val="19"/>
          <w:szCs w:val="19"/>
          <w:color w:val="auto"/>
        </w:rPr>
        <w:t xml:space="preserve"> by each other Limited Partner constitutes an essential part of the consideration for his or her execution of this Agreement.</w:t>
      </w:r>
    </w:p>
    <w:p>
      <w:pPr>
        <w:spacing w:after="0" w:line="166"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15.15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multiple counterparts, each of which shall be deemed to be an original copy and all of which shall constitute one agreement, binding on all parties hereto.</w:t>
      </w:r>
    </w:p>
    <w:p>
      <w:pPr>
        <w:spacing w:after="0" w:line="13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9"/>
          <w:szCs w:val="19"/>
          <w:color w:val="auto"/>
        </w:rPr>
        <w:t xml:space="preserve">Section 15.16 </w:t>
      </w:r>
      <w:r>
        <w:rPr>
          <w:rFonts w:ascii="Times New Roman" w:cs="Times New Roman" w:eastAsia="Times New Roman" w:hAnsi="Times New Roman"/>
          <w:sz w:val="19"/>
          <w:szCs w:val="19"/>
          <w:u w:val="single" w:color="auto"/>
          <w:color w:val="auto"/>
        </w:rPr>
        <w:t>Other Agreements</w:t>
      </w:r>
      <w:r>
        <w:rPr>
          <w:rFonts w:ascii="Times New Roman" w:cs="Times New Roman" w:eastAsia="Times New Roman" w:hAnsi="Times New Roman"/>
          <w:sz w:val="19"/>
          <w:szCs w:val="19"/>
          <w:color w:val="auto"/>
        </w:rPr>
        <w:t xml:space="preserve">. Notwithstanding any other provision of this Agreement (including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 it is hereby acknowledged and agreed that the General Partner on its own behalf and on behalf of the Partnership shall have the power and authority, without any further act, approval or vote of any Limited Partner or other Person, to enter into any side letter or similar agreement to or with a Limited Partner, that has the effect of establishing rights or otherwise benefiting such Limited Partner (in its capacity as a Limited Partner) in a manner more favorable in a material respect to such Limited Partner than the rights and benefits established under, or otherwise altering or supplementing the terms of, this Agreement.</w:t>
      </w:r>
    </w:p>
    <w:p>
      <w:pPr>
        <w:spacing w:after="0" w:line="180"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15.17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The provisions of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XV</w:t>
      </w:r>
      <w:r>
        <w:rPr>
          <w:rFonts w:ascii="Times New Roman" w:cs="Times New Roman" w:eastAsia="Times New Roman" w:hAnsi="Times New Roman"/>
          <w:sz w:val="19"/>
          <w:szCs w:val="19"/>
          <w:color w:val="auto"/>
        </w:rPr>
        <w:t xml:space="preserve"> (and any other provisions herein necessary for the effectiveness of the foregoing sections) shall survive the termination of the Partnership.</w:t>
      </w:r>
    </w:p>
    <w:p>
      <w:pPr>
        <w:spacing w:after="0" w:line="130"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 xml:space="preserve">Section 15.18 </w:t>
      </w:r>
      <w:r>
        <w:rPr>
          <w:rFonts w:ascii="Times New Roman" w:cs="Times New Roman" w:eastAsia="Times New Roman" w:hAnsi="Times New Roman"/>
          <w:sz w:val="19"/>
          <w:szCs w:val="19"/>
          <w:u w:val="single" w:color="auto"/>
          <w:color w:val="auto"/>
        </w:rPr>
        <w:t>Anti-Money Laundering Representations and Undertakings</w:t>
      </w:r>
      <w:r>
        <w:rPr>
          <w:rFonts w:ascii="Times New Roman" w:cs="Times New Roman" w:eastAsia="Times New Roman" w:hAnsi="Times New Roman"/>
          <w:sz w:val="19"/>
          <w:szCs w:val="19"/>
          <w:color w:val="auto"/>
        </w:rPr>
        <w:t xml:space="preserve">. Each Partner acknowledges that it has read the representations and undertakings contained on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attached hereto and hereby confirms they are true and correct.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389" w:right="339" w:bottom="1440" w:gutter="0" w:footer="0" w:header="0"/>
        </w:sectPr>
      </w:pPr>
    </w:p>
    <w:bookmarkStart w:id="195" w:name="page196"/>
    <w:bookmarkEnd w:id="195"/>
    <w:p>
      <w:pPr>
        <w:jc w:val="center"/>
        <w:ind w:right="1439"/>
        <w:spacing w:after="0"/>
        <w:rPr>
          <w:sz w:val="20"/>
          <w:szCs w:val="20"/>
          <w:color w:val="auto"/>
        </w:rPr>
      </w:pPr>
      <w:r>
        <w:rPr>
          <w:rFonts w:ascii="Times New Roman" w:cs="Times New Roman" w:eastAsia="Times New Roman" w:hAnsi="Times New Roman"/>
          <w:sz w:val="19"/>
          <w:szCs w:val="19"/>
          <w:color w:val="auto"/>
        </w:rPr>
        <w:t>IN WITNESS WHEREOF, this Agreement has been executed as of the date first written above.</w:t>
      </w: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PWP GP LLC</w:t>
      </w: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Perella Weinberg Partners, its sole member</w:t>
      </w:r>
    </w:p>
    <w:p>
      <w:pPr>
        <w:spacing w:after="0" w:line="200" w:lineRule="exact"/>
        <w:rPr>
          <w:sz w:val="20"/>
          <w:szCs w:val="20"/>
          <w:color w:val="auto"/>
        </w:rPr>
      </w:pP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-5715</wp:posOffset>
            </wp:positionV>
            <wp:extent cx="15646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 w:lineRule="exact"/>
        <w:rPr>
          <w:sz w:val="20"/>
          <w:szCs w:val="20"/>
          <w:color w:val="auto"/>
        </w:rPr>
      </w:pPr>
    </w:p>
    <w:p>
      <w:pPr>
        <w:ind w:left="3820"/>
        <w:spacing w:after="0"/>
        <w:tabs>
          <w:tab w:leader="none" w:pos="450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ind w:left="3820"/>
        <w:spacing w:after="0"/>
        <w:tabs>
          <w:tab w:leader="none" w:pos="440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PERELLA WEINBERG PARTNERS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i w:val="1"/>
          <w:iCs w:val="1"/>
          <w:color w:val="auto"/>
        </w:rPr>
        <w:t>[Signature Page to Third A&amp;R Limited Partnership Agreement of PWP Holdings LP]</w:t>
      </w:r>
    </w:p>
    <w:p>
      <w:pPr>
        <w:sectPr>
          <w:pgSz w:w="11900" w:h="16838" w:orient="portrait"/>
          <w:cols w:equalWidth="0" w:num="1">
            <w:col w:w="10139"/>
          </w:cols>
          <w:pgMar w:left="320" w:top="1389"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 EXAMPLES REGARDING ADJUSTMENT FACTOR</w:t>
      </w:r>
    </w:p>
    <w:p>
      <w:pPr>
        <w:spacing w:after="0" w:line="236" w:lineRule="exact"/>
        <w:rPr>
          <w:sz w:val="20"/>
          <w:szCs w:val="20"/>
          <w:color w:val="auto"/>
        </w:rPr>
      </w:pPr>
    </w:p>
    <w:p>
      <w:pPr>
        <w:ind w:right="180" w:firstLine="636"/>
        <w:spacing w:after="0" w:line="273" w:lineRule="auto"/>
        <w:rPr>
          <w:sz w:val="20"/>
          <w:szCs w:val="20"/>
          <w:color w:val="auto"/>
        </w:rPr>
      </w:pPr>
      <w:r>
        <w:rPr>
          <w:rFonts w:ascii="Times New Roman" w:cs="Times New Roman" w:eastAsia="Times New Roman" w:hAnsi="Times New Roman"/>
          <w:sz w:val="19"/>
          <w:szCs w:val="19"/>
          <w:color w:val="auto"/>
        </w:rPr>
        <w:t>For purposes of the following examples, it is assumed that (a) the Adjustment Factor in effect on December 31, 2023 is 1.0 and (b) on January 1, 2024 (the “Partnership Record Date” for purposes of these examples), prior to the events described in the examples, there are 100 Class A Shares issued and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Example 1</w:t>
      </w:r>
    </w:p>
    <w:p>
      <w:pPr>
        <w:spacing w:after="0" w:line="219" w:lineRule="exact"/>
        <w:rPr>
          <w:sz w:val="20"/>
          <w:szCs w:val="20"/>
          <w:color w:val="auto"/>
        </w:rPr>
      </w:pPr>
    </w:p>
    <w:p>
      <w:pPr>
        <w:ind w:right="80" w:firstLine="636"/>
        <w:spacing w:after="0" w:line="269" w:lineRule="auto"/>
        <w:rPr>
          <w:sz w:val="20"/>
          <w:szCs w:val="20"/>
          <w:color w:val="auto"/>
        </w:rPr>
      </w:pPr>
      <w:r>
        <w:rPr>
          <w:rFonts w:ascii="Times New Roman" w:cs="Times New Roman" w:eastAsia="Times New Roman" w:hAnsi="Times New Roman"/>
          <w:sz w:val="19"/>
          <w:szCs w:val="19"/>
          <w:color w:val="auto"/>
        </w:rPr>
        <w:t>On the Partnership Record Date, the Special Limited Partner declares a dividend on its outstanding Class A Shares in Class A Shares. The amount of the dividend is one Class A Share paid in respect of each Class A Share owned. Pursuant to Paragraph (i) of the definition of “Adjustment Factor,” the Adjustment Factor shall be adjusted on the Partnership Record Date, effective immediately after the stock dividend is declared, as follows: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1.0 * 200/100 = 2.0</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Accordingly, the Adjustment Factor after the stock dividend is declared is 2.0.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Example 2</w:t>
      </w:r>
    </w:p>
    <w:p>
      <w:pPr>
        <w:spacing w:after="0" w:line="232" w:lineRule="exact"/>
        <w:rPr>
          <w:sz w:val="20"/>
          <w:szCs w:val="20"/>
          <w:color w:val="auto"/>
        </w:rPr>
      </w:pPr>
    </w:p>
    <w:p>
      <w:pPr>
        <w:ind w:right="80" w:firstLine="636"/>
        <w:spacing w:after="0" w:line="264" w:lineRule="auto"/>
        <w:rPr>
          <w:sz w:val="20"/>
          <w:szCs w:val="20"/>
          <w:color w:val="auto"/>
        </w:rPr>
      </w:pPr>
      <w:r>
        <w:rPr>
          <w:rFonts w:ascii="Times New Roman" w:cs="Times New Roman" w:eastAsia="Times New Roman" w:hAnsi="Times New Roman"/>
          <w:sz w:val="19"/>
          <w:szCs w:val="19"/>
          <w:color w:val="auto"/>
        </w:rPr>
        <w:t>On the Partnership Record Date, the Special Limited Partner distributes options to purchase Class A Shares to all holders of its Class A Shares. The amount of the distribution is one option to acquire one Class A Share in respect of each Class A Share owned. The strike price is $4.00 a share. The Value of a Class A Share on the Partnership Record Date is $5.00 per share. Pursuant to Paragraph (ii) of the definition of “Adjustment Factor,” the Adjustment Factor shall be adjusted on the Partnership Record Date, effective immediately after the options are distributed, as follows: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1.0 * (100 + 100)/(100 + [100 * $4.00/$5.00]) = 1.1111</w:t>
      </w:r>
    </w:p>
    <w:p>
      <w:pPr>
        <w:spacing w:after="0" w:line="232" w:lineRule="exact"/>
        <w:rPr>
          <w:sz w:val="20"/>
          <w:szCs w:val="20"/>
          <w:color w:val="auto"/>
        </w:rPr>
      </w:pPr>
    </w:p>
    <w:p>
      <w:pPr>
        <w:ind w:right="280" w:firstLine="636"/>
        <w:spacing w:after="0" w:line="300" w:lineRule="auto"/>
        <w:rPr>
          <w:sz w:val="20"/>
          <w:szCs w:val="20"/>
          <w:color w:val="auto"/>
        </w:rPr>
      </w:pPr>
      <w:r>
        <w:rPr>
          <w:rFonts w:ascii="Times New Roman" w:cs="Times New Roman" w:eastAsia="Times New Roman" w:hAnsi="Times New Roman"/>
          <w:sz w:val="19"/>
          <w:szCs w:val="19"/>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Example 3</w:t>
      </w:r>
    </w:p>
    <w:p>
      <w:pPr>
        <w:spacing w:after="0" w:line="232"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19"/>
          <w:szCs w:val="19"/>
          <w:color w:val="auto"/>
        </w:rPr>
        <w:t>On the Partnership Record Date, the Special Limited Partner distributes assets to all holders of its Class A Shares. The amount of the distribution is one asset with a fair market value (as determined by the General Partner, whose determination shall be conclusive) of $1.00 in respect of each Class A Share owned. It is also assumed that the assets do not relate to assets received by the Special Limited Partner or its Subsidiaries pursuant to a pro rata distribution by the Partnership. The Value of a Class A Share on the Partnership Record Date is $5.00 a share. Pursuant to Paragraph (iii) of the definition of “Adjustment Factor,” the Adjustment Factor shall be adjusted on the Partnership Record Date, effective immediately after the assets are distributed, as follows:</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1.0 * $5.00/($5.00 — $1.00) = 1.25</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Accordingly, the Adjustment Factor after the assets are distributed is 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20"/>
          </w:cols>
          <w:pgMar w:left="320" w:top="1252" w:right="359" w:bottom="1440" w:gutter="0" w:footer="0" w:header="0"/>
        </w:sectPr>
      </w:pPr>
    </w:p>
    <w:bookmarkStart w:id="197" w:name="page198"/>
    <w:bookmarkEnd w:id="197"/>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EXHIBIT B-1: FORM OF LIMITED PARTNER ELECTION OF EXCHANGE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Perella Weinberg Partners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PWP GP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767 Fifth Avenue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 10153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Attn: Legal Department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u w:val="single" w:color="auto"/>
          <w:color w:val="0000FF"/>
        </w:rPr>
        <w:t>Legal@PWPartners.com</w:t>
      </w:r>
    </w:p>
    <w:p>
      <w:pPr>
        <w:spacing w:after="0" w:line="231" w:lineRule="exact"/>
        <w:rPr>
          <w:sz w:val="20"/>
          <w:szCs w:val="20"/>
          <w:color w:val="auto"/>
        </w:rPr>
      </w:pPr>
    </w:p>
    <w:p>
      <w:pPr>
        <w:ind w:right="120" w:firstLine="636"/>
        <w:spacing w:after="0" w:line="273" w:lineRule="auto"/>
        <w:rPr>
          <w:sz w:val="20"/>
          <w:szCs w:val="20"/>
          <w:color w:val="auto"/>
        </w:rPr>
      </w:pPr>
      <w:r>
        <w:rPr>
          <w:rFonts w:ascii="Times New Roman" w:cs="Times New Roman" w:eastAsia="Times New Roman" w:hAnsi="Times New Roman"/>
          <w:sz w:val="19"/>
          <w:szCs w:val="19"/>
          <w:color w:val="auto"/>
        </w:rPr>
        <w:t>Reference is hereby made to the Third Amended and Restated Agreement of Limited Partnership of PWP Holdings LP, dated as of February 5, 2025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and the Exchange rights referred to therein in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Capitalized terms used but not defined herein shall have the meanings given to them in the Agreement.</w:t>
      </w:r>
    </w:p>
    <w:p>
      <w:pPr>
        <w:spacing w:after="0" w:line="169" w:lineRule="exact"/>
        <w:rPr>
          <w:sz w:val="20"/>
          <w:szCs w:val="20"/>
          <w:color w:val="auto"/>
        </w:rPr>
      </w:pPr>
    </w:p>
    <w:p>
      <w:pPr>
        <w:ind w:firstLine="636"/>
        <w:spacing w:after="0" w:line="264" w:lineRule="auto"/>
        <w:rPr>
          <w:sz w:val="20"/>
          <w:szCs w:val="20"/>
          <w:color w:val="auto"/>
        </w:rPr>
      </w:pPr>
      <w:r>
        <w:rPr>
          <w:rFonts w:ascii="Times New Roman" w:cs="Times New Roman" w:eastAsia="Times New Roman" w:hAnsi="Times New Roman"/>
          <w:sz w:val="19"/>
          <w:szCs w:val="19"/>
          <w:color w:val="auto"/>
        </w:rPr>
        <w:t>The undersigned Qualifying Party hereby transfers to the Partnership or the Special Limited Partner (as specified in the Agreement) the number of Exchangeable Units set forth below in exchange for cash or, at the election of the Special Limited Partner in its sole discretion, Class A Shares to be issued in its name as set forth below (or in the name of a designee as may be set forth below), pursuant to the terms and conditions of the Agreement. This Election of Exchange shall be irrevocable, except to the extent validly withdrawn in accordance with the Agreement,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Name of Qualifying Party: _______________________________________________________</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___________________________________________________________________________</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Partnership Class A-0 Common Units to be Exchanged: ______________________________</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 information for deposit of Cash Amount, if applicable: ________________________________</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Bank Name: ___________________________________________________________________</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ABA No.: _____________________________________________________________________</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Account No.: ___________________________________________________________________</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Account Name: _________________________________________________________________</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undersigned hereby represents and warrants that:</w:t>
      </w:r>
    </w:p>
    <w:p>
      <w:pPr>
        <w:spacing w:after="0" w:line="219" w:lineRule="exact"/>
        <w:rPr>
          <w:sz w:val="20"/>
          <w:szCs w:val="20"/>
          <w:color w:val="auto"/>
        </w:rPr>
      </w:pPr>
    </w:p>
    <w:p>
      <w:pPr>
        <w:ind w:left="880" w:hanging="238"/>
        <w:spacing w:after="0"/>
        <w:tabs>
          <w:tab w:leader="none" w:pos="88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has full legal capacity to execute and deliver this Election of Exchange and to perform the undersigned’s obligations</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hereunder;</w:t>
      </w:r>
    </w:p>
    <w:p>
      <w:pPr>
        <w:spacing w:after="0" w:line="204" w:lineRule="exact"/>
        <w:rPr>
          <w:rFonts w:ascii="Times New Roman" w:cs="Times New Roman" w:eastAsia="Times New Roman" w:hAnsi="Times New Roman"/>
          <w:sz w:val="19"/>
          <w:szCs w:val="19"/>
          <w:color w:val="auto"/>
        </w:rPr>
      </w:pPr>
    </w:p>
    <w:p>
      <w:pPr>
        <w:ind w:right="40" w:firstLine="642"/>
        <w:spacing w:after="0" w:line="280" w:lineRule="auto"/>
        <w:tabs>
          <w:tab w:leader="none" w:pos="922"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49" w:lineRule="exact"/>
        <w:rPr>
          <w:rFonts w:ascii="Times New Roman" w:cs="Times New Roman" w:eastAsia="Times New Roman" w:hAnsi="Times New Roman"/>
          <w:sz w:val="19"/>
          <w:szCs w:val="19"/>
          <w:color w:val="auto"/>
        </w:rPr>
      </w:pPr>
    </w:p>
    <w:p>
      <w:pPr>
        <w:ind w:right="200" w:firstLine="642"/>
        <w:spacing w:after="0" w:line="300" w:lineRule="auto"/>
        <w:tabs>
          <w:tab w:leader="none" w:pos="97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Class A-0 Common Units subject to this Election of Exchange are being transferred free and clear of any pledge, lien, security interest, encumbrance, equities or claim;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80"/>
          </w:cols>
          <w:pgMar w:left="320" w:top="1385" w:right="399" w:bottom="1440" w:gutter="0" w:footer="0" w:header="0"/>
        </w:sectPr>
      </w:pPr>
    </w:p>
    <w:bookmarkStart w:id="198" w:name="page199"/>
    <w:bookmarkEnd w:id="198"/>
    <w:p>
      <w:pPr>
        <w:ind w:right="40" w:firstLine="642"/>
        <w:spacing w:after="0" w:line="273" w:lineRule="auto"/>
        <w:tabs>
          <w:tab w:leader="none" w:pos="965"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consent, approval, authorization, order, registration or qualification of any third party or with any court or governmental agency or body having jurisdiction over the undersigned, the Partnership Class A-0 Common Units subject to this Election of Exchange is required to be obtained by the undersigned for the transfer of such Partnership Class A-0 Common Units.</w:t>
      </w:r>
    </w:p>
    <w:p>
      <w:pPr>
        <w:spacing w:after="0" w:line="169" w:lineRule="exact"/>
        <w:rPr>
          <w:sz w:val="20"/>
          <w:szCs w:val="20"/>
          <w:color w:val="auto"/>
        </w:rPr>
      </w:pPr>
    </w:p>
    <w:p>
      <w:pPr>
        <w:ind w:right="200" w:firstLine="636"/>
        <w:spacing w:after="0" w:line="269" w:lineRule="auto"/>
        <w:rPr>
          <w:sz w:val="20"/>
          <w:szCs w:val="20"/>
          <w:color w:val="auto"/>
        </w:rPr>
      </w:pPr>
      <w:r>
        <w:rPr>
          <w:rFonts w:ascii="Times New Roman" w:cs="Times New Roman" w:eastAsia="Times New Roman" w:hAnsi="Times New Roman"/>
          <w:sz w:val="19"/>
          <w:szCs w:val="19"/>
          <w:color w:val="auto"/>
        </w:rPr>
        <w:t>The undersigned hereby irrevocably constitutes and appoints any officer of the Special Limited Partner or of the Partnership as the attorney of the undersigned, with full power of substitution and resubstitution in the premises, to do any and all things and to take any and all actions that may be necessary to exchange the Partnership Class A-0 Common Units subject to this Election of Exchange for cash or Class A Shares on the books of the Partnership.</w:t>
      </w:r>
    </w:p>
    <w:p>
      <w:pPr>
        <w:spacing w:after="0" w:line="160" w:lineRule="exact"/>
        <w:rPr>
          <w:sz w:val="20"/>
          <w:szCs w:val="20"/>
          <w:color w:val="auto"/>
        </w:rPr>
      </w:pPr>
    </w:p>
    <w:p>
      <w:pPr>
        <w:ind w:firstLine="636"/>
        <w:spacing w:after="0" w:line="300" w:lineRule="auto"/>
        <w:rPr>
          <w:sz w:val="20"/>
          <w:szCs w:val="20"/>
          <w:color w:val="auto"/>
        </w:rPr>
      </w:pPr>
      <w:r>
        <w:rPr>
          <w:rFonts w:ascii="Times New Roman" w:cs="Times New Roman" w:eastAsia="Times New Roman" w:hAnsi="Times New Roman"/>
          <w:sz w:val="19"/>
          <w:szCs w:val="19"/>
          <w:color w:val="auto"/>
        </w:rPr>
        <w:t>IN WITNESS WHEREOF the undersigned, by authority duly given, has caused this Election of Exchange to be executed and delivered by the undersigned or by its duly authorized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Name: __________________________</w:t>
      </w:r>
    </w:p>
    <w:p>
      <w:pPr>
        <w:spacing w:after="0" w:line="200" w:lineRule="exact"/>
        <w:rPr>
          <w:sz w:val="20"/>
          <w:szCs w:val="20"/>
          <w:color w:val="auto"/>
        </w:rPr>
      </w:pPr>
    </w:p>
    <w:p>
      <w:pPr>
        <w:spacing w:after="0" w:line="29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Dated: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80"/>
          </w:cols>
          <w:pgMar w:left="320" w:top="1389" w:right="399" w:bottom="1440" w:gutter="0" w:footer="0" w:header="0"/>
        </w:sectPr>
      </w:pPr>
    </w:p>
    <w:bookmarkStart w:id="199" w:name="page200"/>
    <w:bookmarkEnd w:id="199"/>
    <w:p>
      <w:pPr>
        <w:ind w:left="1620"/>
        <w:spacing w:after="0"/>
        <w:rPr>
          <w:sz w:val="20"/>
          <w:szCs w:val="20"/>
          <w:color w:val="auto"/>
        </w:rPr>
      </w:pPr>
      <w:r>
        <w:rPr>
          <w:rFonts w:ascii="Times New Roman" w:cs="Times New Roman" w:eastAsia="Times New Roman" w:hAnsi="Times New Roman"/>
          <w:sz w:val="19"/>
          <w:szCs w:val="19"/>
          <w:b w:val="1"/>
          <w:bCs w:val="1"/>
          <w:color w:val="auto"/>
        </w:rPr>
        <w:t>EXHIBIT B-2: FORM OF ADCO PROFESSIONALS PARTNER ELECTION OF EXCHANGE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Perella Weinberg Partners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Perella Weinberg Partners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PWP GP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767 Fifth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 10153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Attn: Legal Department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u w:val="single" w:color="auto"/>
          <w:color w:val="0000FF"/>
        </w:rPr>
        <w:t>Legal@PWPartners.com</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Reference is hereby made to the Third Amended and Restated Agreement of Limited Partnership of PWP Holdings LP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dated as of February 5, 2025 (the “</w:t>
      </w:r>
      <w:r>
        <w:rPr>
          <w:rFonts w:ascii="Times New Roman" w:cs="Times New Roman" w:eastAsia="Times New Roman" w:hAnsi="Times New Roman"/>
          <w:sz w:val="19"/>
          <w:szCs w:val="19"/>
          <w:u w:val="single" w:color="auto"/>
          <w:color w:val="auto"/>
        </w:rPr>
        <w:t>Holdings LPA</w:t>
      </w:r>
      <w:r>
        <w:rPr>
          <w:rFonts w:ascii="Times New Roman" w:cs="Times New Roman" w:eastAsia="Times New Roman" w:hAnsi="Times New Roman"/>
          <w:sz w:val="19"/>
          <w:szCs w:val="19"/>
          <w:color w:val="auto"/>
        </w:rPr>
        <w:t>”), the Agreement of Limited Partnership of PWP VoteCo Professionals LP (“</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 dated as of December 31, 2023 (the “</w:t>
      </w:r>
      <w:r>
        <w:rPr>
          <w:rFonts w:ascii="Times New Roman" w:cs="Times New Roman" w:eastAsia="Times New Roman" w:hAnsi="Times New Roman"/>
          <w:sz w:val="19"/>
          <w:szCs w:val="19"/>
          <w:u w:val="single" w:color="auto"/>
          <w:color w:val="auto"/>
        </w:rPr>
        <w:t>VoteCo Professionals LPA</w:t>
      </w:r>
      <w:r>
        <w:rPr>
          <w:rFonts w:ascii="Times New Roman" w:cs="Times New Roman" w:eastAsia="Times New Roman" w:hAnsi="Times New Roman"/>
          <w:sz w:val="19"/>
          <w:szCs w:val="19"/>
          <w:color w:val="auto"/>
        </w:rPr>
        <w:t>”), and the Redemption rights referred to therein. Capitalized terms used but not defined herein shall have the meanings given to them in the Agreement and VoteCo Professionals LPA, as applicable.</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undersigned hereby transfers: (a)(i) to Holdings the number of Partnership Class A-1 Common Units (as defined in the Holdings LPA) in Holdings set forth below to be converted into an equivalent number of Partnership Class A-0 Common Units (as defined in the Holdings LPA) in Holdings, upon the terms and subject to the conditions set forth in the Holdings LPA, and (ii) to VoteCo Professionals the number of Partnership Class A-1 Common Units (as defined in the VoteCo Professionals LPA) in VoteCo Professionals set forth below in exchange for an equivalent number of Redemption Shares (as defined in the VoteCo Professionals LPA), upon the terms and subject to the conditions set forth in the VoteCo Professionals LPA; and (b) to Holdings or the Special Limited Partner (as specified in the Holdings LPA) such Partnership Class A-0 Common Units and Redemption Shares in exchange for cash or, at the election of the Special Limited Partner in its sole discretion, Class A Shares to be issued in its name as set forth below (or in the name of a designee as may be set forth below), in each case, upon the terms and subject to the conditions set forth in the Holdings LPA. This Election of Exchange shall be irrevocable, except to the extent validly withdrawn in accordance with the Holdings LPA, if applicable. To the extent this Election of Exchange is withdrawn pursuant to the Holdings LPA, it shall, if applicable, be automatically deemed withdrawn to the same extent pursuant to the VoteCo Professionals LPA.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 Name: _______________________________________________________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___________________________________________________________________________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Partnership Class A-1 Common Units in Holdings (and Partnership Class A-0 Common Units in Holdings) to be Exchanged: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w:t>
      </w:r>
    </w:p>
    <w:p>
      <w:pPr>
        <w:spacing w:after="0" w:line="210" w:lineRule="exact"/>
        <w:rPr>
          <w:sz w:val="20"/>
          <w:szCs w:val="20"/>
          <w:color w:val="auto"/>
        </w:rPr>
      </w:pPr>
    </w:p>
    <w:p>
      <w:pPr>
        <w:spacing w:after="0"/>
        <w:tabs>
          <w:tab w:leader="none" w:pos="800" w:val="left"/>
          <w:tab w:leader="none" w:pos="1160" w:val="left"/>
          <w:tab w:leader="none" w:pos="2220" w:val="left"/>
          <w:tab w:leader="none" w:pos="2840" w:val="left"/>
          <w:tab w:leader="none" w:pos="3320" w:val="left"/>
          <w:tab w:leader="none" w:pos="4220" w:val="left"/>
          <w:tab w:leader="none" w:pos="4840" w:val="left"/>
          <w:tab w:leader="none" w:pos="5180" w:val="left"/>
          <w:tab w:leader="none" w:pos="5940" w:val="left"/>
          <w:tab w:leader="none" w:pos="7160" w:val="left"/>
          <w:tab w:leader="none" w:pos="7680" w:val="left"/>
          <w:tab w:leader="none" w:pos="8820" w:val="left"/>
          <w:tab w:leader="none" w:pos="9580" w:val="left"/>
          <w:tab w:leader="none" w:pos="9920" w:val="left"/>
          <w:tab w:leader="none" w:pos="10300" w:val="left"/>
        </w:tabs>
        <w:rPr>
          <w:sz w:val="20"/>
          <w:szCs w:val="20"/>
          <w:color w:val="auto"/>
        </w:rPr>
      </w:pPr>
      <w:r>
        <w:rPr>
          <w:rFonts w:ascii="Times New Roman" w:cs="Times New Roman" w:eastAsia="Times New Roman" w:hAnsi="Times New Roman"/>
          <w:sz w:val="19"/>
          <w:szCs w:val="19"/>
          <w:color w:val="auto"/>
        </w:rPr>
        <w:t>Number</w:t>
        <w:tab/>
        <w:t>of</w:t>
        <w:tab/>
        <w:t>Partnership</w:t>
        <w:tab/>
        <w:t>Class</w:t>
        <w:tab/>
        <w:t>A-1</w:t>
        <w:tab/>
        <w:t>Common</w:t>
        <w:tab/>
        <w:t>Units</w:t>
        <w:tab/>
        <w:t>in</w:t>
        <w:tab/>
        <w:t>VoteCo</w:t>
        <w:tab/>
        <w:t>Professionals</w:t>
        <w:tab/>
        <w:t>(and</w:t>
        <w:tab/>
        <w:t>Redemption</w:t>
        <w:tab/>
        <w:t>Shares)</w:t>
        <w:tab/>
        <w:t>to</w:t>
        <w:tab/>
        <w:t>be</w:t>
        <w:tab/>
        <w:t>Exchanged: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 information for deposit of Cash Amount, if applicable: 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Name: ___________________________________________________________________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ABA No.: _____________________________________________________________________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 No.: 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240"/>
          </w:cols>
          <w:pgMar w:left="320" w:top="1385"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color w:val="auto"/>
        </w:rPr>
        <w:t>Account Name: _________________________________________________________________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hereby represents and warrants that:</w:t>
      </w:r>
    </w:p>
    <w:p>
      <w:pPr>
        <w:spacing w:after="0" w:line="219" w:lineRule="exact"/>
        <w:rPr>
          <w:sz w:val="20"/>
          <w:szCs w:val="20"/>
          <w:color w:val="auto"/>
        </w:rPr>
      </w:pPr>
    </w:p>
    <w:p>
      <w:pPr>
        <w:ind w:right="20" w:firstLine="6"/>
        <w:spacing w:after="0" w:line="300" w:lineRule="auto"/>
        <w:tabs>
          <w:tab w:leader="none" w:pos="26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has full legal capacity to execute and deliver this Election of Exchange and to perform the undersigned’s obligations hereunder;</w:t>
      </w:r>
    </w:p>
    <w:p>
      <w:pPr>
        <w:spacing w:after="0" w:line="129" w:lineRule="exact"/>
        <w:rPr>
          <w:rFonts w:ascii="Times New Roman" w:cs="Times New Roman" w:eastAsia="Times New Roman" w:hAnsi="Times New Roman"/>
          <w:sz w:val="19"/>
          <w:szCs w:val="19"/>
          <w:color w:val="auto"/>
        </w:rPr>
      </w:pPr>
    </w:p>
    <w:p>
      <w:pPr>
        <w:jc w:val="both"/>
        <w:ind w:firstLine="6"/>
        <w:spacing w:after="0" w:line="280" w:lineRule="auto"/>
        <w:tabs>
          <w:tab w:leader="none" w:pos="305"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49" w:lineRule="exact"/>
        <w:rPr>
          <w:rFonts w:ascii="Times New Roman" w:cs="Times New Roman" w:eastAsia="Times New Roman" w:hAnsi="Times New Roman"/>
          <w:sz w:val="19"/>
          <w:szCs w:val="19"/>
          <w:color w:val="auto"/>
        </w:rPr>
      </w:pPr>
    </w:p>
    <w:p>
      <w:pPr>
        <w:ind w:firstLine="6"/>
        <w:spacing w:after="0" w:line="300" w:lineRule="auto"/>
        <w:tabs>
          <w:tab w:leader="none" w:pos="35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Class A-1 Common Units in Holdings (and Partnership Class A-0 Common Units in Holdings) subject to this Election of Exchange are being transferred free and clear of any pledge, lien, security interest, encumbrance, equities or claim;</w:t>
      </w:r>
    </w:p>
    <w:p>
      <w:pPr>
        <w:spacing w:after="0" w:line="129" w:lineRule="exact"/>
        <w:rPr>
          <w:rFonts w:ascii="Times New Roman" w:cs="Times New Roman" w:eastAsia="Times New Roman" w:hAnsi="Times New Roman"/>
          <w:sz w:val="19"/>
          <w:szCs w:val="19"/>
          <w:color w:val="auto"/>
        </w:rPr>
      </w:pPr>
    </w:p>
    <w:p>
      <w:pPr>
        <w:ind w:firstLine="6"/>
        <w:spacing w:after="0" w:line="300" w:lineRule="auto"/>
        <w:tabs>
          <w:tab w:leader="none" w:pos="335"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Partnership Class A-1 Common Units in VoteCo Professionals (and Redemption Shares) subject to this Election of Exchange are being transferred free and clear of any pledge, lien, security interest, encumbrance, equities or claim; and</w:t>
      </w:r>
    </w:p>
    <w:p>
      <w:pPr>
        <w:spacing w:after="0" w:line="142" w:lineRule="exact"/>
        <w:rPr>
          <w:rFonts w:ascii="Times New Roman" w:cs="Times New Roman" w:eastAsia="Times New Roman" w:hAnsi="Times New Roman"/>
          <w:sz w:val="19"/>
          <w:szCs w:val="19"/>
          <w:color w:val="auto"/>
        </w:rPr>
      </w:pPr>
    </w:p>
    <w:p>
      <w:pPr>
        <w:jc w:val="both"/>
        <w:ind w:firstLine="6"/>
        <w:spacing w:after="0" w:line="264" w:lineRule="auto"/>
        <w:tabs>
          <w:tab w:leader="none" w:pos="28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consent, approval, authorization, order, registration or qualification of any third party or with any court or governmental agency or body having jurisdiction over the undersigned, the Partnership Class A-1 Common Units in Holdings (or Partnership Class A-0 Common Units in Holdings) or the Partnership Class A-1 Common Units in VoteCo Professionals (or Redemption Shares) subject to this Election of Exchange is required to be obtained by the undersigned for the transfer of such Partnership Class A-1 Common Units in Holdings (or Partnership Class A-0 Common Units in Holdings) or the Partnership Class A-1 Common Units in VoteCo Professionals (or Redemption Shares).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undersigned hereby irrevocably constitutes and appoints any officer of Holdings or VoteCo Professionals as the attorney of the undersigned, with full power of substitution and resubstitution in the premises, to do any and all things and to take any and all actions that may be necessary to exchange the Partnership Class A-1 Common Units in Holdings (and Partnership Class A-0 Common Units in Holdings) and the Partnership Class A-1 Common Units in VoteCo Professionals (or Redemption Shares) subject to this Election of Exchange.</w:t>
      </w:r>
    </w:p>
    <w:p>
      <w:pPr>
        <w:spacing w:after="0" w:line="17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 WITNESS WHEREOF the undersigned, by authority duly given, has caused this Election of Exchange to be executed and delivered by the undersigned or by its duly authorized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Name: __________________________</w:t>
      </w:r>
    </w:p>
    <w:p>
      <w:pPr>
        <w:spacing w:after="0" w:line="200" w:lineRule="exact"/>
        <w:rPr>
          <w:sz w:val="20"/>
          <w:szCs w:val="20"/>
          <w:color w:val="auto"/>
        </w:rPr>
      </w:pPr>
    </w:p>
    <w:p>
      <w:pPr>
        <w:spacing w:after="0" w:line="29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240"/>
          </w:cols>
          <w:pgMar w:left="320" w:top="1389" w:right="339" w:bottom="1440" w:gutter="0" w:footer="0" w:header="0"/>
        </w:sectPr>
      </w:pPr>
    </w:p>
    <w:bookmarkStart w:id="201" w:name="page202"/>
    <w:bookmarkEnd w:id="201"/>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 RELEASE</w:t>
      </w:r>
      <w:r>
        <w:rPr>
          <w:rFonts w:ascii="Times New Roman" w:cs="Times New Roman" w:eastAsia="Times New Roman" w:hAnsi="Times New Roman"/>
          <w:sz w:val="25"/>
          <w:szCs w:val="25"/>
          <w:b w:val="1"/>
          <w:bCs w:val="1"/>
          <w:color w:val="auto"/>
          <w:vertAlign w:val="superscript"/>
        </w:rPr>
        <w:t>1</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This Release of Claims (this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is entered into by the undersigned (“</w:t>
      </w:r>
      <w:r>
        <w:rPr>
          <w:rFonts w:ascii="Times New Roman" w:cs="Times New Roman" w:eastAsia="Times New Roman" w:hAnsi="Times New Roman"/>
          <w:sz w:val="19"/>
          <w:szCs w:val="19"/>
          <w:u w:val="single" w:color="auto"/>
          <w:color w:val="auto"/>
        </w:rPr>
        <w:t>you</w:t>
      </w:r>
      <w:r>
        <w:rPr>
          <w:rFonts w:ascii="Times New Roman" w:cs="Times New Roman" w:eastAsia="Times New Roman" w:hAnsi="Times New Roman"/>
          <w:sz w:val="19"/>
          <w:szCs w:val="19"/>
          <w:color w:val="auto"/>
        </w:rPr>
        <w:t>”) for and in consideration of the benefits granted to you pursuant to (i) Section 14.1 of the Third Amended and Restated Agreement of Limited Partnership of PWP Holdings LP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dated as of February 5, 2025 (as amended, restated, modified or supplemented from time to time, the “</w:t>
      </w:r>
      <w:r>
        <w:rPr>
          <w:rFonts w:ascii="Times New Roman" w:cs="Times New Roman" w:eastAsia="Times New Roman" w:hAnsi="Times New Roman"/>
          <w:sz w:val="19"/>
          <w:szCs w:val="19"/>
          <w:u w:val="single" w:color="auto"/>
          <w:color w:val="auto"/>
        </w:rPr>
        <w:t>Holdings LPA</w:t>
      </w:r>
      <w:r>
        <w:rPr>
          <w:rFonts w:ascii="Times New Roman" w:cs="Times New Roman" w:eastAsia="Times New Roman" w:hAnsi="Times New Roman"/>
          <w:sz w:val="19"/>
          <w:szCs w:val="19"/>
          <w:color w:val="auto"/>
        </w:rPr>
        <w:t>”), and (ii) Section 14.1 of the Agreement of Limited Partnership of PWP VoteCo Professionals LP (“</w:t>
      </w:r>
      <w:r>
        <w:rPr>
          <w:rFonts w:ascii="Times New Roman" w:cs="Times New Roman" w:eastAsia="Times New Roman" w:hAnsi="Times New Roman"/>
          <w:sz w:val="19"/>
          <w:szCs w:val="19"/>
          <w:u w:val="single" w:color="auto"/>
          <w:color w:val="auto"/>
        </w:rPr>
        <w:t>VoteCo Professionals</w:t>
      </w:r>
      <w:r>
        <w:rPr>
          <w:rFonts w:ascii="Times New Roman" w:cs="Times New Roman" w:eastAsia="Times New Roman" w:hAnsi="Times New Roman"/>
          <w:sz w:val="19"/>
          <w:szCs w:val="19"/>
          <w:color w:val="auto"/>
        </w:rPr>
        <w:t>”), dated as of December 31, 2023 (as amended, restated, modified or supplemented from time to time, the “</w:t>
      </w:r>
      <w:r>
        <w:rPr>
          <w:rFonts w:ascii="Times New Roman" w:cs="Times New Roman" w:eastAsia="Times New Roman" w:hAnsi="Times New Roman"/>
          <w:sz w:val="19"/>
          <w:szCs w:val="19"/>
          <w:u w:val="single" w:color="auto"/>
          <w:color w:val="auto"/>
        </w:rPr>
        <w:t>VoteCo Professionals LPA</w:t>
      </w:r>
      <w:r>
        <w:rPr>
          <w:rFonts w:ascii="Times New Roman" w:cs="Times New Roman" w:eastAsia="Times New Roman" w:hAnsi="Times New Roman"/>
          <w:sz w:val="19"/>
          <w:szCs w:val="19"/>
          <w:color w:val="auto"/>
        </w:rPr>
        <w:t>”). Capitalized terms used herein and not otherwise defined herein shall have the respective meanings ascribed to such terms in the Holdings LPA and VoteCo Professionals LPA, as applicable.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Effective upon the consummation of the Exchange with respect to which you are delivering this Release pursuant to the Holdings LPA and VoteCo Professionals LPA, but expressly conditioned upon such consummation, you, in your personal capacity, for and on behalf of yourself and your heirs, executors, administrators, successors and assigns (the “</w:t>
      </w:r>
      <w:r>
        <w:rPr>
          <w:rFonts w:ascii="Times New Roman" w:cs="Times New Roman" w:eastAsia="Times New Roman" w:hAnsi="Times New Roman"/>
          <w:sz w:val="19"/>
          <w:szCs w:val="19"/>
          <w:u w:val="single" w:color="auto"/>
          <w:color w:val="auto"/>
        </w:rPr>
        <w:t>Partner Release Parties</w:t>
      </w:r>
      <w:r>
        <w:rPr>
          <w:rFonts w:ascii="Times New Roman" w:cs="Times New Roman" w:eastAsia="Times New Roman" w:hAnsi="Times New Roman"/>
          <w:sz w:val="19"/>
          <w:szCs w:val="19"/>
          <w:color w:val="auto"/>
        </w:rPr>
        <w:t>”), hereby irrevocably, unconditionally, knowingly and voluntarily release, acquit, remise, discharge and forever waive and relinquish all Claims (as defined below) relating to Holdings, AmCo Professionals and VoteCo Professionals, any of their respective Affiliates and any of their respective businesses, which any of the Partner Release Parties ever had, has, can have, or might have now or in the future, for, upon or by reason of any matter, cause or thing whatsoever, whether in law or in equity, against AdCo Professionals, AmCo Professionals, VoteCo Professionals, the General Partner of Holdings, the General Partner of AmCo Professionals, the General Partner of VoteCo Professionals, the Special Limited Partner, Capital Holdings or their Affiliates or any of their respective successors (by merger, consolidation, division or similar transaction), assigns, executors, heirs, officers, directors, managers, partners, employees, agents and representatives (“</w:t>
      </w:r>
      <w:r>
        <w:rPr>
          <w:rFonts w:ascii="Times New Roman" w:cs="Times New Roman" w:eastAsia="Times New Roman" w:hAnsi="Times New Roman"/>
          <w:sz w:val="19"/>
          <w:szCs w:val="19"/>
          <w:u w:val="single" w:color="auto"/>
          <w:color w:val="auto"/>
        </w:rPr>
        <w:t>Representatives</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u w:val="single" w:color="auto"/>
          <w:color w:val="auto"/>
        </w:rPr>
        <w:t>PWP Release Parties</w:t>
      </w:r>
      <w:r>
        <w:rPr>
          <w:rFonts w:ascii="Times New Roman" w:cs="Times New Roman" w:eastAsia="Times New Roman" w:hAnsi="Times New Roman"/>
          <w:sz w:val="19"/>
          <w:szCs w:val="19"/>
          <w:color w:val="auto"/>
        </w:rPr>
        <w:t>”), other than to enforce any express rights under any agreement to which any Partner Release Party is a party or an express third-party beneficiary thereof arising after the consummation of the Exchange (the “</w:t>
      </w:r>
      <w:r>
        <w:rPr>
          <w:rFonts w:ascii="Times New Roman" w:cs="Times New Roman" w:eastAsia="Times New Roman" w:hAnsi="Times New Roman"/>
          <w:sz w:val="19"/>
          <w:szCs w:val="19"/>
          <w:u w:val="single" w:color="auto"/>
          <w:color w:val="auto"/>
        </w:rPr>
        <w:t>Partner Released Claims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the foregoing, nothing contained in this Release shall in any way diminish or impair: (i) rights under this Release, (ii) rights to indemnification, exculpation, advancement of expenses or insurance coverage pursuant to or in accordance with the Holdings LPA, AmCo Professionals LPA or VoteCo Professionals LPA (including as an Indemnitee), the organizational documents of Holdings, AmCo Professionals or VoteCo Professionals, the General Partner of Holdings, the General Partner of AmCo Professionals, the General Partner of VoteCo Professionals, Capital Holdings or their respective Subsidiaries, or applicable law, as applicable, or (iii) rights with respect to any breach of contract claim against the PWP Release Parties. For the avoidance of doubt, no Partner Release Party who is currently an employee, officer, manager, partner and/or director of Holdings, AmCo Professionals, VoteCo Professionals or any of their respective Subsidiaries (or the predecessors thereof) shall cease to be a Partner Release Party should they cease to serve in such position for any reason.</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Claim</w:t>
      </w:r>
      <w:r>
        <w:rPr>
          <w:rFonts w:ascii="Times New Roman" w:cs="Times New Roman" w:eastAsia="Times New Roman" w:hAnsi="Times New Roman"/>
          <w:sz w:val="19"/>
          <w:szCs w:val="19"/>
          <w:color w:val="auto"/>
        </w:rPr>
        <w:t>” shall mean any actual, potential or threatened claim, counterclaim, action, investigation, arbitration or other alternative dispute resolution mechanism, appeal, inquiry, inspection, audit, examination, proceeding, cause of action in law or in equity, suit, lien, liability, debt due, sum of money, demand, obligation, accounting, damage, financial obligations, charges, rights, damages, loss, cost or expense, attorneys’ fees and liabilities of any kind or nature whatsoever, known or unknown, contingent or non-contingent, suspected or unsuspected, whether arising under state, federal or other law, or based on common law, statutory law, regulations, equity or otherwise, including, without limitation, any claim based on alleged breach of contract, breach of fiduciary duty, breach of duty of confidentiality, undue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1615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28" w:lineRule="exact"/>
        <w:rPr>
          <w:sz w:val="20"/>
          <w:szCs w:val="20"/>
          <w:color w:val="auto"/>
        </w:rPr>
      </w:pPr>
    </w:p>
    <w:p>
      <w:pPr>
        <w:ind w:left="240" w:hanging="234"/>
        <w:spacing w:after="0"/>
        <w:tabs>
          <w:tab w:leader="none" w:pos="24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substantially similar separate form will be provided for LLCs and for trusts.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influence, incapacity, fraud, fraudulent inducement, negligent misrepresentation, unjust enrichment or other legal duty, legal fault, offense, quasi-offense or any other theory.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Partner Release Parties acknowledge that the laws of many states provide substantially the following: “A GENERAL RELEASE DOES NOT EXTEND TO CLAIMS THAT THE CREDITOR DOES NOT KNOW OR SUSPECT TO EXIST IN HIS, HER OR ITS FAVOR AT THE TIME OF EXECUTING THE RELEASE, WHICH IF KNOWN BY HIM, HER OR IT MUST HAVE MATERIALLY AFFECTED HIS, HER OR ITS SETTLEMENT WITH THE DEBTOR.” The Partner Release Parties acknowledge that such provisions are designed to protect a person from waiving Claims that it does not know exist or may exist. Nonetheless, the Partner Release Parties agree that, effective as of the consummation of the Exchange, the Partner Release Parties shall be deemed to waive any protections provided by such provisions to the fullest extent permitted by law and shall not institute any legal proceedings based upon, arising out of, or relating to any of the Claims released pursuant to this Release, whether known or unknown at the time of executing this Release.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It is expressly agreed that the PWP Release Parties and their respective Representatives, to the extent they are not parties to this Release, shall be intended third-party beneficiaries of the release provisions set forth herein and shall be entitled to enforce such provisions in the same manner and to the same extent as the parties hereto. The Partner Release Parties agree to perform all further acts and execute, acknowledge and deliver any documents that may be reasonably necessary to carry out the provisions of this Release.</w:t>
      </w:r>
    </w:p>
    <w:p>
      <w:pPr>
        <w:spacing w:after="0" w:line="17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Section 15.9 of the Holdings LPA, Section 14.9 of the AmCo Professionals LPA and Section 15.9 of the VoteCo Professionals LPA are hereby incorporated by reference into this Release and shall apply as if fully set forth herein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144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9"/>
          <w:szCs w:val="19"/>
          <w:color w:val="auto"/>
        </w:rPr>
        <w:t>IN WITNESS WHEREOF, the undersigned has duly executed this Release as of February 5, 2025.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Acknowledged, agreed and consented to as of the date first set forth above: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PERELLA WEINBERG PARTNERS LLC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PWP HOLDINGS 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PWP GP LLC,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PWP AMCO PROFESSIONALS LP</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Perella Weinberg Partners LLC,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PWP VOTECO PROFESSIONALS 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Perella Weinberg Partners LLC,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By:/s/Alexandra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-5715</wp:posOffset>
            </wp:positionV>
            <wp:extent cx="15646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Alexandra Gottschalk</w:t>
      </w:r>
    </w:p>
    <w:p>
      <w:pPr>
        <w:sectPr>
          <w:pgSz w:w="11900" w:h="16838" w:orient="portrait"/>
          <w:cols w:equalWidth="0" w:num="1">
            <w:col w:w="10139"/>
          </w:cols>
          <w:pgMar w:left="320" w:top="13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i w:val="1"/>
          <w:iCs w:val="1"/>
          <w:color w:val="auto"/>
        </w:rPr>
        <w:t>[Signature Page to Release]</w:t>
      </w:r>
    </w:p>
    <w:p>
      <w:pPr>
        <w:sectPr>
          <w:pgSz w:w="11900" w:h="16838" w:orient="portrait"/>
          <w:cols w:equalWidth="0" w:num="1">
            <w:col w:w="10139"/>
          </w:cols>
          <w:pgMar w:left="320" w:top="1389" w:right="1440" w:bottom="1440" w:gutter="0" w:footer="0" w:header="0"/>
          <w:type w:val="continuous"/>
        </w:sectPr>
      </w:pPr>
    </w:p>
    <w:bookmarkStart w:id="204" w:name="page205"/>
    <w:bookmarkEnd w:id="204"/>
    <w:p>
      <w:pPr>
        <w:spacing w:after="0"/>
        <w:tabs>
          <w:tab w:leader="none" w:pos="58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i w:val="1"/>
          <w:iCs w:val="1"/>
          <w:color w:val="auto"/>
        </w:rPr>
        <w:t>[Signature Page to Release]</w:t>
      </w:r>
    </w:p>
    <w:p>
      <w:pPr>
        <w:sectPr>
          <w:pgSz w:w="11900" w:h="16838" w:orient="portrait"/>
          <w:cols w:equalWidth="0" w:num="1">
            <w:col w:w="10139"/>
          </w:cols>
          <w:pgMar w:left="320" w:top="1389" w:right="1440"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D: CONSENT BY SPOUSE</w:t>
      </w:r>
    </w:p>
    <w:p>
      <w:pPr>
        <w:spacing w:after="0" w:line="236" w:lineRule="exact"/>
        <w:rPr>
          <w:sz w:val="20"/>
          <w:szCs w:val="20"/>
          <w:color w:val="auto"/>
        </w:rPr>
      </w:pPr>
    </w:p>
    <w:p>
      <w:pPr>
        <w:ind w:right="20" w:firstLine="636"/>
        <w:spacing w:after="0" w:line="263" w:lineRule="auto"/>
        <w:rPr>
          <w:sz w:val="20"/>
          <w:szCs w:val="20"/>
          <w:color w:val="auto"/>
        </w:rPr>
      </w:pPr>
      <w:r>
        <w:rPr>
          <w:rFonts w:ascii="Times New Roman" w:cs="Times New Roman" w:eastAsia="Times New Roman" w:hAnsi="Times New Roman"/>
          <w:sz w:val="19"/>
          <w:szCs w:val="19"/>
          <w:color w:val="auto"/>
        </w:rPr>
        <w:t>I acknowledge that I have read the Third Amended and Restated Agreement of Limited Partnership (the “</w:t>
      </w:r>
      <w:r>
        <w:rPr>
          <w:rFonts w:ascii="Times New Roman" w:cs="Times New Roman" w:eastAsia="Times New Roman" w:hAnsi="Times New Roman"/>
          <w:sz w:val="19"/>
          <w:szCs w:val="19"/>
          <w:u w:val="single" w:color="auto"/>
          <w:color w:val="auto"/>
        </w:rPr>
        <w:t>Partnership Agreement</w:t>
      </w:r>
      <w:r>
        <w:rPr>
          <w:rFonts w:ascii="Times New Roman" w:cs="Times New Roman" w:eastAsia="Times New Roman" w:hAnsi="Times New Roman"/>
          <w:sz w:val="19"/>
          <w:szCs w:val="19"/>
          <w:color w:val="auto"/>
        </w:rPr>
        <w:t>”) of PWP Holdings LP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effective as of February 5, 2025, and that I know its contents. I am aware that by its provisions, my spouse agrees to sell, convert, dispose of, or otherwise transfer his or her [interest in the Partnership/Other Partnership Units (as defined in the Partnership Agreement)], including any property or other interest that I have or acquire therein, under certain circumstances. I hereby consent to such sale, conversion, disposition or other transfer; and approve of the provisions of the Partnership Agreement and any action hereafter taken by my spouse thereunder with respect to his or her [interest/Other Partnership Units], and I agree to be bound thereby.</w:t>
      </w:r>
    </w:p>
    <w:p>
      <w:pPr>
        <w:spacing w:after="0" w:line="167"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9"/>
          <w:szCs w:val="19"/>
          <w:color w:val="auto"/>
        </w:rPr>
        <w:t>I further agree that in the event of my death or a dissolution of marriage or legal separation, my spouse shall have the absolute right to have my interest, if any, in the Partnership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multiplied by</w:t>
      </w:r>
    </w:p>
    <w:p>
      <w:pPr>
        <w:spacing w:after="0" w:line="1" w:lineRule="exact"/>
        <w:rPr>
          <w:sz w:val="20"/>
          <w:szCs w:val="20"/>
          <w:color w:val="auto"/>
        </w:rPr>
      </w:pPr>
    </w:p>
    <w:p>
      <w:pPr>
        <w:ind w:right="120" w:firstLine="6"/>
        <w:spacing w:after="0" w:line="269" w:lineRule="auto"/>
        <w:tabs>
          <w:tab w:leader="none" w:pos="286"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my percentage of ownership in such interest (all without regard to the effect of any vesting provisions in the Partnership Agreement related thereto).</w:t>
      </w:r>
    </w:p>
    <w:p>
      <w:pPr>
        <w:spacing w:after="0" w:line="171" w:lineRule="exact"/>
        <w:rPr>
          <w:sz w:val="20"/>
          <w:szCs w:val="20"/>
          <w:color w:val="auto"/>
        </w:rPr>
      </w:pPr>
    </w:p>
    <w:p>
      <w:pPr>
        <w:ind w:firstLine="636"/>
        <w:spacing w:after="0" w:line="273" w:lineRule="auto"/>
        <w:rPr>
          <w:sz w:val="20"/>
          <w:szCs w:val="20"/>
          <w:color w:val="auto"/>
        </w:rPr>
      </w:pPr>
      <w:r>
        <w:rPr>
          <w:rFonts w:ascii="Times New Roman" w:cs="Times New Roman" w:eastAsia="Times New Roman" w:hAnsi="Times New Roman"/>
          <w:sz w:val="19"/>
          <w:szCs w:val="19"/>
          <w:color w:val="auto"/>
        </w:rPr>
        <w:t>This consent, including its existence, validity, construction, and operating effect, and the rights of each of the parties hereto, shall be governed by and construed in accordance with the laws of the [•]* without regard to otherwise governing principles of choice of law or conflicts of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-5715</wp:posOffset>
            </wp:positionV>
            <wp:extent cx="1231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-5715</wp:posOffset>
            </wp:positionV>
            <wp:extent cx="1231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321945</wp:posOffset>
            </wp:positionV>
            <wp:extent cx="16408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9"/>
          <w:szCs w:val="19"/>
          <w:color w:val="auto"/>
        </w:rPr>
        <w:t>*</w:t>
        <w:tab/>
        <w:t>Insert jurisdiction of residence of Partner and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20"/>
          </w:cols>
          <w:pgMar w:left="320" w:top="1385" w:right="35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9"/>
          <w:szCs w:val="19"/>
          <w:b w:val="1"/>
          <w:bCs w:val="1"/>
          <w:color w:val="auto"/>
        </w:rPr>
        <w:t>EXHIBIT E: ANTI-MONEY LAUNDERING REPRESENTATIONS AND UNDERTAKINGS</w:t>
      </w:r>
    </w:p>
    <w:p>
      <w:pPr>
        <w:spacing w:after="0" w:line="236" w:lineRule="exact"/>
        <w:rPr>
          <w:sz w:val="20"/>
          <w:szCs w:val="20"/>
          <w:color w:val="auto"/>
        </w:rPr>
      </w:pPr>
    </w:p>
    <w:p>
      <w:pPr>
        <w:ind w:right="100" w:firstLine="636"/>
        <w:spacing w:after="0" w:line="285" w:lineRule="auto"/>
        <w:rPr>
          <w:sz w:val="20"/>
          <w:szCs w:val="20"/>
          <w:color w:val="auto"/>
        </w:rPr>
      </w:pPr>
      <w:r>
        <w:rPr>
          <w:rFonts w:ascii="Times New Roman" w:cs="Times New Roman" w:eastAsia="Times New Roman" w:hAnsi="Times New Roman"/>
          <w:sz w:val="19"/>
          <w:szCs w:val="19"/>
          <w:color w:val="auto"/>
        </w:rPr>
        <w:t>Each Partner hereby makes the following representations, warranties and covenants as of the date of this Agreement, and for so long as each such Partner holds any Partnership Interest thereafter:</w:t>
      </w:r>
    </w:p>
    <w:p>
      <w:pPr>
        <w:spacing w:after="0" w:line="144" w:lineRule="exact"/>
        <w:rPr>
          <w:sz w:val="20"/>
          <w:szCs w:val="20"/>
          <w:color w:val="auto"/>
        </w:rPr>
      </w:pPr>
    </w:p>
    <w:p>
      <w:pPr>
        <w:jc w:val="both"/>
        <w:ind w:left="640" w:firstLine="638"/>
        <w:spacing w:after="0" w:line="217" w:lineRule="auto"/>
        <w:tabs>
          <w:tab w:leader="none" w:pos="1902"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monies used to fund the Partner’s acquisition of an interest in the Partnership, and the monies that have been or will be used to make Capital Contributions, have not been, and will not in any case be, derived from or related to any activity that would be illegal in any Relevant Jurisdiction (“</w:t>
      </w:r>
      <w:r>
        <w:rPr>
          <w:rFonts w:ascii="Times New Roman" w:cs="Times New Roman" w:eastAsia="Times New Roman" w:hAnsi="Times New Roman"/>
          <w:sz w:val="19"/>
          <w:szCs w:val="19"/>
          <w:u w:val="single" w:color="auto"/>
          <w:color w:val="auto"/>
        </w:rPr>
        <w:t>Illegal Activity</w:t>
      </w:r>
      <w:r>
        <w:rPr>
          <w:rFonts w:ascii="Times New Roman" w:cs="Times New Roman" w:eastAsia="Times New Roman" w:hAnsi="Times New Roman"/>
          <w:sz w:val="19"/>
          <w:szCs w:val="19"/>
          <w:color w:val="auto"/>
        </w:rPr>
        <w:t>”). In addition, the proceeds from the Partner’s investment in the Partnership will not be used to finance any Illegal Activities. To the best of the Partner’s knowledge, no contribution or payment, in and of itself, by any Partner to the Partnership will cause the Partnership or its affiliates to be in violation of (i) applicable anti-money laundering or terrorist financing laws, regulations or government guidance, including but not limited to the Bank Secrecy Act, as amended by the USA PATRIOT Act of 2001, and the Bank Secrecy Act’s implementing regulations; (ii) the economic, financial and trade sanctions administered and enforced by the United States government, including by the Office of Foreign Assets Control, United States Department of the Treasury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or the U.S. Department of State, by the United Nations Security Council, the European Union, any European Union member state, or the United Kingdom (each, a “</w:t>
      </w:r>
      <w:r>
        <w:rPr>
          <w:rFonts w:ascii="Times New Roman" w:cs="Times New Roman" w:eastAsia="Times New Roman" w:hAnsi="Times New Roman"/>
          <w:sz w:val="19"/>
          <w:szCs w:val="19"/>
          <w:u w:val="single" w:color="auto"/>
          <w:color w:val="auto"/>
        </w:rPr>
        <w:t>Sanctions Authority</w:t>
      </w:r>
      <w:r>
        <w:rPr>
          <w:rFonts w:ascii="Times New Roman" w:cs="Times New Roman" w:eastAsia="Times New Roman" w:hAnsi="Times New Roman"/>
          <w:sz w:val="19"/>
          <w:szCs w:val="19"/>
          <w:color w:val="auto"/>
        </w:rPr>
        <w:t>”); (iii) applicable laws, regulations or government guidance relating to anti-money laundering, terrorist financing or economic, financial and trade sanctions of any Relevant Jurisdiction; or (iv) applicable laws, regulations or government guidance relating to export, import, customs, and anti-boycott restrictions of any Relevant Jurisdiction (collectively the rules described in clauses (i) through (iv), “</w:t>
      </w:r>
      <w:r>
        <w:rPr>
          <w:rFonts w:ascii="Times New Roman" w:cs="Times New Roman" w:eastAsia="Times New Roman" w:hAnsi="Times New Roman"/>
          <w:sz w:val="19"/>
          <w:szCs w:val="19"/>
          <w:u w:val="single" w:color="auto"/>
          <w:color w:val="auto"/>
        </w:rPr>
        <w:t>AML, Sanctions and Trade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Laws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Relevant Jurisdiction</w:t>
      </w:r>
      <w:r>
        <w:rPr>
          <w:rFonts w:ascii="Times New Roman" w:cs="Times New Roman" w:eastAsia="Times New Roman" w:hAnsi="Times New Roman"/>
          <w:sz w:val="19"/>
          <w:szCs w:val="19"/>
          <w:color w:val="auto"/>
        </w:rPr>
        <w:t>” means the United States or the Partner’s place of organization or principal place of business.</w:t>
      </w:r>
    </w:p>
    <w:p>
      <w:pPr>
        <w:spacing w:after="0" w:line="162" w:lineRule="exact"/>
        <w:rPr>
          <w:rFonts w:ascii="Times New Roman" w:cs="Times New Roman" w:eastAsia="Times New Roman" w:hAnsi="Times New Roman"/>
          <w:sz w:val="19"/>
          <w:szCs w:val="19"/>
          <w:color w:val="auto"/>
        </w:rPr>
      </w:pPr>
    </w:p>
    <w:p>
      <w:pPr>
        <w:jc w:val="both"/>
        <w:ind w:left="640" w:firstLine="638"/>
        <w:spacing w:after="0" w:line="229" w:lineRule="auto"/>
        <w:tabs>
          <w:tab w:leader="none" w:pos="19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 Partner nor any person or entity directly or indirectly owned or controlled by or owning or controlling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w:t>
      </w:r>
    </w:p>
    <w:p>
      <w:pPr>
        <w:spacing w:after="0" w:line="159" w:lineRule="exact"/>
        <w:rPr>
          <w:rFonts w:ascii="Times New Roman" w:cs="Times New Roman" w:eastAsia="Times New Roman" w:hAnsi="Times New Roman"/>
          <w:sz w:val="19"/>
          <w:szCs w:val="19"/>
          <w:color w:val="auto"/>
        </w:rPr>
      </w:pPr>
    </w:p>
    <w:p>
      <w:pPr>
        <w:jc w:val="both"/>
        <w:ind w:left="1280" w:firstLine="634"/>
        <w:spacing w:after="0" w:line="229" w:lineRule="auto"/>
        <w:tabs>
          <w:tab w:leader="none" w:pos="2550"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Appears on the Specially Designated Nationals and Blocked Persons List maintained by OFAC or any other list of sanctioned persons or entities maintained by the United States government (including by OFAC, the Department of State, and the Department of Commerce) or any other Sanctions Authority, or appears on any other sanctions list in any Relevant Jurisdiction, each as amended from time to time;</w:t>
      </w:r>
    </w:p>
    <w:p>
      <w:pPr>
        <w:spacing w:after="0" w:line="146" w:lineRule="exact"/>
        <w:rPr>
          <w:rFonts w:ascii="Times New Roman" w:cs="Times New Roman" w:eastAsia="Times New Roman" w:hAnsi="Times New Roman"/>
          <w:sz w:val="19"/>
          <w:szCs w:val="19"/>
          <w:color w:val="auto"/>
        </w:rPr>
      </w:pPr>
    </w:p>
    <w:p>
      <w:pPr>
        <w:jc w:val="both"/>
        <w:ind w:left="1280" w:firstLine="634"/>
        <w:spacing w:after="0" w:line="222" w:lineRule="auto"/>
        <w:tabs>
          <w:tab w:leader="none" w:pos="2551"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person or entity located or resident in or, if an entity, organized or chartered under the laws of a jurisdiction that (a) has been designated by the Secretary of the United States Department of the Treasury as warranting special measures due to money laundering concerns, (b) has been designated as non-cooperative with international anti-money laundering principles or procedures by an intergovernmental group or organization of which the United States is a member, if the United States has concurred in such designation or (c) is the target of comprehensive economic or trade sanctions administered and enforced by OFAC, the European Union, or the United Kingdom (at the time of this Agreement, Cuba, Iran, North Korea, Syria, or the so-called Donetsk People’s Republic, the so-called Luhansk People’s Republic, or the Crimea regions of Ukraine, or the non-government controlled areas of Ukraine in the oblasts of Kherson and Zaporizhzhia);</w:t>
      </w:r>
    </w:p>
    <w:p>
      <w:pPr>
        <w:spacing w:after="0" w:line="145" w:lineRule="exact"/>
        <w:rPr>
          <w:rFonts w:ascii="Times New Roman" w:cs="Times New Roman" w:eastAsia="Times New Roman" w:hAnsi="Times New Roman"/>
          <w:sz w:val="19"/>
          <w:szCs w:val="19"/>
          <w:color w:val="auto"/>
        </w:rPr>
      </w:pPr>
    </w:p>
    <w:p>
      <w:pPr>
        <w:ind w:left="1280" w:firstLine="634"/>
        <w:spacing w:after="0" w:line="256" w:lineRule="auto"/>
        <w:tabs>
          <w:tab w:leader="none" w:pos="2552"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otherwise the target of economic, financial or trade sanctions administered and enforced by the United States government (including by OFAC) or any other Sanctions Authority, or in any Relevant Jurisdiction;</w:t>
      </w:r>
    </w:p>
    <w:p>
      <w:pPr>
        <w:spacing w:after="0" w:line="143" w:lineRule="exact"/>
        <w:rPr>
          <w:rFonts w:ascii="Times New Roman" w:cs="Times New Roman" w:eastAsia="Times New Roman" w:hAnsi="Times New Roman"/>
          <w:sz w:val="19"/>
          <w:szCs w:val="19"/>
          <w:color w:val="auto"/>
        </w:rPr>
      </w:pPr>
    </w:p>
    <w:p>
      <w:pPr>
        <w:ind w:left="1280" w:firstLine="634"/>
        <w:spacing w:after="0" w:line="241" w:lineRule="auto"/>
        <w:tabs>
          <w:tab w:leader="none" w:pos="2541"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disclosed to the Partnership, is a Senior Foreign Political Figure, defined as a current or former senior official in the executive, legislative,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E-1</w:t>
      </w:r>
    </w:p>
    <w:p>
      <w:pPr>
        <w:sectPr>
          <w:pgSz w:w="11900" w:h="16838" w:orient="portrait"/>
          <w:cols w:equalWidth="0" w:num="1">
            <w:col w:w="11240"/>
          </w:cols>
          <w:pgMar w:left="320" w:top="1385" w:right="339" w:bottom="1440" w:gutter="0" w:footer="0" w:header="0"/>
        </w:sectPr>
      </w:pPr>
    </w:p>
    <w:bookmarkStart w:id="207" w:name="page208"/>
    <w:bookmarkEnd w:id="207"/>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military, or judicial branches of a foreign government (whether elected or not); a senior official of a major foreign political</w:t>
      </w:r>
    </w:p>
    <w:p>
      <w:pPr>
        <w:spacing w:after="0" w:line="2" w:lineRule="exact"/>
        <w:rPr>
          <w:sz w:val="20"/>
          <w:szCs w:val="20"/>
          <w:color w:val="auto"/>
        </w:rPr>
      </w:pPr>
    </w:p>
    <w:p>
      <w:pPr>
        <w:ind w:left="160"/>
        <w:spacing w:after="0" w:line="211" w:lineRule="auto"/>
        <w:rPr>
          <w:sz w:val="20"/>
          <w:szCs w:val="20"/>
          <w:color w:val="auto"/>
        </w:rPr>
      </w:pPr>
      <w:r>
        <w:rPr>
          <w:rFonts w:ascii="Times New Roman" w:cs="Times New Roman" w:eastAsia="Times New Roman" w:hAnsi="Times New Roman"/>
          <w:sz w:val="19"/>
          <w:szCs w:val="19"/>
          <w:color w:val="auto"/>
        </w:rPr>
        <w:t>party; a senior executive of a foreign government-owned commercial enterprise; a corporation, business, or other entity that has been formed by, or for the benefit of, such an individual; or the parent, sibling, spouse, child, in-law or close associate of such</w:t>
      </w:r>
    </w:p>
    <w:p>
      <w:pPr>
        <w:ind w:left="160"/>
        <w:spacing w:after="0"/>
        <w:rPr>
          <w:sz w:val="20"/>
          <w:szCs w:val="20"/>
          <w:color w:val="auto"/>
        </w:rPr>
      </w:pPr>
      <w:r>
        <w:rPr>
          <w:rFonts w:ascii="Times New Roman" w:cs="Times New Roman" w:eastAsia="Times New Roman" w:hAnsi="Times New Roman"/>
          <w:sz w:val="19"/>
          <w:szCs w:val="19"/>
          <w:color w:val="auto"/>
        </w:rPr>
        <w:t>an individual; or</w:t>
      </w:r>
    </w:p>
    <w:p>
      <w:pPr>
        <w:spacing w:after="0" w:line="170" w:lineRule="exact"/>
        <w:rPr>
          <w:sz w:val="20"/>
          <w:szCs w:val="20"/>
          <w:color w:val="auto"/>
        </w:rPr>
      </w:pPr>
    </w:p>
    <w:p>
      <w:pPr>
        <w:jc w:val="both"/>
        <w:ind w:left="160" w:firstLine="634"/>
        <w:spacing w:after="0" w:line="229" w:lineRule="auto"/>
        <w:tabs>
          <w:tab w:leader="none" w:pos="142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146" w:lineRule="exact"/>
        <w:rPr>
          <w:rFonts w:ascii="Times New Roman" w:cs="Times New Roman" w:eastAsia="Times New Roman" w:hAnsi="Times New Roman"/>
          <w:sz w:val="19"/>
          <w:szCs w:val="19"/>
          <w:color w:val="auto"/>
        </w:rPr>
      </w:pPr>
    </w:p>
    <w:p>
      <w:pPr>
        <w:jc w:val="both"/>
        <w:ind w:left="-480" w:firstLine="638"/>
        <w:spacing w:after="0" w:line="221" w:lineRule="auto"/>
        <w:tabs>
          <w:tab w:leader="none" w:pos="782"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Partners understand that the Partnership (and/or its affiliates) may be subject to certain legal requirements that require verification of the source of funds paid to the Partnership by the Partners, as well as the Partners’ identity and that of any associated persons. The Partners agree that it will provide such materials as may from time to time be reasonably requested by the Partnership or the General Partner for such purposes. In addition, the Partners agree to provide to the Partnership and its affiliates any additional information regarding itself and any person or entity controlled by or controlling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 that may be deemed necessary to ensure compliance with all applicable AML, Sanctions and Trade Laws. The Partnership may take such actions as the General Partner may reasonably determine if this information is not provided or on the basis of information that is provided.</w:t>
      </w:r>
    </w:p>
    <w:p>
      <w:pPr>
        <w:spacing w:after="0" w:line="150" w:lineRule="exact"/>
        <w:rPr>
          <w:rFonts w:ascii="Times New Roman" w:cs="Times New Roman" w:eastAsia="Times New Roman" w:hAnsi="Times New Roman"/>
          <w:sz w:val="19"/>
          <w:szCs w:val="19"/>
          <w:color w:val="auto"/>
        </w:rPr>
      </w:pPr>
    </w:p>
    <w:p>
      <w:pPr>
        <w:jc w:val="both"/>
        <w:ind w:left="-480" w:firstLine="638"/>
        <w:spacing w:after="0" w:line="227" w:lineRule="auto"/>
        <w:tabs>
          <w:tab w:leader="none" w:pos="7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evidence of identity and related information concerning each Partner and any person controlling or controlled by the Partner, excluding such persons or entities that are equityholders of the Partner or any person or entity controlled by or controlling the Partner in the event the Partner or any person or entity controlled by or controlling the Partner is a public company traded on a recognized securities exchange, provided to the Partnership is and will be true, accurate and complete. Each Partner will promptly notify the Partnership and the General Partner if any of the representations in this section cease to be true and accurate.</w:t>
      </w:r>
    </w:p>
    <w:p>
      <w:pPr>
        <w:spacing w:after="0" w:line="146" w:lineRule="exact"/>
        <w:rPr>
          <w:rFonts w:ascii="Times New Roman" w:cs="Times New Roman" w:eastAsia="Times New Roman" w:hAnsi="Times New Roman"/>
          <w:sz w:val="19"/>
          <w:szCs w:val="19"/>
          <w:color w:val="auto"/>
        </w:rPr>
      </w:pPr>
    </w:p>
    <w:p>
      <w:pPr>
        <w:jc w:val="both"/>
        <w:ind w:left="-480" w:firstLine="638"/>
        <w:spacing w:after="0" w:line="222" w:lineRule="auto"/>
        <w:tabs>
          <w:tab w:leader="none" w:pos="782"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Partner may segregate and/or redeem a Partner’s investment in the Partnership, prohibit future investments or capital contributions, or take other appropriate action if the General Partner determines that the continued participation of any Partner could materially adversely affect the Partnership or if the action is necessary in order for the Partnership to comply with applicable laws, regulations, orders, directives or special measures. The Partners further understand that the Partnership and the General Partner (and any of their affiliates) may release confidential information about each such Partner and, if applicable, any of its direct or indirect beneficial owners, to proper authorities if, in their sole and absolute discretion, they determine that such release is in the interest of any of the foregoing in light of applicable laws and regulations. The General Partner will take such steps as it determines are necessary to comply with applicable laws, regulations, orders, directives and special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E-2</w:t>
      </w:r>
    </w:p>
    <w:p>
      <w:pPr>
        <w:sectPr>
          <w:pgSz w:w="11900" w:h="16838" w:orient="portrait"/>
          <w:cols w:equalWidth="0" w:num="1">
            <w:col w:w="10120"/>
          </w:cols>
          <w:pgMar w:left="1440" w:top="1440"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9"/>
          <w:szCs w:val="19"/>
          <w:b w:val="1"/>
          <w:bCs w:val="1"/>
          <w:color w:val="auto"/>
        </w:rPr>
        <w:t>EXHIBIT F: PARTNERSHIP UNIT DESIGNATION OF THE SERIES A PI UNITS OF PWP HOLDINGS LP</w:t>
      </w:r>
    </w:p>
    <w:p>
      <w:pPr>
        <w:spacing w:after="0" w:line="30" w:lineRule="exact"/>
        <w:rPr>
          <w:sz w:val="20"/>
          <w:szCs w:val="20"/>
          <w:color w:val="auto"/>
        </w:rPr>
      </w:pPr>
    </w:p>
    <w:p>
      <w:pPr>
        <w:jc w:val="both"/>
        <w:ind w:firstLine="642"/>
        <w:spacing w:after="0" w:line="223" w:lineRule="auto"/>
        <w:tabs>
          <w:tab w:leader="none" w:pos="127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Number of Units and Designation</w:t>
      </w:r>
      <w:r>
        <w:rPr>
          <w:rFonts w:ascii="Times New Roman" w:cs="Times New Roman" w:eastAsia="Times New Roman" w:hAnsi="Times New Roman"/>
          <w:sz w:val="19"/>
          <w:szCs w:val="19"/>
          <w:color w:val="auto"/>
        </w:rPr>
        <w:t>. A class of Partnership Units is hereby designated as “</w:t>
      </w:r>
      <w:r>
        <w:rPr>
          <w:rFonts w:ascii="Times New Roman" w:cs="Times New Roman" w:eastAsia="Times New Roman" w:hAnsi="Times New Roman"/>
          <w:sz w:val="19"/>
          <w:szCs w:val="19"/>
          <w:i w:val="1"/>
          <w:iCs w:val="1"/>
          <w:color w:val="auto"/>
        </w:rPr>
        <w:t>Series A PI Units</w:t>
      </w:r>
      <w:r>
        <w:rPr>
          <w:rFonts w:ascii="Times New Roman" w:cs="Times New Roman" w:eastAsia="Times New Roman" w:hAnsi="Times New Roman"/>
          <w:sz w:val="19"/>
          <w:szCs w:val="19"/>
          <w:color w:val="auto"/>
        </w:rPr>
        <w:t>” and the number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Partnership Units constituting such class shall be 1,000. For the avoidance of doubt, the Series A PI Units shall not be treated as “Common Units” under the Agreement.</w:t>
      </w:r>
    </w:p>
    <w:p>
      <w:pPr>
        <w:spacing w:after="0" w:line="167" w:lineRule="exact"/>
        <w:rPr>
          <w:rFonts w:ascii="Times New Roman" w:cs="Times New Roman" w:eastAsia="Times New Roman" w:hAnsi="Times New Roman"/>
          <w:sz w:val="21"/>
          <w:szCs w:val="21"/>
          <w:color w:val="auto"/>
        </w:rPr>
      </w:pPr>
    </w:p>
    <w:p>
      <w:pPr>
        <w:jc w:val="both"/>
        <w:ind w:firstLine="642"/>
        <w:spacing w:after="0" w:line="231" w:lineRule="auto"/>
        <w:tabs>
          <w:tab w:leader="none" w:pos="127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Capitalized terms used and not otherwise defined herein shall have the respective meanings assigned thereto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as modified by this PUD and the defined terms used herein. For purposes of this PUD, the following terms shall have the respective meanings ascribed below:</w:t>
      </w:r>
    </w:p>
    <w:p>
      <w:pPr>
        <w:spacing w:after="0" w:line="159" w:lineRule="exact"/>
        <w:rPr>
          <w:sz w:val="20"/>
          <w:szCs w:val="20"/>
          <w:color w:val="auto"/>
        </w:rPr>
      </w:pPr>
    </w:p>
    <w:p>
      <w:pPr>
        <w:ind w:left="640" w:right="200" w:firstLine="636"/>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shall mean the Second Amended and Restated Agreement of Limited Partnership of the Partnership, dated as of April 1, 2024, as amended, supplemented or restated from time to time.</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Annual Distribution Amount</w:t>
      </w:r>
      <w:r>
        <w:rPr>
          <w:rFonts w:ascii="Times New Roman" w:cs="Times New Roman" w:eastAsia="Times New Roman" w:hAnsi="Times New Roman"/>
          <w:sz w:val="19"/>
          <w:szCs w:val="19"/>
          <w:color w:val="auto"/>
        </w:rPr>
        <w:t>” shall have the meaning set forth in the applicable Award Agreement.</w:t>
      </w:r>
    </w:p>
    <w:p>
      <w:pPr>
        <w:spacing w:after="0" w:line="232" w:lineRule="exact"/>
        <w:rPr>
          <w:sz w:val="20"/>
          <w:szCs w:val="20"/>
          <w:color w:val="auto"/>
        </w:rPr>
      </w:pPr>
    </w:p>
    <w:p>
      <w:pPr>
        <w:ind w:left="640" w:right="440" w:firstLine="636"/>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 Agreement</w:t>
      </w:r>
      <w:r>
        <w:rPr>
          <w:rFonts w:ascii="Times New Roman" w:cs="Times New Roman" w:eastAsia="Times New Roman" w:hAnsi="Times New Roman"/>
          <w:sz w:val="19"/>
          <w:szCs w:val="19"/>
          <w:color w:val="auto"/>
        </w:rPr>
        <w:t>” means a written agreement between a Holder and the Partnership evidencing the grant of one or more Series A PI Units.</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shall mean PWP Holdings LP, a Delaware limited partnership.</w:t>
      </w: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PUD</w:t>
      </w:r>
      <w:r>
        <w:rPr>
          <w:rFonts w:ascii="Times New Roman" w:cs="Times New Roman" w:eastAsia="Times New Roman" w:hAnsi="Times New Roman"/>
          <w:sz w:val="19"/>
          <w:szCs w:val="19"/>
          <w:color w:val="auto"/>
        </w:rPr>
        <w:t>” shall mean this Partnership Unit Designation of the Series A PI Units, as amended, supplemented or restated from time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to time.</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Reduced Distribution Amount</w:t>
      </w:r>
      <w:r>
        <w:rPr>
          <w:rFonts w:ascii="Times New Roman" w:cs="Times New Roman" w:eastAsia="Times New Roman" w:hAnsi="Times New Roman"/>
          <w:sz w:val="19"/>
          <w:szCs w:val="19"/>
          <w:color w:val="auto"/>
        </w:rPr>
        <w:t>” shall have the meaning set forth in the applicable Award Agreement.</w:t>
      </w:r>
    </w:p>
    <w:p>
      <w:pPr>
        <w:spacing w:after="0" w:line="232" w:lineRule="exact"/>
        <w:rPr>
          <w:sz w:val="20"/>
          <w:szCs w:val="20"/>
          <w:color w:val="auto"/>
        </w:rPr>
      </w:pPr>
    </w:p>
    <w:p>
      <w:pPr>
        <w:ind w:left="640" w:right="40" w:firstLine="636"/>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Series A PI Unit</w:t>
      </w:r>
      <w:r>
        <w:rPr>
          <w:rFonts w:ascii="Times New Roman" w:cs="Times New Roman" w:eastAsia="Times New Roman" w:hAnsi="Times New Roman"/>
          <w:sz w:val="19"/>
          <w:szCs w:val="19"/>
          <w:color w:val="auto"/>
        </w:rPr>
        <w:t>” shall mean a Series A PI Unit with the designations, preferences and relative, participating, optional or other special rights, powers and duties attributable to such Series A PI Unit, as set forth in this PUD and the applicable Award Agreement.</w:t>
      </w:r>
    </w:p>
    <w:p>
      <w:pPr>
        <w:spacing w:after="0" w:line="153" w:lineRule="exact"/>
        <w:rPr>
          <w:sz w:val="20"/>
          <w:szCs w:val="20"/>
          <w:color w:val="auto"/>
        </w:rPr>
      </w:pPr>
    </w:p>
    <w:p>
      <w:pPr>
        <w:ind w:left="1280" w:hanging="638"/>
        <w:spacing w:after="0"/>
        <w:tabs>
          <w:tab w:leader="none" w:pos="128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Distributions</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21"/>
          <w:szCs w:val="21"/>
          <w:color w:val="auto"/>
        </w:rPr>
      </w:pPr>
    </w:p>
    <w:p>
      <w:pPr>
        <w:jc w:val="both"/>
        <w:ind w:firstLine="1278"/>
        <w:spacing w:after="0" w:line="219" w:lineRule="auto"/>
        <w:tabs>
          <w:tab w:leader="none" w:pos="1905"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General Partner shall cause the Partnership to pay the applicable Annual Distribution Amount (or Reduced Distribution Amount) to each Holder of Series A PI Units, in each case, (i) upon the terms and subject to the conditions set forth in such Holder’s Award Agreement, (ii) in parity with distributions made in respect of other Series A PI Units, (iii) in preference or priority to distributions made in respect of any other Partnership Unit (other than any other Partnership Unit that ranks senior in priority to the Series A PI Units pursuant to its Partnership Unit Designation) and (iv) irrespective of whether such Series A PI Units were outstanding during the entire period in respect of which any distribution is made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without any proration thereof).</w:t>
      </w:r>
    </w:p>
    <w:p>
      <w:pPr>
        <w:spacing w:after="0" w:line="174" w:lineRule="exact"/>
        <w:rPr>
          <w:rFonts w:ascii="Times New Roman" w:cs="Times New Roman" w:eastAsia="Times New Roman" w:hAnsi="Times New Roman"/>
          <w:sz w:val="21"/>
          <w:szCs w:val="21"/>
          <w:color w:val="auto"/>
        </w:rPr>
      </w:pPr>
    </w:p>
    <w:p>
      <w:pPr>
        <w:jc w:val="both"/>
        <w:ind w:firstLine="1278"/>
        <w:spacing w:after="0" w:line="222" w:lineRule="auto"/>
        <w:tabs>
          <w:tab w:leader="none" w:pos="190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the foregoing, the Partnership may, but shall not be required to, make distributions to the Holders of Series A PI Units of an aggregate amount in cash sufficient to allow each such Holder to pay its Annual Income Tax Liability with respect to the calendar year, taking into account any Tax Distributions made with respect to the Holder’s Partnership Class A Common Units, if any. All distributions made to Partners pursuant to this </w:t>
      </w:r>
      <w:r>
        <w:rPr>
          <w:rFonts w:ascii="Times New Roman" w:cs="Times New Roman" w:eastAsia="Times New Roman" w:hAnsi="Times New Roman"/>
          <w:sz w:val="19"/>
          <w:szCs w:val="19"/>
          <w:u w:val="single" w:color="auto"/>
          <w:color w:val="auto"/>
        </w:rPr>
        <w:t>Section 3(b)</w:t>
      </w:r>
      <w:r>
        <w:rPr>
          <w:rFonts w:ascii="Times New Roman" w:cs="Times New Roman" w:eastAsia="Times New Roman" w:hAnsi="Times New Roman"/>
          <w:sz w:val="19"/>
          <w:szCs w:val="19"/>
          <w:color w:val="auto"/>
        </w:rPr>
        <w:t xml:space="preserve"> shall be treated as advance distributions and shall be taken into account in determining the amount subsequently distributed to Holders in accordance with each Holder’s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w:t>
      </w:r>
    </w:p>
    <w:p>
      <w:pPr>
        <w:sectPr>
          <w:pgSz w:w="11900" w:h="16838" w:orient="portrait"/>
          <w:cols w:equalWidth="0" w:num="1">
            <w:col w:w="11240"/>
          </w:cols>
          <w:pgMar w:left="320" w:top="1385" w:right="339" w:bottom="1440" w:gutter="0" w:footer="0" w:header="0"/>
        </w:sectPr>
      </w:pPr>
    </w:p>
    <w:bookmarkStart w:id="209" w:name="page210"/>
    <w:bookmarkEnd w:id="209"/>
    <w:p>
      <w:pPr>
        <w:jc w:val="both"/>
        <w:ind w:firstLine="642"/>
        <w:spacing w:after="0" w:line="219"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To the extent not otherwise addressed in the applicable Award Agreement, if a Holder of Series A PI Units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Terminated (as defined in the applicable Award Agreement) for any reason, the Series A PI Unit shall immediately and automatically be forfeited by the Holder and the Holder (and the Holder’s heirs, transferees, successors and assigns) shall thereafter have no right, title or interest whatsoever in such forfeited Series A PI Unit (other than the right to receive payment of the Holder’s Capital Account with respect to such Series A PI Unit, as described in the applicable Award Agreement) and such forfeited Series A PI Unit shall be returned to the Partnership. The Holder (and the Holder’s heirs, transferees, successors and assigns) shall receive no payment from the Partnership in connection with the forfeiture of any Series A PI Unit (other than the right to receive payment of the Holder’s Capital Account with respect to such Series A PI Unit, as described in the applicable Award Agreement).</w:t>
      </w:r>
    </w:p>
    <w:p>
      <w:pPr>
        <w:spacing w:after="0" w:line="172"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Status of Forfeited Units</w:t>
      </w:r>
      <w:r>
        <w:rPr>
          <w:rFonts w:ascii="Times New Roman" w:cs="Times New Roman" w:eastAsia="Times New Roman" w:hAnsi="Times New Roman"/>
          <w:sz w:val="19"/>
          <w:szCs w:val="19"/>
          <w:color w:val="auto"/>
        </w:rPr>
        <w:t>. All Series A PI Units that have been issued and subsequently forfeited shall immediately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automatically be deemed authorized but unissued and, for the avoidance of doubt, no longer outstanding.</w:t>
      </w:r>
    </w:p>
    <w:p>
      <w:pPr>
        <w:spacing w:after="0" w:line="155"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Series A PI Units Uncertificated</w:t>
      </w:r>
      <w:r>
        <w:rPr>
          <w:rFonts w:ascii="Times New Roman" w:cs="Times New Roman" w:eastAsia="Times New Roman" w:hAnsi="Times New Roman"/>
          <w:sz w:val="19"/>
          <w:szCs w:val="19"/>
          <w:color w:val="auto"/>
        </w:rPr>
        <w:t>. The ownership of the Series A PI Units shall not be evidenced by certificates of ownership.</w:t>
      </w:r>
    </w:p>
    <w:p>
      <w:pPr>
        <w:spacing w:after="0" w:line="182" w:lineRule="exact"/>
        <w:rPr>
          <w:rFonts w:ascii="Times New Roman" w:cs="Times New Roman" w:eastAsia="Times New Roman" w:hAnsi="Times New Roman"/>
          <w:sz w:val="21"/>
          <w:szCs w:val="21"/>
          <w:color w:val="auto"/>
        </w:rPr>
      </w:pPr>
    </w:p>
    <w:p>
      <w:pPr>
        <w:jc w:val="both"/>
        <w:ind w:firstLine="642"/>
        <w:spacing w:after="0" w:line="231"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Allocations of Net Income and Net Loss; Capital Accounts</w:t>
      </w:r>
      <w:r>
        <w:rPr>
          <w:rFonts w:ascii="Times New Roman" w:cs="Times New Roman" w:eastAsia="Times New Roman" w:hAnsi="Times New Roman"/>
          <w:sz w:val="19"/>
          <w:szCs w:val="19"/>
          <w:color w:val="auto"/>
        </w:rPr>
        <w:t>. Except as otherwise required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Holder of Series A PI Units shall be allocated Net Income in an aggregate amount equal to such Holder’s Annual Distribution Amount (or Reduced Distribution Amount) with respect to the relevant taxable year, if any.</w:t>
      </w:r>
    </w:p>
    <w:p>
      <w:pPr>
        <w:spacing w:after="0" w:line="168"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Voting Rights</w:t>
      </w:r>
      <w:r>
        <w:rPr>
          <w:rFonts w:ascii="Times New Roman" w:cs="Times New Roman" w:eastAsia="Times New Roman" w:hAnsi="Times New Roman"/>
          <w:sz w:val="19"/>
          <w:szCs w:val="19"/>
          <w:color w:val="auto"/>
        </w:rPr>
        <w:t>. A Holder of Series A PI Units shall have only the rights set forth in this PUD and such Holder’s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In no event shall a Holder, in their capacity as a Holder of a Series A PI Unit, be entitled to vote on, or consent to, any matter.</w:t>
      </w:r>
    </w:p>
    <w:p>
      <w:pPr>
        <w:spacing w:after="0" w:line="155"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Subject to the terms of the Agreement, the General Partner is authorized to amend this PUD at any time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consent or approval of any Partners or Holders of Series A PI Units.</w:t>
      </w:r>
    </w:p>
    <w:p>
      <w:pPr>
        <w:spacing w:after="0" w:line="168" w:lineRule="exact"/>
        <w:rPr>
          <w:rFonts w:ascii="Times New Roman" w:cs="Times New Roman" w:eastAsia="Times New Roman" w:hAnsi="Times New Roman"/>
          <w:sz w:val="21"/>
          <w:szCs w:val="21"/>
          <w:color w:val="auto"/>
        </w:rPr>
      </w:pPr>
    </w:p>
    <w:p>
      <w:pPr>
        <w:jc w:val="both"/>
        <w:ind w:firstLine="642"/>
        <w:spacing w:after="0" w:line="222"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Restrictions on Transfer</w:t>
      </w:r>
      <w:r>
        <w:rPr>
          <w:rFonts w:ascii="Times New Roman" w:cs="Times New Roman" w:eastAsia="Times New Roman" w:hAnsi="Times New Roman"/>
          <w:sz w:val="19"/>
          <w:szCs w:val="19"/>
          <w:color w:val="auto"/>
        </w:rPr>
        <w:t>. Except as may be determined by the General Partner, in its sole discretion, or as set forth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Award Agreement, the rights of a Holder with respect to Series A PI Units shall not be assignable or transferable by the Holder. Any attempt to dispose of any Series A PI Units in contravention of these restrictions shall be null and void and without effect. Without limiting the foregoing, any Series A PI Unit that is proposed to be transferred in accordance with the terms hereof shall not be effective unless such transfer is effected in accordance with any applicable securities laws and the proposed transferee agrees in writing that the provisions hereof shall continue to apply to the Series A PI Unit in the hands of the proposed transferee.</w:t>
      </w:r>
    </w:p>
    <w:p>
      <w:pPr>
        <w:spacing w:after="0" w:line="157" w:lineRule="exact"/>
        <w:rPr>
          <w:rFonts w:ascii="Times New Roman" w:cs="Times New Roman" w:eastAsia="Times New Roman" w:hAnsi="Times New Roman"/>
          <w:sz w:val="21"/>
          <w:szCs w:val="21"/>
          <w:color w:val="auto"/>
        </w:rPr>
      </w:pPr>
    </w:p>
    <w:p>
      <w:pPr>
        <w:jc w:val="both"/>
        <w:ind w:firstLine="642"/>
        <w:spacing w:after="0" w:line="222" w:lineRule="auto"/>
        <w:tabs>
          <w:tab w:leader="none" w:pos="126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Partnership Profits Interests</w:t>
      </w:r>
      <w:r>
        <w:rPr>
          <w:rFonts w:ascii="Times New Roman" w:cs="Times New Roman" w:eastAsia="Times New Roman" w:hAnsi="Times New Roman"/>
          <w:sz w:val="19"/>
          <w:szCs w:val="19"/>
          <w:color w:val="auto"/>
        </w:rPr>
        <w:t>. It is intended that the Series A PI Units satisfy the requirements for a partnership profits interest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transferred in connection with the performance of services, as set forth in IRS Revenue Procedures 93-27 and 2001-43, or any future IRS guidance or other authority that supplements or supersedes the foregoing IRS Revenue Procedures, and the provisions of this PUD shall be interpreted and applied consistently therewith. In accordance with the foregoing, in no event shall the Series A PI Units be entitled to distributions (including redemption proceeds) in excess of the aggregate amount of the Partnership’s net “section 704(b)” income and gain realized after the grant of the Series A PI Units.</w:t>
      </w:r>
    </w:p>
    <w:p>
      <w:pPr>
        <w:spacing w:after="0" w:line="157"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Headings of Subdivisions</w:t>
      </w:r>
      <w:r>
        <w:rPr>
          <w:rFonts w:ascii="Times New Roman" w:cs="Times New Roman" w:eastAsia="Times New Roman" w:hAnsi="Times New Roman"/>
          <w:sz w:val="19"/>
          <w:szCs w:val="19"/>
          <w:color w:val="auto"/>
        </w:rPr>
        <w:t>. The headings of the various subdivisions hereof are for convenience of reference only and shall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affect the interpretation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w:t>
      </w:r>
    </w:p>
    <w:p>
      <w:pPr>
        <w:sectPr>
          <w:pgSz w:w="11900" w:h="16838" w:orient="portrait"/>
          <w:cols w:equalWidth="0" w:num="1">
            <w:col w:w="11240"/>
          </w:cols>
          <w:pgMar w:left="320" w:top="1385" w:right="339" w:bottom="1440" w:gutter="0" w:footer="0" w:header="0"/>
        </w:sectPr>
      </w:pPr>
    </w:p>
    <w:bookmarkStart w:id="210" w:name="page211"/>
    <w:bookmarkEnd w:id="210"/>
    <w:p>
      <w:pPr>
        <w:jc w:val="both"/>
        <w:ind w:firstLine="642"/>
        <w:spacing w:after="0" w:line="223"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right or limitations of the Series A PI Units set forth in this PUD (as may be amended from time to time)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invalid, unlawful or incapable of being enforced by reason of any rule or law or public policy, all other rights, preferences and limitations set forth in this PUD, as amended,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169" w:lineRule="exact"/>
        <w:rPr>
          <w:rFonts w:ascii="Times New Roman" w:cs="Times New Roman" w:eastAsia="Times New Roman" w:hAnsi="Times New Roman"/>
          <w:sz w:val="21"/>
          <w:szCs w:val="21"/>
          <w:color w:val="auto"/>
        </w:rPr>
      </w:pPr>
    </w:p>
    <w:p>
      <w:pPr>
        <w:jc w:val="both"/>
        <w:ind w:firstLine="642"/>
        <w:spacing w:after="0" w:line="224"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Interpretation</w:t>
      </w:r>
      <w:r>
        <w:rPr>
          <w:rFonts w:ascii="Times New Roman" w:cs="Times New Roman" w:eastAsia="Times New Roman" w:hAnsi="Times New Roman"/>
          <w:sz w:val="19"/>
          <w:szCs w:val="19"/>
          <w:color w:val="auto"/>
        </w:rPr>
        <w:t>. The General Partner, acting reasonably and in good faith, shall have the exclusive power, authority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discretion to interpret the terms of, and any matter arising pursuant to, this PUD. The General Partner’s good faith interpretation of this PUD and all decisions and determinations by the General Partner with respect to this PUD, the Agreement and the applicable Award Agreement are final, binding and conclusive on all parties.</w:t>
      </w:r>
    </w:p>
    <w:p>
      <w:pPr>
        <w:spacing w:after="0" w:line="169"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This PUD shall be governed by and construed in accordance with the laws of the State of Delaware,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 to conflicts of laws principles.</w:t>
      </w:r>
    </w:p>
    <w:p>
      <w:pPr>
        <w:spacing w:after="0" w:line="155" w:lineRule="exact"/>
        <w:rPr>
          <w:rFonts w:ascii="Times New Roman" w:cs="Times New Roman" w:eastAsia="Times New Roman" w:hAnsi="Times New Roman"/>
          <w:sz w:val="21"/>
          <w:szCs w:val="21"/>
          <w:color w:val="auto"/>
        </w:rPr>
      </w:pPr>
    </w:p>
    <w:p>
      <w:pPr>
        <w:jc w:val="both"/>
        <w:ind w:firstLine="642"/>
        <w:spacing w:after="0" w:line="222"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Conflicts with Award Agreement</w:t>
      </w:r>
      <w:r>
        <w:rPr>
          <w:rFonts w:ascii="Times New Roman" w:cs="Times New Roman" w:eastAsia="Times New Roman" w:hAnsi="Times New Roman"/>
          <w:sz w:val="19"/>
          <w:szCs w:val="19"/>
          <w:color w:val="auto"/>
        </w:rPr>
        <w:t>. In the event of any inconsistency between this PUD and the applicable Award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the Award Agreement shall control. The General Partner is authorized to modify or amend this PUD as it determines to be necessary or desirable from time to time to conform the terms of this PUD to the applicable Award Agreement, as in effect on the date hereof and as it may be modified in the future. For the avoidance of doubt, all payments with respect to the Annual Distribution Amount (or Reduced Distribution Amount), if any, will be made by the Partnership solely pursuant to the applicable Award Agreement, and not pursuant to this PUD or otherwise with respect to the Series A PI Units, and the Series A PI Units shall represent no rights therein.</w:t>
      </w:r>
    </w:p>
    <w:p>
      <w:pPr>
        <w:spacing w:after="0" w:line="170" w:lineRule="exact"/>
        <w:rPr>
          <w:rFonts w:ascii="Times New Roman" w:cs="Times New Roman" w:eastAsia="Times New Roman" w:hAnsi="Times New Roman"/>
          <w:sz w:val="21"/>
          <w:szCs w:val="21"/>
          <w:color w:val="auto"/>
        </w:rPr>
      </w:pPr>
    </w:p>
    <w:p>
      <w:pPr>
        <w:ind w:firstLine="642"/>
        <w:spacing w:after="0" w:line="237" w:lineRule="auto"/>
        <w:tabs>
          <w:tab w:leader="none" w:pos="127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Conflicts with Agreement</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this PUD supplements the Agreement and, to the extent of any conflict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the Agreement and this PUD, the terms of this PUD shall control.</w:t>
      </w:r>
    </w:p>
    <w:p>
      <w:pPr>
        <w:spacing w:after="0" w:line="146" w:lineRule="exact"/>
        <w:rPr>
          <w:rFonts w:ascii="Times New Roman" w:cs="Times New Roman" w:eastAsia="Times New Roman" w:hAnsi="Times New Roman"/>
          <w:sz w:val="21"/>
          <w:szCs w:val="21"/>
          <w:color w:val="auto"/>
        </w:rPr>
      </w:pPr>
    </w:p>
    <w:p>
      <w:pPr>
        <w:ind w:left="51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w:t>
      </w:r>
    </w:p>
    <w:p>
      <w:pPr>
        <w:sectPr>
          <w:pgSz w:w="11900" w:h="16838" w:orient="portrait"/>
          <w:cols w:equalWidth="0" w:num="1">
            <w:col w:w="11240"/>
          </w:cols>
          <w:pgMar w:left="320" w:top="1385"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4 TO CREDIT AGREEMENT</w:t>
      </w:r>
    </w:p>
    <w:p>
      <w:pPr>
        <w:spacing w:after="0" w:line="23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9"/>
          <w:szCs w:val="19"/>
          <w:color w:val="auto"/>
        </w:rPr>
        <w:t>This AMENDMENT NO. 4 TO CREDIT AGREEMENT, dated as of January 24, 2025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by and among PERELLA WEINBERG PARTNERS GROUP LP, a Delaware limited partnership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PWP HOLDINGS LP, a Delaware limited partnership (“</w:t>
      </w:r>
      <w:r>
        <w:rPr>
          <w:rFonts w:ascii="Times New Roman" w:cs="Times New Roman" w:eastAsia="Times New Roman" w:hAnsi="Times New Roman"/>
          <w:sz w:val="19"/>
          <w:szCs w:val="19"/>
          <w:b w:val="1"/>
          <w:bCs w:val="1"/>
          <w:color w:val="auto"/>
        </w:rPr>
        <w:t>Holdings</w:t>
      </w:r>
      <w:r>
        <w:rPr>
          <w:rFonts w:ascii="Times New Roman" w:cs="Times New Roman" w:eastAsia="Times New Roman" w:hAnsi="Times New Roman"/>
          <w:sz w:val="19"/>
          <w:szCs w:val="19"/>
          <w:color w:val="auto"/>
        </w:rPr>
        <w:t>”), the Subsidiary Guarantors (as defined below) party hereto, each Lender under the Credit Agreement and CADENCE BANK, as administrative agent (the “</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236"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9"/>
          <w:szCs w:val="19"/>
          <w:color w:val="auto"/>
        </w:rPr>
        <w:t>WHEREAS, the Borrower is a party to that certain Amended and Restated Credit Agreement, dated as of December 11, 2018 (as amended, restated, amended and restated, supplemented or otherwise modified from time to time prior to the date hereof, the “</w:t>
      </w:r>
      <w:r>
        <w:rPr>
          <w:rFonts w:ascii="Times New Roman" w:cs="Times New Roman" w:eastAsia="Times New Roman" w:hAnsi="Times New Roman"/>
          <w:sz w:val="19"/>
          <w:szCs w:val="19"/>
          <w:b w:val="1"/>
          <w:bCs w:val="1"/>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and as further amended by this Amendment, the “</w:t>
      </w:r>
      <w:r>
        <w:rPr>
          <w:rFonts w:ascii="Times New Roman" w:cs="Times New Roman" w:eastAsia="Times New Roman" w:hAnsi="Times New Roman"/>
          <w:sz w:val="19"/>
          <w:szCs w:val="19"/>
          <w:b w:val="1"/>
          <w:bCs w:val="1"/>
          <w:color w:val="auto"/>
        </w:rPr>
        <w:t>Amended Credit Agreement</w:t>
      </w:r>
      <w:r>
        <w:rPr>
          <w:rFonts w:ascii="Times New Roman" w:cs="Times New Roman" w:eastAsia="Times New Roman" w:hAnsi="Times New Roman"/>
          <w:sz w:val="19"/>
          <w:szCs w:val="19"/>
          <w:color w:val="auto"/>
        </w:rPr>
        <w:t>”), among the Borrower, Holdings, certain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Domestic Subsidiaries of the Borrower party thereto as Guarantors (collectively, the “</w:t>
      </w:r>
      <w:r>
        <w:rPr>
          <w:rFonts w:ascii="Times New Roman" w:cs="Times New Roman" w:eastAsia="Times New Roman" w:hAnsi="Times New Roman"/>
          <w:sz w:val="19"/>
          <w:szCs w:val="19"/>
          <w:b w:val="1"/>
          <w:bCs w:val="1"/>
          <w:color w:val="auto"/>
        </w:rPr>
        <w:t>Subsidiary Guarantors</w:t>
      </w:r>
      <w:r>
        <w:rPr>
          <w:rFonts w:ascii="Times New Roman" w:cs="Times New Roman" w:eastAsia="Times New Roman" w:hAnsi="Times New Roman"/>
          <w:sz w:val="19"/>
          <w:szCs w:val="19"/>
          <w:color w:val="auto"/>
        </w:rPr>
        <w:t>”), each lender from time to time party thereto (collectively,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and the Administrative Agent;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the Borrower has requested that each Lender extend its Maturity Date from July 1, 2025 to July 1, 2028;</w:t>
      </w:r>
    </w:p>
    <w:p>
      <w:pPr>
        <w:spacing w:after="0" w:line="219"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WHEREAS, under Section 11.01 of the Credit Agreement, an extension of the Maturity Date requires the consent of each Lender, the Borrower and the other applicable Loan Parties, and shall be acknowledged by the Administrative Agent;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the parties hereto intend for this Amendment to be effective as of December 31, 2024;</w:t>
      </w:r>
    </w:p>
    <w:p>
      <w:pPr>
        <w:spacing w:after="0" w:line="232" w:lineRule="exact"/>
        <w:rPr>
          <w:sz w:val="20"/>
          <w:szCs w:val="20"/>
          <w:color w:val="auto"/>
        </w:rPr>
      </w:pPr>
    </w:p>
    <w:p>
      <w:pPr>
        <w:jc w:val="both"/>
        <w:ind w:firstLine="636"/>
        <w:spacing w:after="0" w:line="300" w:lineRule="auto"/>
        <w:rPr>
          <w:sz w:val="20"/>
          <w:szCs w:val="20"/>
          <w:color w:val="auto"/>
        </w:rPr>
      </w:pPr>
      <w:r>
        <w:rPr>
          <w:rFonts w:ascii="Times New Roman" w:cs="Times New Roman" w:eastAsia="Times New Roman" w:hAnsi="Times New Roman"/>
          <w:sz w:val="19"/>
          <w:szCs w:val="19"/>
          <w:color w:val="auto"/>
        </w:rPr>
        <w:t>NOW, THEREFORE, in consideration of the agreements contained herein, as well as other good and valuable consideration, the receipt and sufficiency of which are hereby acknowledged, the parties hereto agree as follows:</w:t>
      </w:r>
    </w:p>
    <w:p>
      <w:pPr>
        <w:spacing w:after="0" w:line="1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Article I</w:t>
      </w:r>
    </w:p>
    <w:p>
      <w:pPr>
        <w:spacing w:after="0" w:line="1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DEFINITIONS</w:t>
      </w:r>
    </w:p>
    <w:p>
      <w:pPr>
        <w:spacing w:after="0" w:line="19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 Capitalized terms used (including in the preamble and recitals hereto) but not defined herein shall have the meanings assigned to such terms in the Credit Agreement.</w:t>
      </w:r>
    </w:p>
    <w:p>
      <w:pPr>
        <w:spacing w:after="0" w:line="1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Article II</w:t>
      </w:r>
    </w:p>
    <w:p>
      <w:pPr>
        <w:spacing w:after="0" w:line="17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AMENDMENTS TO CREDIT AGREEMENT</w:t>
      </w:r>
    </w:p>
    <w:p>
      <w:pPr>
        <w:spacing w:after="0" w:line="17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9"/>
          <w:szCs w:val="19"/>
          <w:color w:val="auto"/>
        </w:rPr>
        <w:t>Section 2.1 In accordance with Section 11.01 of the Credit Agreement, on the Amendment Effective Date, the definition of “Maturity Date” in Section 1.01 of the Credit Agreement shall hereby be replaced in its entirety as follows:</w:t>
      </w:r>
    </w:p>
    <w:p>
      <w:pPr>
        <w:spacing w:after="0" w:line="155" w:lineRule="exact"/>
        <w:rPr>
          <w:sz w:val="20"/>
          <w:szCs w:val="20"/>
          <w:color w:val="auto"/>
        </w:rPr>
      </w:pPr>
    </w:p>
    <w:p>
      <w:pPr>
        <w:ind w:left="1280" w:right="20"/>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xml:space="preserve">” means July 1, 2028;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date is not a Business Day, the Maturity Date shall be the next preceding Business Day.</w:t>
      </w:r>
    </w:p>
    <w:p>
      <w:pPr>
        <w:sectPr>
          <w:pgSz w:w="11900" w:h="16838" w:orient="portrait"/>
          <w:cols w:equalWidth="0" w:num="1">
            <w:col w:w="11240"/>
          </w:cols>
          <w:pgMar w:left="320" w:top="119" w:right="339" w:bottom="1440" w:gutter="0" w:footer="0" w:header="0"/>
        </w:sectPr>
      </w:pPr>
    </w:p>
    <w:bookmarkStart w:id="212" w:name="page213"/>
    <w:bookmarkEnd w:id="212"/>
    <w:p>
      <w:pPr>
        <w:ind w:left="4980"/>
        <w:spacing w:after="0"/>
        <w:rPr>
          <w:sz w:val="20"/>
          <w:szCs w:val="20"/>
          <w:color w:val="auto"/>
        </w:rPr>
      </w:pPr>
      <w:r>
        <w:rPr>
          <w:rFonts w:ascii="Times New Roman" w:cs="Times New Roman" w:eastAsia="Times New Roman" w:hAnsi="Times New Roman"/>
          <w:sz w:val="19"/>
          <w:szCs w:val="19"/>
          <w:color w:val="auto"/>
        </w:rPr>
        <w:t>Article III</w:t>
      </w:r>
    </w:p>
    <w:p>
      <w:pPr>
        <w:spacing w:after="0" w:line="16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19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3.1</w:t>
      </w:r>
      <w:r>
        <w:rPr>
          <w:sz w:val="20"/>
          <w:szCs w:val="20"/>
          <w:color w:val="auto"/>
        </w:rPr>
        <w:tab/>
      </w:r>
      <w:r>
        <w:rPr>
          <w:rFonts w:ascii="Times New Roman" w:cs="Times New Roman" w:eastAsia="Times New Roman" w:hAnsi="Times New Roman"/>
          <w:sz w:val="19"/>
          <w:szCs w:val="19"/>
          <w:color w:val="auto"/>
        </w:rPr>
        <w:t>The Borrower represents and warrants to the Administrative Agent and the Lenders that (a) all representations and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warranties under the Credit Agreement will be true and correct in all material respects after giving effect to this Amendment (except in the case of any such representation and warranty which expressly relates to a given date or period, such representation and warranty shall be true and</w:t>
      </w:r>
    </w:p>
    <w:p>
      <w:pPr>
        <w:spacing w:after="0" w:line="218" w:lineRule="auto"/>
        <w:rPr>
          <w:sz w:val="20"/>
          <w:szCs w:val="20"/>
          <w:color w:val="auto"/>
        </w:rPr>
      </w:pPr>
      <w:r>
        <w:rPr>
          <w:rFonts w:ascii="Times New Roman" w:cs="Times New Roman" w:eastAsia="Times New Roman" w:hAnsi="Times New Roman"/>
          <w:sz w:val="19"/>
          <w:szCs w:val="19"/>
          <w:color w:val="auto"/>
        </w:rPr>
        <w:t>correct in all material respects as of the respective date or for the respective period, as the case may be) and no Default or Event of Default will</w:t>
      </w:r>
    </w:p>
    <w:p>
      <w:pPr>
        <w:spacing w:after="0" w:line="228" w:lineRule="auto"/>
        <w:rPr>
          <w:sz w:val="20"/>
          <w:szCs w:val="20"/>
          <w:color w:val="auto"/>
        </w:rPr>
      </w:pPr>
      <w:r>
        <w:rPr>
          <w:rFonts w:ascii="Times New Roman" w:cs="Times New Roman" w:eastAsia="Times New Roman" w:hAnsi="Times New Roman"/>
          <w:sz w:val="19"/>
          <w:szCs w:val="19"/>
          <w:color w:val="auto"/>
        </w:rPr>
        <w:t>have occurred and be continuing after giving effect thereto; and (b) the Borrower will be in compliance with all covenants under the Credit Agreement, including, without limitation, pro forma compliance with the Financial Covenants after giving effect to this Amendment.</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Article IV</w:t>
      </w:r>
    </w:p>
    <w:p>
      <w:pPr>
        <w:spacing w:after="0" w:line="1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CONDITIONS TO EFFECTIVENESS</w:t>
      </w:r>
    </w:p>
    <w:p>
      <w:pPr>
        <w:spacing w:after="0" w:line="19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4.1</w:t>
      </w:r>
      <w:r>
        <w:rPr>
          <w:sz w:val="20"/>
          <w:szCs w:val="20"/>
          <w:color w:val="auto"/>
        </w:rPr>
        <w:tab/>
      </w:r>
      <w:r>
        <w:rPr>
          <w:rFonts w:ascii="Times New Roman" w:cs="Times New Roman" w:eastAsia="Times New Roman" w:hAnsi="Times New Roman"/>
          <w:sz w:val="19"/>
          <w:szCs w:val="19"/>
          <w:color w:val="auto"/>
        </w:rPr>
        <w:t xml:space="preserve">The effectiveness of this Amendment (including the amendment contained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shall be deemed to have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occurred on December 31, 2024, subject to satisfaction of the following conditions precedent on the date hereof (the date of such effectiveness, the “</w:t>
      </w:r>
      <w:r>
        <w:rPr>
          <w:rFonts w:ascii="Times New Roman" w:cs="Times New Roman" w:eastAsia="Times New Roman" w:hAnsi="Times New Roman"/>
          <w:sz w:val="19"/>
          <w:szCs w:val="19"/>
          <w:b w:val="1"/>
          <w:bCs w:val="1"/>
          <w:color w:val="auto"/>
        </w:rPr>
        <w:t>Amendment Effective Date</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firstLine="642"/>
        <w:spacing w:after="0" w:line="256" w:lineRule="auto"/>
        <w:tabs>
          <w:tab w:leader="none" w:pos="1262"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due execution of (i) this Amendment by the Borrower, Holdings, the Subsidiary Guarantors and Cadence Bank in its capacity as Administrative Agent and Lender and (ii) the fee letter dated as of the date hereof, by the Borrower and Cadence Bank;</w:t>
      </w:r>
    </w:p>
    <w:p>
      <w:pPr>
        <w:spacing w:after="0" w:line="130" w:lineRule="exact"/>
        <w:rPr>
          <w:rFonts w:ascii="Times New Roman" w:cs="Times New Roman" w:eastAsia="Times New Roman" w:hAnsi="Times New Roman"/>
          <w:sz w:val="19"/>
          <w:szCs w:val="19"/>
          <w:color w:val="auto"/>
        </w:rPr>
      </w:pPr>
    </w:p>
    <w:p>
      <w:pPr>
        <w:jc w:val="both"/>
        <w:ind w:firstLine="642"/>
        <w:spacing w:after="0"/>
        <w:tabs>
          <w:tab w:leader="none" w:pos="126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representations and warranties under the Credit Agreement shall be true and correct in all material respects after giving effect to this Amendment (except in the case of any such representation and warranty which expressly relates to a given date or period, such representation and warranty shall be true and correct in all material respects as of the respective date or for the respective period, as the case may be); and</w:t>
      </w:r>
    </w:p>
    <w:p>
      <w:pPr>
        <w:spacing w:after="0" w:line="338"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after giving effect to this Amendment.</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Article V</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EFFECTS ON LOAN DOCUMENTS</w:t>
      </w:r>
    </w:p>
    <w:p>
      <w:pPr>
        <w:spacing w:after="0" w:line="179" w:lineRule="exact"/>
        <w:rPr>
          <w:sz w:val="20"/>
          <w:szCs w:val="20"/>
          <w:color w:val="auto"/>
        </w:rPr>
      </w:pPr>
    </w:p>
    <w:p>
      <w:pPr>
        <w:ind w:firstLine="636"/>
        <w:spacing w:after="0" w:line="230" w:lineRule="auto"/>
        <w:rPr>
          <w:sz w:val="20"/>
          <w:szCs w:val="20"/>
          <w:color w:val="auto"/>
        </w:rPr>
      </w:pPr>
      <w:r>
        <w:rPr>
          <w:rFonts w:ascii="Times New Roman" w:cs="Times New Roman" w:eastAsia="Times New Roman" w:hAnsi="Times New Roman"/>
          <w:sz w:val="19"/>
          <w:szCs w:val="19"/>
          <w:color w:val="auto"/>
        </w:rPr>
        <w:t>Section 5.1 On and after the Amendment Effective Date, each reference in the Amended Credit Agreement to “this Agreement”, “hereunder”, “hereof”, “herein” or words of like import referring to the Credit Agreement, and each reference in the other Loan Documents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“the Credit Agreement”, “thereunder”, “thereof” or words of like import referring to the Credit Agreement shall, in each case, mean and be a reference to the Amended Credit Agreement.</w:t>
      </w:r>
    </w:p>
    <w:p>
      <w:pPr>
        <w:spacing w:after="0" w:line="159"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9"/>
          <w:szCs w:val="19"/>
          <w:color w:val="auto"/>
        </w:rPr>
        <w:t>Section 5.2</w:t>
      </w:r>
      <w:r>
        <w:rPr>
          <w:sz w:val="20"/>
          <w:szCs w:val="20"/>
          <w:color w:val="auto"/>
        </w:rPr>
        <w:tab/>
      </w:r>
      <w:r>
        <w:rPr>
          <w:rFonts w:ascii="Times New Roman" w:cs="Times New Roman" w:eastAsia="Times New Roman" w:hAnsi="Times New Roman"/>
          <w:sz w:val="19"/>
          <w:szCs w:val="19"/>
          <w:color w:val="auto"/>
        </w:rPr>
        <w:t>Each Loan Party hereby (i) ratifies and reaffirms all of its payment and performance obligations, contingent or</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otherwise, under each of the Loan Documents to which it is a party and (ii) ratifies and reaffirms each grant of a lien on, or security interest in, its property made pursuant to the Loan Documents (including, without limitation, the grant of security made by such Loan Party pursuant to the</w:t>
      </w:r>
    </w:p>
    <w:p>
      <w:pPr>
        <w:spacing w:after="0" w:line="218" w:lineRule="auto"/>
        <w:rPr>
          <w:sz w:val="20"/>
          <w:szCs w:val="20"/>
          <w:color w:val="auto"/>
        </w:rPr>
      </w:pPr>
      <w:r>
        <w:rPr>
          <w:rFonts w:ascii="Times New Roman" w:cs="Times New Roman" w:eastAsia="Times New Roman" w:hAnsi="Times New Roman"/>
          <w:sz w:val="19"/>
          <w:szCs w:val="19"/>
          <w:color w:val="auto"/>
        </w:rPr>
        <w:t>Security Agreement) and confirms that such liens and security interests continue to secure the Obligations under the Loan Documents, subject</w:t>
      </w:r>
    </w:p>
    <w:p>
      <w:pPr>
        <w:spacing w:after="0" w:line="228" w:lineRule="auto"/>
        <w:rPr>
          <w:sz w:val="20"/>
          <w:szCs w:val="20"/>
          <w:color w:val="auto"/>
        </w:rPr>
      </w:pPr>
      <w:r>
        <w:rPr>
          <w:rFonts w:ascii="Times New Roman" w:cs="Times New Roman" w:eastAsia="Times New Roman" w:hAnsi="Times New Roman"/>
          <w:sz w:val="19"/>
          <w:szCs w:val="19"/>
          <w:color w:val="auto"/>
        </w:rPr>
        <w:t>to the terms thereof. This Amendment shall not constitute a novation of any Obligations existing prior to the Amendment Effective Date and shall merely amend or otherwise modify such Obligations to the extent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6" w:right="339" w:bottom="1440" w:gutter="0" w:footer="0" w:header="0"/>
        </w:sectPr>
      </w:pPr>
    </w:p>
    <w:bookmarkStart w:id="213" w:name="page214"/>
    <w:bookmarkEnd w:id="213"/>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5.3</w:t>
      </w:r>
      <w:r>
        <w:rPr>
          <w:sz w:val="20"/>
          <w:szCs w:val="20"/>
          <w:color w:val="auto"/>
        </w:rPr>
        <w:tab/>
      </w:r>
      <w:r>
        <w:rPr>
          <w:rFonts w:ascii="Times New Roman" w:cs="Times New Roman" w:eastAsia="Times New Roman" w:hAnsi="Times New Roman"/>
          <w:sz w:val="19"/>
          <w:szCs w:val="19"/>
          <w:color w:val="auto"/>
        </w:rPr>
        <w:t>The execution, delivery and effectiveness of this Amendment shall not, except as expressly provided herein, operate as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a waiver of any right, power or remedy of any Lender or the Administrative Agent under any of the Loan Documents, nor constitute a waiver of any provision of any of the Loan Documents. On and after the Amendment Effective Date, this Amendment shall constitute a Loan Document.</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Article VI</w:t>
      </w:r>
    </w:p>
    <w:p>
      <w:pPr>
        <w:spacing w:after="0" w:line="1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MISCELLANEOUS</w:t>
      </w:r>
    </w:p>
    <w:p>
      <w:pPr>
        <w:spacing w:after="0" w:line="192"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19"/>
          <w:szCs w:val="19"/>
          <w:color w:val="auto"/>
        </w:rPr>
        <w:t>Section 6.1</w:t>
      </w:r>
      <w:r>
        <w:rPr>
          <w:sz w:val="20"/>
          <w:szCs w:val="20"/>
          <w:color w:val="auto"/>
        </w:rPr>
        <w:tab/>
      </w:r>
      <w:r>
        <w:rPr>
          <w:rFonts w:ascii="Times New Roman" w:cs="Times New Roman" w:eastAsia="Times New Roman" w:hAnsi="Times New Roman"/>
          <w:sz w:val="19"/>
          <w:szCs w:val="19"/>
          <w:u w:val="single" w:color="auto"/>
          <w:color w:val="auto"/>
        </w:rPr>
        <w:t>Amendments; Execution in Counterparts; Severability</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firstLine="642"/>
        <w:spacing w:after="0" w:line="241" w:lineRule="auto"/>
        <w:tabs>
          <w:tab w:leader="none" w:pos="1262"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not be amended nor may any provision hereof be waived except pursuant to a writing signed by Holdings, the Borrower, each of the Subsidiary Guarantors, the Lenders party hereto and the Administrative Agent.</w:t>
      </w:r>
    </w:p>
    <w:p>
      <w:pPr>
        <w:spacing w:after="0" w:line="157" w:lineRule="exact"/>
        <w:rPr>
          <w:rFonts w:ascii="Times New Roman" w:cs="Times New Roman" w:eastAsia="Times New Roman" w:hAnsi="Times New Roman"/>
          <w:sz w:val="19"/>
          <w:szCs w:val="19"/>
          <w:color w:val="auto"/>
        </w:rPr>
      </w:pPr>
    </w:p>
    <w:p>
      <w:pPr>
        <w:jc w:val="both"/>
        <w:ind w:firstLine="642"/>
        <w:spacing w:after="0" w:line="233" w:lineRule="auto"/>
        <w:tabs>
          <w:tab w:leader="none" w:pos="126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provision of this Amendment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Amendment in any jurisdiction.</w:t>
      </w:r>
    </w:p>
    <w:p>
      <w:pPr>
        <w:spacing w:after="0" w:line="159"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9"/>
          <w:szCs w:val="19"/>
          <w:color w:val="auto"/>
        </w:rPr>
        <w:t>Section 6.2</w:t>
      </w:r>
      <w:r>
        <w:rPr>
          <w:sz w:val="20"/>
          <w:szCs w:val="20"/>
          <w:color w:val="auto"/>
        </w:rPr>
        <w:tab/>
      </w:r>
      <w:r>
        <w:rPr>
          <w:rFonts w:ascii="Times New Roman" w:cs="Times New Roman" w:eastAsia="Times New Roman" w:hAnsi="Times New Roman"/>
          <w:sz w:val="19"/>
          <w:szCs w:val="19"/>
          <w:u w:val="single" w:color="auto"/>
          <w:color w:val="auto"/>
        </w:rPr>
        <w:t>Governing Law; Jurisdiction; Waiver of Jury Trial</w:t>
      </w:r>
      <w:r>
        <w:rPr>
          <w:rFonts w:ascii="Times New Roman" w:cs="Times New Roman" w:eastAsia="Times New Roman" w:hAnsi="Times New Roman"/>
          <w:sz w:val="19"/>
          <w:szCs w:val="19"/>
          <w:color w:val="auto"/>
        </w:rPr>
        <w:t>. This Amendment shall be construed in accordance with and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 xml:space="preserve">governed by the law of the State of New York. The provisions of Sections 11.14 and 11.15 of the Credit Agreement are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9"/>
          <w:szCs w:val="19"/>
          <w:color w:val="auto"/>
        </w:rPr>
        <w:t xml:space="preserve">Section 6.3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in this Amendment are included herein for convenience of reference only, are not part of this Amendment and are not to affect the construction of, or to be taken into consideration in interpreting, this Amendment.</w:t>
      </w:r>
    </w:p>
    <w:p>
      <w:pPr>
        <w:spacing w:after="0" w:line="130"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6.4</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by one or more of the parties hereto on any number of separate</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counterparts, and all of said counterparts taken together shall be deemed to constitute one and the same instrument. Delivery of an executed counterpart to this Amendment by facsimile transmission (or other electronic transmission pursuant to procedures approved by the</w:t>
      </w:r>
    </w:p>
    <w:p>
      <w:pPr>
        <w:spacing w:after="0" w:line="218" w:lineRule="auto"/>
        <w:rPr>
          <w:sz w:val="20"/>
          <w:szCs w:val="20"/>
          <w:color w:val="auto"/>
        </w:rPr>
      </w:pPr>
      <w:r>
        <w:rPr>
          <w:rFonts w:ascii="Times New Roman" w:cs="Times New Roman" w:eastAsia="Times New Roman" w:hAnsi="Times New Roman"/>
          <w:sz w:val="19"/>
          <w:szCs w:val="19"/>
          <w:color w:val="auto"/>
        </w:rPr>
        <w:t>Administrative Agent) shall be as effective as delivery of a manually signed original. The words “delivery,” “execute,” “execution,” “signed,”</w:t>
      </w:r>
    </w:p>
    <w:p>
      <w:pPr>
        <w:spacing w:after="0" w:line="211" w:lineRule="auto"/>
        <w:rPr>
          <w:sz w:val="20"/>
          <w:szCs w:val="20"/>
          <w:color w:val="auto"/>
        </w:rPr>
      </w:pPr>
      <w:r>
        <w:rPr>
          <w:rFonts w:ascii="Times New Roman" w:cs="Times New Roman" w:eastAsia="Times New Roman" w:hAnsi="Times New Roman"/>
          <w:sz w:val="19"/>
          <w:szCs w:val="19"/>
          <w:color w:val="auto"/>
        </w:rPr>
        <w:t>“signature,” and words of like import in this Amendment or any other document executed in connection herewith shall be deemed to include electronic signatures, the electronic matching of assignment terms and contract formations on electronic platforms approved by the</w:t>
      </w:r>
    </w:p>
    <w:p>
      <w:pPr>
        <w:spacing w:after="0" w:line="218" w:lineRule="auto"/>
        <w:rPr>
          <w:sz w:val="20"/>
          <w:szCs w:val="20"/>
          <w:color w:val="auto"/>
        </w:rPr>
      </w:pPr>
      <w:r>
        <w:rPr>
          <w:rFonts w:ascii="Times New Roman" w:cs="Times New Roman" w:eastAsia="Times New Roman" w:hAnsi="Times New Roman"/>
          <w:sz w:val="19"/>
          <w:szCs w:val="19"/>
          <w:color w:val="auto"/>
        </w:rPr>
        <w:t>Administrative Agent, or the keeping of records in electronic form, each of which shall be of the same legal effect, validity or enforceability as a</w:t>
      </w:r>
    </w:p>
    <w:p>
      <w:pPr>
        <w:spacing w:after="0" w:line="211" w:lineRule="auto"/>
        <w:rPr>
          <w:sz w:val="20"/>
          <w:szCs w:val="20"/>
          <w:color w:val="auto"/>
        </w:rPr>
      </w:pPr>
      <w:r>
        <w:rPr>
          <w:rFonts w:ascii="Times New Roman" w:cs="Times New Roman" w:eastAsia="Times New Roman" w:hAnsi="Times New Roman"/>
          <w:sz w:val="19"/>
          <w:szCs w:val="19"/>
          <w:color w:val="auto"/>
        </w:rPr>
        <w:t>manually executed signature, physical delivery thereof or the use of a paper-based recordkeeping system, as the case may be, to the extent and as provided for in any applicable Law, including the Federal Electronic Signatures in Global and National Commerce Act, the New York State</w:t>
      </w:r>
    </w:p>
    <w:p>
      <w:pPr>
        <w:spacing w:after="0"/>
        <w:rPr>
          <w:sz w:val="20"/>
          <w:szCs w:val="20"/>
          <w:color w:val="auto"/>
        </w:rPr>
      </w:pPr>
      <w:r>
        <w:rPr>
          <w:rFonts w:ascii="Times New Roman" w:cs="Times New Roman" w:eastAsia="Times New Roman" w:hAnsi="Times New Roman"/>
          <w:sz w:val="19"/>
          <w:szCs w:val="19"/>
          <w:color w:val="auto"/>
        </w:rPr>
        <w:t>Electronic Signatures and Records Act, or any other similar state laws based on the Uniform Electronic Transactions Act.</w:t>
      </w:r>
    </w:p>
    <w:p>
      <w:pPr>
        <w:spacing w:after="0" w:line="18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75" w:right="33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15" w:name="page216"/>
    <w:bookmarkEnd w:id="215"/>
    <w:p>
      <w:pPr>
        <w:ind w:firstLine="636"/>
        <w:spacing w:after="0" w:line="300" w:lineRule="auto"/>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and delivered by their respective duly authorized officers as of the day and year first above written.</w:t>
      </w:r>
    </w:p>
    <w:p>
      <w:pPr>
        <w:spacing w:after="0" w:line="200" w:lineRule="exact"/>
        <w:rPr>
          <w:sz w:val="20"/>
          <w:szCs w:val="20"/>
          <w:color w:val="auto"/>
        </w:rPr>
      </w:pPr>
    </w:p>
    <w:p>
      <w:pPr>
        <w:spacing w:after="0" w:line="24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PERELLA WEINBERG PARTNERS GROUP LP,</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322" w:lineRule="exact"/>
        <w:rPr>
          <w:sz w:val="20"/>
          <w:szCs w:val="20"/>
          <w:color w:val="auto"/>
        </w:rPr>
      </w:pPr>
    </w:p>
    <w:p>
      <w:pPr>
        <w:ind w:left="3820"/>
        <w:spacing w:after="0"/>
        <w:tabs>
          <w:tab w:leader="none" w:pos="428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-5715</wp:posOffset>
            </wp:positionV>
            <wp:extent cx="13493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15" w:lineRule="exact"/>
        <w:rPr>
          <w:sz w:val="20"/>
          <w:szCs w:val="20"/>
          <w:color w:val="auto"/>
        </w:rPr>
      </w:pPr>
    </w:p>
    <w:p>
      <w:pPr>
        <w:ind w:left="4460"/>
        <w:spacing w:after="0"/>
        <w:tabs>
          <w:tab w:leader="none" w:pos="514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20" w:lineRule="exact"/>
        <w:rPr>
          <w:sz w:val="20"/>
          <w:szCs w:val="20"/>
          <w:color w:val="auto"/>
        </w:rPr>
      </w:pPr>
    </w:p>
    <w:p>
      <w:pPr>
        <w:ind w:left="4460"/>
        <w:spacing w:after="0"/>
        <w:tabs>
          <w:tab w:leader="none" w:pos="5040" w:val="left"/>
        </w:tabs>
        <w:rPr>
          <w:sz w:val="20"/>
          <w:szCs w:val="20"/>
          <w:color w:val="auto"/>
        </w:rPr>
      </w:pPr>
      <w:r>
        <w:rPr>
          <w:rFonts w:ascii="Times New Roman" w:cs="Times New Roman" w:eastAsia="Times New Roman" w:hAnsi="Times New Roman"/>
          <w:sz w:val="19"/>
          <w:szCs w:val="19"/>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11240"/>
          </w:cols>
          <w:pgMar w:left="320" w:top="1389" w:right="339" w:bottom="1440" w:gutter="0" w:footer="0" w:header="0"/>
        </w:sectPr>
      </w:pPr>
    </w:p>
    <w:bookmarkStart w:id="216" w:name="page217"/>
    <w:bookmarkEnd w:id="216"/>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PWP HOLDINGS LP,</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Holdings</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PERELLA WEINBERG PARTNERS LLC, its general partner</w:t>
      </w:r>
    </w:p>
    <w:p>
      <w:pPr>
        <w:spacing w:after="0" w:line="200" w:lineRule="exact"/>
        <w:rPr>
          <w:sz w:val="20"/>
          <w:szCs w:val="20"/>
          <w:color w:val="auto"/>
        </w:rPr>
      </w:pPr>
    </w:p>
    <w:p>
      <w:pPr>
        <w:spacing w:after="0" w:line="350"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349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9"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jc w:val="center"/>
        <w:ind w:right="299"/>
        <w:spacing w:after="0"/>
        <w:tabs>
          <w:tab w:leader="none" w:pos="16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PWP CAPITAL HOLDINGS LP,</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Guarantor</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PERELLA WEINBERG PARTNERS LLC, its general partner</w:t>
      </w:r>
    </w:p>
    <w:p>
      <w:pPr>
        <w:spacing w:after="0" w:line="200" w:lineRule="exact"/>
        <w:rPr>
          <w:sz w:val="20"/>
          <w:szCs w:val="20"/>
          <w:color w:val="auto"/>
        </w:rPr>
      </w:pPr>
    </w:p>
    <w:p>
      <w:pPr>
        <w:spacing w:after="0" w:line="350"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3493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9"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jc w:val="center"/>
        <w:ind w:right="299"/>
        <w:spacing w:after="0"/>
        <w:tabs>
          <w:tab w:leader="none" w:pos="16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18" w:name="page219"/>
    <w:bookmarkEnd w:id="218"/>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PWP EMPLOYER LLC,</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Guarantor</w:t>
      </w:r>
    </w:p>
    <w:p>
      <w:pPr>
        <w:spacing w:after="0" w:line="200" w:lineRule="exact"/>
        <w:rPr>
          <w:sz w:val="20"/>
          <w:szCs w:val="20"/>
          <w:color w:val="auto"/>
        </w:rPr>
      </w:pPr>
    </w:p>
    <w:p>
      <w:pPr>
        <w:spacing w:after="0" w:line="322"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3493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4" w:lineRule="exact"/>
        <w:rPr>
          <w:sz w:val="20"/>
          <w:szCs w:val="20"/>
          <w:color w:val="auto"/>
        </w:rPr>
      </w:pPr>
    </w:p>
    <w:p>
      <w:pPr>
        <w:ind w:left="3340"/>
        <w:spacing w:after="0"/>
        <w:tabs>
          <w:tab w:leader="none" w:pos="392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19" w:name="page220"/>
    <w:bookmarkEnd w:id="219"/>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PWP EMPLOYER LP,</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Guarantor</w:t>
      </w:r>
    </w:p>
    <w:p>
      <w:pPr>
        <w:spacing w:after="0" w:line="200" w:lineRule="exact"/>
        <w:rPr>
          <w:sz w:val="20"/>
          <w:szCs w:val="20"/>
          <w:color w:val="auto"/>
        </w:rPr>
      </w:pPr>
    </w:p>
    <w:p>
      <w:pPr>
        <w:spacing w:after="0" w:line="3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By: PWP EMPLOYER LLC, its general partner</w:t>
      </w:r>
    </w:p>
    <w:p>
      <w:pPr>
        <w:spacing w:after="0" w:line="200" w:lineRule="exact"/>
        <w:rPr>
          <w:sz w:val="20"/>
          <w:szCs w:val="20"/>
          <w:color w:val="auto"/>
        </w:rPr>
      </w:pPr>
    </w:p>
    <w:p>
      <w:pPr>
        <w:spacing w:after="0" w:line="350"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3493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9"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3" w:lineRule="exact"/>
        <w:rPr>
          <w:sz w:val="20"/>
          <w:szCs w:val="20"/>
          <w:color w:val="auto"/>
        </w:rPr>
      </w:pPr>
    </w:p>
    <w:p>
      <w:pPr>
        <w:ind w:left="3340"/>
        <w:spacing w:after="0"/>
        <w:tabs>
          <w:tab w:leader="none" w:pos="392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20" w:name="page221"/>
    <w:bookmarkEnd w:id="220"/>
    <w:p>
      <w:pPr>
        <w:spacing w:after="0" w:line="200" w:lineRule="exact"/>
        <w:rPr>
          <w:sz w:val="20"/>
          <w:szCs w:val="20"/>
          <w:color w:val="auto"/>
        </w:rPr>
      </w:pPr>
    </w:p>
    <w:p>
      <w:pPr>
        <w:spacing w:after="0" w:line="279" w:lineRule="exact"/>
        <w:rPr>
          <w:sz w:val="20"/>
          <w:szCs w:val="20"/>
          <w:color w:val="auto"/>
        </w:rPr>
      </w:pPr>
    </w:p>
    <w:p>
      <w:pPr>
        <w:ind w:left="2700" w:right="299"/>
        <w:spacing w:after="0" w:line="273" w:lineRule="auto"/>
        <w:rPr>
          <w:sz w:val="20"/>
          <w:szCs w:val="20"/>
          <w:color w:val="auto"/>
        </w:rPr>
      </w:pPr>
      <w:r>
        <w:rPr>
          <w:rFonts w:ascii="Times New Roman" w:cs="Times New Roman" w:eastAsia="Times New Roman" w:hAnsi="Times New Roman"/>
          <w:sz w:val="19"/>
          <w:szCs w:val="19"/>
          <w:color w:val="auto"/>
        </w:rPr>
        <w:t>TUDOR PICKERING HOLT &amp; CO SECURITIES – CANADA LP (formerly known as Tudor, Pickering, Holt &amp; Co. Securities – Canada, LLC), as Guarantor</w:t>
      </w:r>
    </w:p>
    <w:p>
      <w:pPr>
        <w:spacing w:after="0" w:line="200" w:lineRule="exact"/>
        <w:rPr>
          <w:sz w:val="20"/>
          <w:szCs w:val="20"/>
          <w:color w:val="auto"/>
        </w:rPr>
      </w:pPr>
    </w:p>
    <w:p>
      <w:pPr>
        <w:spacing w:after="0" w:line="2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TPH CANADA GP LLC, its general partner</w:t>
      </w: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By: PERELLA WEINBERG PARTNERS GROUP LP, its managing member</w:t>
      </w:r>
    </w:p>
    <w:p>
      <w:pPr>
        <w:spacing w:after="0" w:line="200" w:lineRule="exact"/>
        <w:rPr>
          <w:sz w:val="20"/>
          <w:szCs w:val="20"/>
          <w:color w:val="auto"/>
        </w:rPr>
      </w:pPr>
    </w:p>
    <w:p>
      <w:pPr>
        <w:spacing w:after="0" w:line="350"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3493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Alexandra Gottschalk</w:t>
      </w:r>
    </w:p>
    <w:p>
      <w:pPr>
        <w:spacing w:after="0" w:line="14" w:lineRule="exact"/>
        <w:rPr>
          <w:sz w:val="20"/>
          <w:szCs w:val="20"/>
          <w:color w:val="auto"/>
        </w:rPr>
      </w:pPr>
    </w:p>
    <w:p>
      <w:pPr>
        <w:jc w:val="center"/>
        <w:ind w:right="299"/>
        <w:spacing w:after="0"/>
        <w:tabs>
          <w:tab w:leader="none" w:pos="160" w:val="left"/>
        </w:tabs>
        <w:rPr>
          <w:sz w:val="20"/>
          <w:szCs w:val="20"/>
          <w:color w:val="auto"/>
        </w:rPr>
      </w:pPr>
      <w:r>
        <w:rPr>
          <w:rFonts w:ascii="Times New Roman" w:cs="Times New Roman" w:eastAsia="Times New Roman" w:hAnsi="Times New Roman"/>
          <w:sz w:val="19"/>
          <w:szCs w:val="19"/>
          <w:color w:val="auto"/>
        </w:rPr>
        <w:t>Title:</w:t>
        <w:tab/>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21" w:name="page222"/>
    <w:bookmarkEnd w:id="221"/>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CADENCE BANK,</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as Administrative Agent and Lender</w:t>
      </w:r>
    </w:p>
    <w:p>
      <w:pPr>
        <w:spacing w:after="0" w:line="200" w:lineRule="exact"/>
        <w:rPr>
          <w:sz w:val="20"/>
          <w:szCs w:val="20"/>
          <w:color w:val="auto"/>
        </w:rPr>
      </w:pPr>
    </w:p>
    <w:p>
      <w:pPr>
        <w:spacing w:after="0" w:line="322" w:lineRule="exact"/>
        <w:rPr>
          <w:sz w:val="20"/>
          <w:szCs w:val="20"/>
          <w:color w:val="auto"/>
        </w:rPr>
      </w:pPr>
    </w:p>
    <w:p>
      <w:pPr>
        <w:ind w:left="2700"/>
        <w:spacing w:after="0"/>
        <w:tabs>
          <w:tab w:leader="none" w:pos="3160" w:val="left"/>
        </w:tabs>
        <w:rPr>
          <w:sz w:val="20"/>
          <w:szCs w:val="20"/>
          <w:color w:val="auto"/>
        </w:rPr>
      </w:pPr>
      <w:r>
        <w:rPr>
          <w:rFonts w:ascii="Times New Roman" w:cs="Times New Roman" w:eastAsia="Times New Roman" w:hAnsi="Times New Roman"/>
          <w:sz w:val="19"/>
          <w:szCs w:val="19"/>
          <w:color w:val="auto"/>
        </w:rPr>
        <w:t>By:</w:t>
        <w:tab/>
        <w:t>/s/ Ross L.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-5715</wp:posOffset>
            </wp:positionV>
            <wp:extent cx="1109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020" w:val="left"/>
        </w:tabs>
        <w:rPr>
          <w:sz w:val="20"/>
          <w:szCs w:val="20"/>
          <w:color w:val="auto"/>
        </w:rPr>
      </w:pPr>
      <w:r>
        <w:rPr>
          <w:rFonts w:ascii="Times New Roman" w:cs="Times New Roman" w:eastAsia="Times New Roman" w:hAnsi="Times New Roman"/>
          <w:sz w:val="19"/>
          <w:szCs w:val="19"/>
          <w:color w:val="auto"/>
        </w:rPr>
        <w:t>Name:</w:t>
        <w:tab/>
        <w:t>Ross L. Vaughan</w:t>
      </w:r>
    </w:p>
    <w:p>
      <w:pPr>
        <w:spacing w:after="0" w:line="14" w:lineRule="exact"/>
        <w:rPr>
          <w:sz w:val="20"/>
          <w:szCs w:val="20"/>
          <w:color w:val="auto"/>
        </w:rPr>
      </w:pPr>
    </w:p>
    <w:p>
      <w:pPr>
        <w:jc w:val="center"/>
        <w:ind w:right="-220"/>
        <w:spacing w:after="0"/>
        <w:tabs>
          <w:tab w:leader="none" w:pos="160" w:val="left"/>
        </w:tabs>
        <w:rPr>
          <w:sz w:val="20"/>
          <w:szCs w:val="20"/>
          <w:color w:val="auto"/>
        </w:rPr>
      </w:pPr>
      <w:r>
        <w:rPr>
          <w:rFonts w:ascii="Times New Roman" w:cs="Times New Roman" w:eastAsia="Times New Roman" w:hAnsi="Times New Roman"/>
          <w:sz w:val="19"/>
          <w:szCs w:val="19"/>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w:t>
      </w:r>
    </w:p>
    <w:p>
      <w:pPr>
        <w:sectPr>
          <w:pgSz w:w="11900" w:h="16838" w:orient="portrait"/>
          <w:cols w:equalWidth="0" w:num="1">
            <w:col w:w="9019"/>
          </w:cols>
          <w:pgMar w:left="1440" w:top="1440"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Perella Weinberg Partners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Adopted June 24, 2021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Updated February 27, 2025</w:t>
      </w:r>
    </w:p>
    <w:p>
      <w:pPr>
        <w:spacing w:after="0" w:line="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21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In the course of conducting the business of Perella Weinberg Partners (together with its subsidiaries, the “</w:t>
      </w:r>
      <w:r>
        <w:rPr>
          <w:rFonts w:ascii="Times New Roman" w:cs="Times New Roman" w:eastAsia="Times New Roman" w:hAnsi="Times New Roman"/>
          <w:sz w:val="21"/>
          <w:szCs w:val="21"/>
          <w:b w:val="1"/>
          <w:bCs w:val="1"/>
          <w:i w:val="1"/>
          <w:iCs w:val="1"/>
          <w:color w:val="auto"/>
        </w:rPr>
        <w:t>Firm</w:t>
      </w:r>
      <w:r>
        <w:rPr>
          <w:rFonts w:ascii="Times New Roman" w:cs="Times New Roman" w:eastAsia="Times New Roman" w:hAnsi="Times New Roman"/>
          <w:sz w:val="21"/>
          <w:szCs w:val="21"/>
          <w:color w:val="auto"/>
        </w:rPr>
        <w:t>”), you may come into possession of material information about the Firm or other entities that is not available to the investing public (referenced herein as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as explained in greater detail below). You have a legal and ethical obligation to maintain the confidentiality of material nonpublic information. In addition, it is illegal and a violation of Firm policy to purchase or sell securities of the Firm while you are in possession of material nonpublic information about the Firm. The Firm’s Board of Directors has adopted this Policy in order to ensure compliance with the law and to avoid even the appearance of improper conduct by anyone associated with the Firm.</w:t>
      </w:r>
    </w:p>
    <w:p>
      <w:pPr>
        <w:spacing w:after="0" w:line="144" w:lineRule="exact"/>
        <w:rPr>
          <w:sz w:val="20"/>
          <w:szCs w:val="20"/>
          <w:color w:val="auto"/>
        </w:rPr>
      </w:pPr>
    </w:p>
    <w:p>
      <w:pPr>
        <w:ind w:left="640" w:hanging="634"/>
        <w:spacing w:after="0"/>
        <w:tabs>
          <w:tab w:leader="none" w:pos="640"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PERSONS SUBJECT TO THIS POLICY</w:t>
      </w:r>
    </w:p>
    <w:p>
      <w:pPr>
        <w:spacing w:after="0" w:line="21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The procedures and restrictions set forth in this Policy apply to all Firm officers, directors, employees and consultants who agree to be bound by the Firm’s policies and procedures, wherever located. The Firm may also determine that other persons should be subject to this Policy, such as contractors or consultants, who have access to material nonpublic information. This Policy also applies to family members, such as spouses, minor children, adult family members who share the same household, and any other person or entity whose securities trading decisions are influenced or controlled by the officer, director or employee (collectively, “</w:t>
      </w:r>
      <w:r>
        <w:rPr>
          <w:rFonts w:ascii="Times New Roman" w:cs="Times New Roman" w:eastAsia="Times New Roman" w:hAnsi="Times New Roman"/>
          <w:sz w:val="21"/>
          <w:szCs w:val="21"/>
          <w:b w:val="1"/>
          <w:bCs w:val="1"/>
          <w:i w:val="1"/>
          <w:iCs w:val="1"/>
          <w:color w:val="auto"/>
        </w:rPr>
        <w:t>Related Insiders</w:t>
      </w:r>
      <w:r>
        <w:rPr>
          <w:rFonts w:ascii="Times New Roman" w:cs="Times New Roman" w:eastAsia="Times New Roman" w:hAnsi="Times New Roman"/>
          <w:sz w:val="21"/>
          <w:szCs w:val="21"/>
          <w:color w:val="auto"/>
        </w:rPr>
        <w:t>”). For additional information regarding post-termination transactions, see section XI of this Policy.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It is also Firm policy to comply with applicable securities laws concerning trading in Firm securities on the Firm’s behalf.</w:t>
      </w:r>
    </w:p>
    <w:p>
      <w:pPr>
        <w:spacing w:after="0" w:line="192" w:lineRule="exact"/>
        <w:rPr>
          <w:sz w:val="20"/>
          <w:szCs w:val="20"/>
          <w:color w:val="auto"/>
        </w:rPr>
      </w:pPr>
    </w:p>
    <w:p>
      <w:pPr>
        <w:ind w:left="640" w:hanging="634"/>
        <w:spacing w:after="0"/>
        <w:tabs>
          <w:tab w:leader="none" w:pos="640" w:val="left"/>
        </w:tabs>
        <w:numPr>
          <w:ilvl w:val="0"/>
          <w:numId w:val="1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TRANSACTIONS SUBJECT TO THIS POLICY</w:t>
      </w:r>
    </w:p>
    <w:p>
      <w:pPr>
        <w:spacing w:after="0" w:line="21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This Policy applies to transactions in common stock, preferred stock, bonds and other debt securities, options to purchase common stock, convertible debentures and warrants, as well as derivative securities whether or not issued by the Firm, such as exchange-traded put or call options or swaps, in all cases, relating to the Firm’s securities. See the section VI, “Special Transactions” and section VIII, “Prohibited Transactions” for further discussion of certain types of securities and transactions. Depositing the Firm’s securities in a Managed Account (as described under the Firm’s Personal Trading Accounts Policy) is a transaction that is subject to this Policy (including the Addendum, where applicable). Personal trading in stocks, debt securities and other instruments that are not the Firm’s securities are covered by the Firm’s Personal Trading Accounts Policy.</w:t>
      </w:r>
    </w:p>
    <w:p>
      <w:pPr>
        <w:sectPr>
          <w:pgSz w:w="11900" w:h="16838" w:orient="portrait"/>
          <w:cols w:equalWidth="0" w:num="1">
            <w:col w:w="11240"/>
          </w:cols>
          <w:pgMar w:left="320" w:top="106" w:right="339" w:bottom="1440" w:gutter="0" w:footer="0" w:header="0"/>
        </w:sectPr>
      </w:pPr>
    </w:p>
    <w:bookmarkStart w:id="223" w:name="page224"/>
    <w:bookmarkEnd w:id="223"/>
    <w:p>
      <w:pPr>
        <w:spacing w:after="0" w:line="170"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 xml:space="preserve">To avoid even the appearance of impropriety, additional restrictions on trading Firm securities apply to directors, officers and certain designated employees who have regular access to material nonpublic information about the Firm. These policies are set forth in the Firm’s </w:t>
      </w:r>
      <w:r>
        <w:rPr>
          <w:rFonts w:ascii="Times New Roman" w:cs="Times New Roman" w:eastAsia="Times New Roman" w:hAnsi="Times New Roman"/>
          <w:sz w:val="21"/>
          <w:szCs w:val="21"/>
          <w:b w:val="1"/>
          <w:bCs w:val="1"/>
          <w:u w:val="single" w:color="auto"/>
          <w:color w:val="auto"/>
        </w:rPr>
        <w:t>Addendum to the Insider Trading Policy</w:t>
      </w:r>
      <w:r>
        <w:rPr>
          <w:rFonts w:ascii="Times New Roman" w:cs="Times New Roman" w:eastAsia="Times New Roman" w:hAnsi="Times New Roman"/>
          <w:sz w:val="21"/>
          <w:szCs w:val="21"/>
          <w:color w:val="auto"/>
        </w:rPr>
        <w:t>, attached hereto (the “</w:t>
      </w:r>
      <w:r>
        <w:rPr>
          <w:rFonts w:ascii="Times New Roman" w:cs="Times New Roman" w:eastAsia="Times New Roman" w:hAnsi="Times New Roman"/>
          <w:sz w:val="21"/>
          <w:szCs w:val="21"/>
          <w:b w:val="1"/>
          <w:bCs w:val="1"/>
          <w:i w:val="1"/>
          <w:iCs w:val="1"/>
          <w:u w:val="single" w:color="auto"/>
          <w:color w:val="auto"/>
        </w:rPr>
        <w:t>Addendum</w:t>
      </w:r>
      <w:r>
        <w:rPr>
          <w:rFonts w:ascii="Times New Roman" w:cs="Times New Roman" w:eastAsia="Times New Roman" w:hAnsi="Times New Roman"/>
          <w:sz w:val="21"/>
          <w:szCs w:val="21"/>
          <w:color w:val="auto"/>
        </w:rPr>
        <w:t>”). The Firm will notify you if you are subject to the Addendum. The Addendum generally prohibits directors and designated employees from trading in Firm securities during blackout periods and requires pre-clearance for all transactions in Firm securities.</w:t>
      </w:r>
    </w:p>
    <w:p>
      <w:pPr>
        <w:spacing w:after="0" w:line="135" w:lineRule="exact"/>
        <w:rPr>
          <w:sz w:val="20"/>
          <w:szCs w:val="20"/>
          <w:color w:val="auto"/>
        </w:rPr>
      </w:pPr>
    </w:p>
    <w:p>
      <w:pPr>
        <w:ind w:left="640" w:hanging="634"/>
        <w:spacing w:after="0"/>
        <w:tabs>
          <w:tab w:leader="none" w:pos="640" w:val="left"/>
        </w:tabs>
        <w:numPr>
          <w:ilvl w:val="0"/>
          <w:numId w:val="1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INDIVIDUAL RESPONSIBILITY</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Each person subject to this Policy is individually responsible for complying with this Policy and ensuring the compliance of any Related Insiders whose transactions are subject to this Policy. Accordingly, you should make your family and household members aware of the need to confer with you before they trade in Firm securities, and you should treat all such transactions for the purposes of this Policy and applicable securities laws concerning trading while in possession of material nonpublic information as if the transactions were for your own account.</w:t>
      </w:r>
    </w:p>
    <w:p>
      <w:pPr>
        <w:spacing w:after="0" w:line="166"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In all cases, the responsibility for determining whether an individual is in possession of material nonpublic information rests with that individual, and any action on the part of the Firm or any other employee pursuant to this Policy (or otherwise) does not in any way constitute legal advice or insulate an individual from liability under applicable securities laws.</w:t>
      </w:r>
    </w:p>
    <w:p>
      <w:pPr>
        <w:spacing w:after="0" w:line="13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MATERIAL NONPUBLIC INFORMATION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auto"/>
        </w:rPr>
        <w:t>What is Material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Firm policy and United States laws, information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w:t>
      </w:r>
    </w:p>
    <w:p>
      <w:pPr>
        <w:spacing w:after="0" w:line="213" w:lineRule="exact"/>
        <w:rPr>
          <w:sz w:val="20"/>
          <w:szCs w:val="20"/>
          <w:color w:val="auto"/>
        </w:rPr>
      </w:pPr>
    </w:p>
    <w:p>
      <w:pPr>
        <w:ind w:left="960" w:hanging="318"/>
        <w:spacing w:after="0" w:line="245" w:lineRule="auto"/>
        <w:tabs>
          <w:tab w:leader="none" w:pos="95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a substantial likelihood that a reasonable investor would consider the information important in determining whether to trade in a security; or</w:t>
      </w:r>
    </w:p>
    <w:p>
      <w:pPr>
        <w:spacing w:after="0" w:line="6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if made public, likely would affect the market price of a firm’s securities.</w:t>
      </w:r>
    </w:p>
    <w:p>
      <w:pPr>
        <w:spacing w:after="0" w:line="20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with respect to companies that do not have publicly traded stock, such as those with outstanding bonds.</w:t>
      </w:r>
    </w:p>
    <w:p>
      <w:pPr>
        <w:spacing w:after="0" w:line="16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Depending on the facts and circumstances, information that could be considered material includes, but is not limited to, information pertaining to the following:</w:t>
      </w:r>
    </w:p>
    <w:p>
      <w:pPr>
        <w:spacing w:after="0" w:line="115" w:lineRule="exact"/>
        <w:rPr>
          <w:sz w:val="20"/>
          <w:szCs w:val="20"/>
          <w:color w:val="auto"/>
        </w:rPr>
      </w:pPr>
    </w:p>
    <w:p>
      <w:pPr>
        <w:ind w:left="960" w:hanging="318"/>
        <w:spacing w:after="0"/>
        <w:tabs>
          <w:tab w:leader="none" w:pos="9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announcements or guidance, or changes to previously released announcements or guidance;</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unpublished financial results;</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writedowns and additions to reserves for bad debts;</w:t>
      </w:r>
    </w:p>
    <w:p>
      <w:pPr>
        <w:spacing w:after="0" w:line="10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expansion or curtailment of operations and business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24" w:name="page225"/>
    <w:bookmarkEnd w:id="224"/>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cybersecurity incident or risk that may adversely impact the Firm’s business, reputation or share value;</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services;</w:t>
      </w:r>
    </w:p>
    <w:p>
      <w:pPr>
        <w:spacing w:after="0" w:line="10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threatened significant litigation or government action, or the resolution thereof;</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merger, acquisition, tender offer, joint venture, restructuring or change in assets;</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analyst recommendations or debt ratings;</w:t>
      </w:r>
    </w:p>
    <w:p>
      <w:pPr>
        <w:spacing w:after="0" w:line="101" w:lineRule="exact"/>
        <w:rPr>
          <w:rFonts w:ascii="Times New Roman" w:cs="Times New Roman" w:eastAsia="Times New Roman" w:hAnsi="Times New Roman"/>
          <w:sz w:val="21"/>
          <w:szCs w:val="21"/>
          <w:color w:val="auto"/>
        </w:rPr>
      </w:pPr>
    </w:p>
    <w:p>
      <w:pPr>
        <w:ind w:left="960" w:hanging="318"/>
        <w:spacing w:after="0" w:line="247" w:lineRule="auto"/>
        <w:tabs>
          <w:tab w:leader="none" w:pos="95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regarding the Firm’s securities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defaults on senior securities, calls of securities for redemption, repurchase plans, stock splits, changes in dividends, changes to the rights of securityholders or an offering of additional securities);</w:t>
      </w:r>
    </w:p>
    <w:p>
      <w:pPr>
        <w:spacing w:after="0" w:line="74"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of the Firm or extraordinary management developments;</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the Firm’s pricing or cost structure;</w:t>
      </w:r>
    </w:p>
    <w:p>
      <w:pPr>
        <w:spacing w:after="0" w:line="10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borrowing or other financing transactions out of the ordinary course;</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problems or impending bankruptcy;</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auditors or auditor notification that the Firm may no longer rely on an audit report;</w:t>
      </w:r>
    </w:p>
    <w:p>
      <w:pPr>
        <w:spacing w:after="0" w:line="10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of a significant new process or service; or</w:t>
      </w:r>
    </w:p>
    <w:p>
      <w:pPr>
        <w:spacing w:after="0" w:line="116"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significant contracts, customers or financing sources, or the loss thereof.</w:t>
      </w:r>
    </w:p>
    <w:p>
      <w:pPr>
        <w:spacing w:after="0" w:line="20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u w:val="single" w:color="auto"/>
          <w:color w:val="auto"/>
        </w:rPr>
        <w:t>What is Nonpublic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is considered to be nonpublic unless it has been adequately disclosed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 This means that the information must be publicly disseminated and sufficient time must have passed for the securities markets to digest the information.</w:t>
      </w:r>
    </w:p>
    <w:p>
      <w:pPr>
        <w:spacing w:after="0" w:line="15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It is important to note that information is not necessarily public merely because it has been discussed in the press or on social media, which will sometimes report rumors. You should presume that information is nonpublic, unless you can point to its official release by the Firm in at least one of the following ways:</w:t>
      </w:r>
    </w:p>
    <w:p>
      <w:pPr>
        <w:spacing w:after="0" w:line="123" w:lineRule="exact"/>
        <w:rPr>
          <w:sz w:val="20"/>
          <w:szCs w:val="20"/>
          <w:color w:val="auto"/>
        </w:rPr>
      </w:pPr>
    </w:p>
    <w:p>
      <w:pPr>
        <w:ind w:left="960" w:hanging="318"/>
        <w:spacing w:after="0" w:line="249" w:lineRule="auto"/>
        <w:tabs>
          <w:tab w:leader="none" w:pos="95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publicly available filings with the U.S.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or securities regulatory authorities;</w:t>
      </w:r>
    </w:p>
    <w:p>
      <w:pPr>
        <w:spacing w:after="0" w:line="72"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issuance of press releases via major newswire such as Dow Jones or Reuters; or</w:t>
      </w:r>
    </w:p>
    <w:p>
      <w:pPr>
        <w:spacing w:after="0" w:line="103"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with members of the press and the public.</w:t>
      </w:r>
    </w:p>
    <w:p>
      <w:pPr>
        <w:spacing w:after="0" w:line="20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two full trading days following its official release by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225" w:name="page226"/>
    <w:bookmarkEnd w:id="225"/>
    <w:p>
      <w:pPr>
        <w:spacing w:after="0" w:line="166"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b w:val="1"/>
          <w:bCs w:val="1"/>
          <w:u w:val="single" w:color="auto"/>
          <w:color w:val="auto"/>
        </w:rPr>
        <w:t>Twenty-Twenty Hindsight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If you have any questions or uncertainties about this Policy or a proposed transaction, please ask the Chief Legal Officer or General Counsel, as applicable (the “General Counsel”).</w:t>
      </w:r>
    </w:p>
    <w:p>
      <w:pPr>
        <w:spacing w:after="0" w:line="131" w:lineRule="exact"/>
        <w:rPr>
          <w:sz w:val="20"/>
          <w:szCs w:val="20"/>
          <w:color w:val="auto"/>
        </w:rPr>
      </w:pPr>
    </w:p>
    <w:p>
      <w:pPr>
        <w:ind w:left="600" w:hanging="594"/>
        <w:spacing w:after="0"/>
        <w:tabs>
          <w:tab w:leader="none" w:pos="600"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“TIPPING” MATERIAL NONPUBLIC INFORMATION IS PROHIBITED</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In addition to trading while in possession of material nonpublic information, it is also a violation of this Policy to provide such information to another (“</w:t>
      </w:r>
      <w:r>
        <w:rPr>
          <w:rFonts w:ascii="Times New Roman" w:cs="Times New Roman" w:eastAsia="Times New Roman" w:hAnsi="Times New Roman"/>
          <w:sz w:val="21"/>
          <w:szCs w:val="21"/>
          <w:b w:val="1"/>
          <w:bCs w:val="1"/>
          <w:i w:val="1"/>
          <w:iCs w:val="1"/>
          <w:color w:val="auto"/>
        </w:rPr>
        <w:t>tipping</w:t>
      </w:r>
      <w:r>
        <w:rPr>
          <w:rFonts w:ascii="Times New Roman" w:cs="Times New Roman" w:eastAsia="Times New Roman" w:hAnsi="Times New Roman"/>
          <w:sz w:val="21"/>
          <w:szCs w:val="21"/>
          <w:color w:val="auto"/>
        </w:rPr>
        <w:t>”) who may trade or to advise another to trade on the basis of such information. It is a violation of law to do so if a trade then occurs, and insider trading liability may be extended to the tipper. This Policy applies regardless of whether the person or entity who receives the information, the “tippee,” is related to you and regardless of whether you receive any monetary benefit from the tippee.</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w:t>
        <w:tab/>
        <w:t>SPECIAL TRANSACTIONS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trading restrictions in this Policy do not apply in the case of the following transactions except as specifically noted:</w:t>
      </w:r>
    </w:p>
    <w:p>
      <w:pPr>
        <w:spacing w:after="0" w:line="192" w:lineRule="exact"/>
        <w:rPr>
          <w:sz w:val="20"/>
          <w:szCs w:val="20"/>
          <w:color w:val="auto"/>
        </w:rPr>
      </w:pPr>
    </w:p>
    <w:p>
      <w:pPr>
        <w:jc w:val="both"/>
        <w:ind w:left="1280" w:hanging="638"/>
        <w:spacing w:after="0" w:line="220" w:lineRule="auto"/>
        <w:tabs>
          <w:tab w:leader="none" w:pos="1276" w:val="left"/>
        </w:tabs>
        <w:numPr>
          <w:ilvl w:val="0"/>
          <w:numId w:val="16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Employee Stock Purchase Plan. </w:t>
      </w:r>
      <w:r>
        <w:rPr>
          <w:rFonts w:ascii="Times New Roman" w:cs="Times New Roman" w:eastAsia="Times New Roman" w:hAnsi="Times New Roman"/>
          <w:sz w:val="21"/>
          <w:szCs w:val="21"/>
          <w:color w:val="auto"/>
        </w:rPr>
        <w:t>The trading restrictions in this Policy do not apply to purchases of Firm stock in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employee stock purchase plan, if offered by the Firm, resulting from periodic payroll contributions to the plan under an election made at the time of enrollment in the plan. The trading restrictions also do not apply to purchases of Firm securities resulting from lump sum contributions to the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you elected to participate by lump sum payment at the beginning of the applicable enrollment period.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an election to participate in the plan or changes in payroll contributions made outside of an open enrollment period and to subsequent sales of Firm stock purchased under the plan.</w:t>
      </w:r>
    </w:p>
    <w:p>
      <w:pPr>
        <w:spacing w:after="0" w:line="146" w:lineRule="exact"/>
        <w:rPr>
          <w:rFonts w:ascii="Times New Roman" w:cs="Times New Roman" w:eastAsia="Times New Roman" w:hAnsi="Times New Roman"/>
          <w:sz w:val="21"/>
          <w:szCs w:val="21"/>
          <w:b w:val="1"/>
          <w:bCs w:val="1"/>
          <w:i w:val="1"/>
          <w:iCs w:val="1"/>
          <w:color w:val="auto"/>
        </w:rPr>
      </w:pPr>
    </w:p>
    <w:p>
      <w:pPr>
        <w:jc w:val="both"/>
        <w:ind w:left="1280" w:hanging="638"/>
        <w:spacing w:after="0" w:line="219" w:lineRule="auto"/>
        <w:tabs>
          <w:tab w:leader="none" w:pos="1276" w:val="left"/>
        </w:tabs>
        <w:numPr>
          <w:ilvl w:val="0"/>
          <w:numId w:val="16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Stock Option Exercises. </w:t>
      </w:r>
      <w:r>
        <w:rPr>
          <w:rFonts w:ascii="Times New Roman" w:cs="Times New Roman" w:eastAsia="Times New Roman" w:hAnsi="Times New Roman"/>
          <w:sz w:val="21"/>
          <w:szCs w:val="21"/>
          <w:color w:val="auto"/>
        </w:rPr>
        <w:t>The trading restrictions in this Policy do not apply to exercises of stock options where no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Firm common stock is sold in the market to fund the option exercise price or related taxes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net exercise or where cash is paid to exercise the option) or to the exercise of a tax withholding right pursuant to which a person has elected to have the Firm withhold shares subject to an option to satisfy tax withholding requirements.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subsequent sales of Firm common stock received upon the exercise of options in which the proceeds are used to fund the option exercise price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a cashless exercise of options) or related taxes. In addition, the Firm reserves the right to limit or restrict stock option exercises or tax withholdings not made pursuant to standing elections in appropriate circumstances.</w:t>
      </w:r>
    </w:p>
    <w:p>
      <w:pPr>
        <w:spacing w:after="0" w:line="145" w:lineRule="exact"/>
        <w:rPr>
          <w:rFonts w:ascii="Times New Roman" w:cs="Times New Roman" w:eastAsia="Times New Roman" w:hAnsi="Times New Roman"/>
          <w:sz w:val="21"/>
          <w:szCs w:val="21"/>
          <w:b w:val="1"/>
          <w:bCs w:val="1"/>
          <w:i w:val="1"/>
          <w:iCs w:val="1"/>
          <w:color w:val="auto"/>
        </w:rPr>
      </w:pPr>
    </w:p>
    <w:p>
      <w:pPr>
        <w:jc w:val="both"/>
        <w:ind w:left="1280" w:hanging="638"/>
        <w:spacing w:after="0" w:line="224" w:lineRule="auto"/>
        <w:tabs>
          <w:tab w:leader="none" w:pos="1276" w:val="left"/>
        </w:tabs>
        <w:numPr>
          <w:ilvl w:val="0"/>
          <w:numId w:val="16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Restricted Stock and Stock Unit Awards. </w:t>
      </w:r>
      <w:r>
        <w:rPr>
          <w:rFonts w:ascii="Times New Roman" w:cs="Times New Roman" w:eastAsia="Times New Roman" w:hAnsi="Times New Roman"/>
          <w:sz w:val="21"/>
          <w:szCs w:val="21"/>
          <w:color w:val="auto"/>
        </w:rPr>
        <w:t>The trading restrictions in this Policy do not apply to the vesting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restricted stock or the delivery of shares in settlement of restricted stock unit awards, or the withholding or sale of shares of stock by the Firm to satisfy tax withholding requirements upon the vesting of any restricted stock or upon the delivery of shares in settlement of restricted stock unit awards.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any market sale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former restricted stock or shares delivered in (or deliverable in) satisfaction of any restricted stock unit awards.</w:t>
      </w:r>
    </w:p>
    <w:p>
      <w:pPr>
        <w:spacing w:after="0" w:line="179" w:lineRule="exact"/>
        <w:rPr>
          <w:sz w:val="20"/>
          <w:szCs w:val="20"/>
          <w:color w:val="auto"/>
        </w:rPr>
      </w:pPr>
    </w:p>
    <w:p>
      <w:pPr>
        <w:jc w:val="both"/>
        <w:ind w:left="1280" w:hanging="638"/>
        <w:spacing w:after="0" w:line="219" w:lineRule="auto"/>
        <w:tabs>
          <w:tab w:leader="none" w:pos="1274" w:val="left"/>
        </w:tabs>
        <w:numPr>
          <w:ilvl w:val="0"/>
          <w:numId w:val="16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Qualified Redemptions and Exchanges. </w:t>
      </w:r>
      <w:r>
        <w:rPr>
          <w:rFonts w:ascii="Times New Roman" w:cs="Times New Roman" w:eastAsia="Times New Roman" w:hAnsi="Times New Roman"/>
          <w:sz w:val="21"/>
          <w:szCs w:val="21"/>
          <w:color w:val="auto"/>
        </w:rPr>
        <w:t>The trading restrictions in this Policy do not apply to: (i) redemptions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Class A-1 Common Units in PWP VoteCo Professionals LP pursuant to Article XIV of the Agreement of Limited Partnership of PWP VoteCo Professionals LP (as amended, modified, supplemented or amended and restated from time to time) (each such redemption, a “</w:t>
      </w:r>
      <w:r>
        <w:rPr>
          <w:rFonts w:ascii="Times New Roman" w:cs="Times New Roman" w:eastAsia="Times New Roman" w:hAnsi="Times New Roman"/>
          <w:sz w:val="21"/>
          <w:szCs w:val="21"/>
          <w:b w:val="1"/>
          <w:bCs w:val="1"/>
          <w:i w:val="1"/>
          <w:iCs w:val="1"/>
          <w:color w:val="auto"/>
        </w:rPr>
        <w:t>Qualified Redemption</w:t>
      </w:r>
      <w:r>
        <w:rPr>
          <w:rFonts w:ascii="Times New Roman" w:cs="Times New Roman" w:eastAsia="Times New Roman" w:hAnsi="Times New Roman"/>
          <w:sz w:val="21"/>
          <w:szCs w:val="21"/>
          <w:color w:val="auto"/>
        </w:rPr>
        <w:t>”); or (ii) exchanges of Class A Common Units in PWP Holdings LP (“</w:t>
      </w:r>
      <w:r>
        <w:rPr>
          <w:rFonts w:ascii="Times New Roman" w:cs="Times New Roman" w:eastAsia="Times New Roman" w:hAnsi="Times New Roman"/>
          <w:sz w:val="21"/>
          <w:szCs w:val="21"/>
          <w:b w:val="1"/>
          <w:bCs w:val="1"/>
          <w:i w:val="1"/>
          <w:iCs w:val="1"/>
          <w:color w:val="auto"/>
        </w:rPr>
        <w:t>Holdings Units</w:t>
      </w:r>
      <w:r>
        <w:rPr>
          <w:rFonts w:ascii="Times New Roman" w:cs="Times New Roman" w:eastAsia="Times New Roman" w:hAnsi="Times New Roman"/>
          <w:sz w:val="21"/>
          <w:szCs w:val="21"/>
          <w:color w:val="auto"/>
        </w:rPr>
        <w:t>”) pursuant to Article XIV of the Amended and Restated Agreement of Limited Partnership of PWP Holdings LP (as amended, modified, supplemented or amended and restated from time to time, the “</w:t>
      </w:r>
      <w:r>
        <w:rPr>
          <w:rFonts w:ascii="Times New Roman" w:cs="Times New Roman" w:eastAsia="Times New Roman" w:hAnsi="Times New Roman"/>
          <w:sz w:val="21"/>
          <w:szCs w:val="21"/>
          <w:b w:val="1"/>
          <w:bCs w:val="1"/>
          <w:i w:val="1"/>
          <w:iCs w:val="1"/>
          <w:color w:val="auto"/>
        </w:rPr>
        <w:t>Holdings LPA</w:t>
      </w:r>
      <w:r>
        <w:rPr>
          <w:rFonts w:ascii="Times New Roman" w:cs="Times New Roman" w:eastAsia="Times New Roman" w:hAnsi="Times New Roman"/>
          <w:sz w:val="21"/>
          <w:szCs w:val="21"/>
          <w:color w:val="auto"/>
        </w:rPr>
        <w:t>”) (each such exchange, a “</w:t>
      </w:r>
      <w:r>
        <w:rPr>
          <w:rFonts w:ascii="Times New Roman" w:cs="Times New Roman" w:eastAsia="Times New Roman" w:hAnsi="Times New Roman"/>
          <w:sz w:val="21"/>
          <w:szCs w:val="21"/>
          <w:b w:val="1"/>
          <w:bCs w:val="1"/>
          <w:i w:val="1"/>
          <w:iCs w:val="1"/>
          <w:color w:val="auto"/>
        </w:rPr>
        <w:t>Qualified Exchange</w:t>
      </w:r>
      <w:r>
        <w:rPr>
          <w:rFonts w:ascii="Times New Roman" w:cs="Times New Roman" w:eastAsia="Times New Roman" w:hAnsi="Times New Roman"/>
          <w:sz w:val="21"/>
          <w:szCs w:val="21"/>
          <w:color w:val="auto"/>
        </w:rPr>
        <w:t xml:space="preserve">”).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subsequent sales of Firm common stock received upon a Qualified Exchange.</w:t>
      </w:r>
    </w:p>
    <w:p>
      <w:pPr>
        <w:spacing w:after="0" w:line="145" w:lineRule="exact"/>
        <w:rPr>
          <w:rFonts w:ascii="Times New Roman" w:cs="Times New Roman" w:eastAsia="Times New Roman" w:hAnsi="Times New Roman"/>
          <w:sz w:val="21"/>
          <w:szCs w:val="21"/>
          <w:b w:val="1"/>
          <w:bCs w:val="1"/>
          <w:i w:val="1"/>
          <w:iCs w:val="1"/>
          <w:color w:val="auto"/>
        </w:rPr>
      </w:pPr>
    </w:p>
    <w:p>
      <w:pPr>
        <w:jc w:val="both"/>
        <w:ind w:left="1280" w:hanging="638"/>
        <w:spacing w:after="0" w:line="233" w:lineRule="auto"/>
        <w:tabs>
          <w:tab w:leader="none" w:pos="1276" w:val="left"/>
        </w:tabs>
        <w:numPr>
          <w:ilvl w:val="0"/>
          <w:numId w:val="16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Other Similar Transactions. </w:t>
      </w:r>
      <w:r>
        <w:rPr>
          <w:rFonts w:ascii="Times New Roman" w:cs="Times New Roman" w:eastAsia="Times New Roman" w:hAnsi="Times New Roman"/>
          <w:sz w:val="21"/>
          <w:szCs w:val="21"/>
          <w:color w:val="auto"/>
        </w:rPr>
        <w:t>Any other purchase of Firm securities directly from the Firm or sales of Firm securities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directly to the Firm may be exempted from the trading restrictions of this Policy with the approval of the General Counsel or the Firm’s Board of Directors.</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tab/>
        <w:t>GIFTS OF SECURITIES</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Gifts of securities may include gifts to trusts for estate planning purposes, as well as donations to a charitable organization. Whether a gift of securities is a transaction that should be avoided while the person making the gift is aware of material nonpublic information or is subject to a blackout period may depend on various circumstances surrounding the gift. Accordingly, you are encouraged to consult the General Counsel when contemplating a gift, and you are required to obtain pre-clearance of the gift if you are subject to the trading restrictions specified in the Addendum.</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VIII.</w:t>
        <w:tab/>
        <w:t>PROHIBITED TRANSACTIONS</w:t>
      </w:r>
    </w:p>
    <w:p>
      <w:pPr>
        <w:spacing w:after="0" w:line="21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Due to the heightened legal risk associated with the following transactions, the individuals subject to this Policy may not engage in the following:</w:t>
      </w:r>
    </w:p>
    <w:p>
      <w:pPr>
        <w:spacing w:after="0" w:line="111" w:lineRule="exact"/>
        <w:rPr>
          <w:sz w:val="20"/>
          <w:szCs w:val="20"/>
          <w:color w:val="auto"/>
        </w:rPr>
      </w:pPr>
    </w:p>
    <w:p>
      <w:pPr>
        <w:jc w:val="both"/>
        <w:ind w:left="1280" w:hanging="638"/>
        <w:spacing w:after="0" w:line="224" w:lineRule="auto"/>
        <w:tabs>
          <w:tab w:leader="none" w:pos="1276" w:val="left"/>
        </w:tabs>
        <w:numPr>
          <w:ilvl w:val="0"/>
          <w:numId w:val="16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Publicly Traded Options. </w:t>
      </w:r>
      <w:r>
        <w:rPr>
          <w:rFonts w:ascii="Times New Roman" w:cs="Times New Roman" w:eastAsia="Times New Roman" w:hAnsi="Times New Roman"/>
          <w:sz w:val="21"/>
          <w:szCs w:val="21"/>
          <w:color w:val="auto"/>
        </w:rPr>
        <w:t>You may not trade in options, warrants, puts and calls or similar instruments on Firm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Given the relatively short term of publicly traded options, transactions in options may create the appearance that a director, officer or other employee is trading based on material nonpublic information and focus a director’s, officer’s or other employee’s attention on short-term performance at the expense of the Firm’s long-term objectives.</w:t>
      </w:r>
    </w:p>
    <w:p>
      <w:pPr>
        <w:spacing w:after="0" w:line="145" w:lineRule="exact"/>
        <w:rPr>
          <w:rFonts w:ascii="Times New Roman" w:cs="Times New Roman" w:eastAsia="Times New Roman" w:hAnsi="Times New Roman"/>
          <w:sz w:val="21"/>
          <w:szCs w:val="21"/>
          <w:b w:val="1"/>
          <w:bCs w:val="1"/>
          <w:i w:val="1"/>
          <w:iCs w:val="1"/>
          <w:color w:val="auto"/>
        </w:rPr>
      </w:pPr>
    </w:p>
    <w:p>
      <w:pPr>
        <w:jc w:val="both"/>
        <w:ind w:left="1280" w:hanging="638"/>
        <w:spacing w:after="0" w:line="224" w:lineRule="auto"/>
        <w:tabs>
          <w:tab w:leader="none" w:pos="1276" w:val="left"/>
        </w:tabs>
        <w:numPr>
          <w:ilvl w:val="0"/>
          <w:numId w:val="16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Short Sales. </w:t>
      </w:r>
      <w:r>
        <w:rPr>
          <w:rFonts w:ascii="Times New Roman" w:cs="Times New Roman" w:eastAsia="Times New Roman" w:hAnsi="Times New Roman"/>
          <w:sz w:val="21"/>
          <w:szCs w:val="21"/>
          <w:color w:val="auto"/>
        </w:rPr>
        <w:t>You may not engage in short sales of Firm securities. A short sale has occurred if the seller (i) does not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own the securities sold or (ii) does own the securities sold, but does not deliver them within 20 days or place them in the mail within 5 days of the sale. Short sales may reduce a seller’s incentive to seek to improve the Firm’s performance and often have the potential to signal to the market that the seller lacks confidence in the Firm’s prospects.</w:t>
      </w:r>
    </w:p>
    <w:p>
      <w:pPr>
        <w:spacing w:after="0" w:line="145" w:lineRule="exact"/>
        <w:rPr>
          <w:rFonts w:ascii="Times New Roman" w:cs="Times New Roman" w:eastAsia="Times New Roman" w:hAnsi="Times New Roman"/>
          <w:sz w:val="21"/>
          <w:szCs w:val="21"/>
          <w:b w:val="1"/>
          <w:bCs w:val="1"/>
          <w:i w:val="1"/>
          <w:iCs w:val="1"/>
          <w:color w:val="auto"/>
        </w:rPr>
      </w:pPr>
    </w:p>
    <w:p>
      <w:pPr>
        <w:ind w:left="1280" w:hanging="638"/>
        <w:spacing w:after="0" w:line="249" w:lineRule="auto"/>
        <w:tabs>
          <w:tab w:leader="none" w:pos="1276" w:val="left"/>
        </w:tabs>
        <w:numPr>
          <w:ilvl w:val="0"/>
          <w:numId w:val="16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Margin Accounts and Pledges. </w:t>
      </w:r>
      <w:r>
        <w:rPr>
          <w:rFonts w:ascii="Times New Roman" w:cs="Times New Roman" w:eastAsia="Times New Roman" w:hAnsi="Times New Roman"/>
          <w:sz w:val="21"/>
          <w:szCs w:val="21"/>
          <w:color w:val="auto"/>
        </w:rPr>
        <w:t>Because a margin sale or foreclosure sale may occur at a time when the pledgor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aware of material nonpublic information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3" w:lineRule="exact"/>
        <w:rPr>
          <w:sz w:val="20"/>
          <w:szCs w:val="20"/>
          <w:color w:val="auto"/>
        </w:rPr>
      </w:pPr>
    </w:p>
    <w:p>
      <w:pPr>
        <w:ind w:left="1280"/>
        <w:spacing w:after="0" w:line="245" w:lineRule="auto"/>
        <w:rPr>
          <w:sz w:val="20"/>
          <w:szCs w:val="20"/>
          <w:color w:val="auto"/>
        </w:rPr>
      </w:pPr>
      <w:r>
        <w:rPr>
          <w:rFonts w:ascii="Times New Roman" w:cs="Times New Roman" w:eastAsia="Times New Roman" w:hAnsi="Times New Roman"/>
          <w:sz w:val="21"/>
          <w:szCs w:val="21"/>
          <w:color w:val="auto"/>
        </w:rPr>
        <w:t>otherwise is not permitted to trade in Firm securities, you may not hold Firm securities in a margin account or otherwise pledge Firm securities as collateral for a loan.</w:t>
      </w:r>
    </w:p>
    <w:p>
      <w:pPr>
        <w:spacing w:after="0" w:line="139" w:lineRule="exact"/>
        <w:rPr>
          <w:sz w:val="20"/>
          <w:szCs w:val="20"/>
          <w:color w:val="auto"/>
        </w:rPr>
      </w:pPr>
    </w:p>
    <w:p>
      <w:pPr>
        <w:jc w:val="both"/>
        <w:ind w:left="1280" w:hanging="638"/>
        <w:spacing w:after="0" w:line="222" w:lineRule="auto"/>
        <w:tabs>
          <w:tab w:leader="none" w:pos="1274" w:val="left"/>
        </w:tabs>
        <w:numPr>
          <w:ilvl w:val="0"/>
          <w:numId w:val="16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Hedging Transactions. </w:t>
      </w:r>
      <w:r>
        <w:rPr>
          <w:rFonts w:ascii="Times New Roman" w:cs="Times New Roman" w:eastAsia="Times New Roman" w:hAnsi="Times New Roman"/>
          <w:sz w:val="21"/>
          <w:szCs w:val="21"/>
          <w:color w:val="auto"/>
        </w:rPr>
        <w:t>You may not engage (directly or indirectly) in hedging transactions, or otherwise engage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transactions that hedge or offset, or are designed to hedge or offset, any decrease in the market value of Firm securities. Hedging transactions include (but are not limited to) collars, equity swaps, exchange funds and prepaid variable forward sale contracts. Hedging transactions may allow a director, officer or other employee to continue to own Firm securities, but without the full risks and rewards of ownership. This may lead to the director, officer or other employee no longer having the same objectives as the Firm’s other shareholders.</w:t>
      </w:r>
    </w:p>
    <w:p>
      <w:pPr>
        <w:spacing w:after="0" w:line="143" w:lineRule="exact"/>
        <w:rPr>
          <w:rFonts w:ascii="Times New Roman" w:cs="Times New Roman" w:eastAsia="Times New Roman" w:hAnsi="Times New Roman"/>
          <w:sz w:val="21"/>
          <w:szCs w:val="21"/>
          <w:b w:val="1"/>
          <w:bCs w:val="1"/>
          <w:i w:val="1"/>
          <w:iCs w:val="1"/>
          <w:color w:val="auto"/>
        </w:rPr>
      </w:pPr>
    </w:p>
    <w:p>
      <w:pPr>
        <w:jc w:val="both"/>
        <w:ind w:left="1280" w:hanging="638"/>
        <w:spacing w:after="0" w:line="227" w:lineRule="auto"/>
        <w:tabs>
          <w:tab w:leader="none" w:pos="1276" w:val="left"/>
        </w:tabs>
        <w:numPr>
          <w:ilvl w:val="0"/>
          <w:numId w:val="16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Standing and Limit Orders. </w:t>
      </w:r>
      <w:r>
        <w:rPr>
          <w:rFonts w:ascii="Times New Roman" w:cs="Times New Roman" w:eastAsia="Times New Roman" w:hAnsi="Times New Roman"/>
          <w:sz w:val="21"/>
          <w:szCs w:val="21"/>
          <w:color w:val="auto"/>
        </w:rPr>
        <w:t>You may not place standing or limit orders on Firm securities. Standing and limit orders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create heightened risks for insider trading violations because there is no control over the timing of purchases or sales that result from standing instructions to a broker, and as a result, the broker could execute a transaction when a director, officer or other employee is in possession of material nonpublic information.</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IX.</w:t>
        <w:tab/>
        <w:t>RULE 10B5-1 TRADING PLANS</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Notwithstanding the prohibition against insider trading, SEC Rule 10b5-1 provides an affirmative defense against insider trading liability under Rule 10b-5. A person subject to this Policy can rely on this defense and trade in Firm securities, regardless of their awareness of inside information, if the transaction occurs pursuant to a pre-arranged written trading plan (“</w:t>
      </w:r>
      <w:r>
        <w:rPr>
          <w:rFonts w:ascii="Times New Roman" w:cs="Times New Roman" w:eastAsia="Times New Roman" w:hAnsi="Times New Roman"/>
          <w:sz w:val="21"/>
          <w:szCs w:val="21"/>
          <w:b w:val="1"/>
          <w:bCs w:val="1"/>
          <w:i w:val="1"/>
          <w:iCs w:val="1"/>
          <w:color w:val="auto"/>
        </w:rPr>
        <w:t>Rule 10b5-1 Plan</w:t>
      </w:r>
      <w:r>
        <w:rPr>
          <w:rFonts w:ascii="Times New Roman" w:cs="Times New Roman" w:eastAsia="Times New Roman" w:hAnsi="Times New Roman"/>
          <w:sz w:val="21"/>
          <w:szCs w:val="21"/>
          <w:color w:val="auto"/>
        </w:rPr>
        <w:t>”) that was entered into when the person was not in possession of material nonpublic information and that complies with the requirements of Rule 10b5-1.</w:t>
      </w:r>
    </w:p>
    <w:p>
      <w:pPr>
        <w:spacing w:after="0" w:line="16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Anyone subject to this Policy who wishes to enter into a Rule 10b5-1 Plan must submit the Rule 10b5-1 Plan to the General Counsel for its approval at least five business days prior to the planned entry into the Rule 10b5-1 Plan. Rule 10b5-1 Plans may not be adopted by a person when he or she is in possession of material nonpublic information about the Firm or its securities and must comply with the requirements of Rule 10b5-1 (including specified waiting periods and limitations on multiple overlapping plans and single trade plans).</w:t>
      </w:r>
    </w:p>
    <w:p>
      <w:pPr>
        <w:spacing w:after="0" w:line="16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Once the Rule 10b5-1 Plan is adopted, you must not exercise any subsequent influence over the amount of securities to be traded, the price at which they are to be traded or the date of the trade. You may amend or replace a Rule 10b5-1 Plan only during periods when trading is permitted in accordance with this Policy, and you must submit any proposed amendment or replacement of a Rule 10b5-1 Plan to the Legal Department for approval prior to adoption. You must provide notice to the Legal Department prior to terminating a Rule 10b5-1 Plan. You should understand that frequent modifications or terminations of a Rule 10b5-1 Plan may call into question your good faith in entering into the plan (and therefore may jeopardize the availability of the affirmative defense against insider trading allegations).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390" w:lineRule="exact"/>
        <w:rPr>
          <w:sz w:val="20"/>
          <w:szCs w:val="20"/>
          <w:color w:val="auto"/>
        </w:rPr>
      </w:pPr>
    </w:p>
    <w:p>
      <w:pPr>
        <w:ind w:left="640" w:hanging="634"/>
        <w:spacing w:after="0"/>
        <w:tabs>
          <w:tab w:leader="none" w:pos="640" w:val="left"/>
        </w:tabs>
        <w:numPr>
          <w:ilvl w:val="0"/>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VIOLATIONS/SEEKING ADVICE</w:t>
      </w:r>
    </w:p>
    <w:p>
      <w:pPr>
        <w:spacing w:after="0" w:line="213"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You should refer suspected violations of this Policy to the Legal Department or through the reporting procedures set forth in the Firm’s Code of Business Conduct and Ethics. In addition, if you:</w:t>
      </w:r>
    </w:p>
    <w:p>
      <w:pPr>
        <w:spacing w:after="0" w:line="115" w:lineRule="exact"/>
        <w:rPr>
          <w:sz w:val="20"/>
          <w:szCs w:val="20"/>
          <w:color w:val="auto"/>
        </w:rPr>
      </w:pPr>
    </w:p>
    <w:p>
      <w:pPr>
        <w:ind w:left="960" w:hanging="318"/>
        <w:spacing w:after="0" w:line="245" w:lineRule="auto"/>
        <w:tabs>
          <w:tab w:leader="none" w:pos="95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material nonpublic information that you are not authorized to receive or that you do not need to know to perform your employment responsibilities; or</w:t>
      </w:r>
    </w:p>
    <w:p>
      <w:pPr>
        <w:spacing w:after="0" w:line="76" w:lineRule="exact"/>
        <w:rPr>
          <w:rFonts w:ascii="Times New Roman" w:cs="Times New Roman" w:eastAsia="Times New Roman" w:hAnsi="Times New Roman"/>
          <w:sz w:val="21"/>
          <w:szCs w:val="21"/>
          <w:color w:val="auto"/>
        </w:rPr>
      </w:pPr>
    </w:p>
    <w:p>
      <w:pPr>
        <w:ind w:left="960" w:hanging="318"/>
        <w:spacing w:after="0" w:line="245" w:lineRule="auto"/>
        <w:tabs>
          <w:tab w:leader="none" w:pos="95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confidential information and are unsure if it is within the definition of material nonpublic information or whether its release might be contrary to a fiduciary or other duty or obligation,</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you should not share it with anyone. To seek advice about what to do under those circumstances, you should contact the General Counsel. Consulting your colleagues may have the effect of exacerbating the problem, as containment of the information, until the legal implications of possessing it are determined, is critical.</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Because of the technical nature of some aspects of the federal securities laws, all directors, officers and employees should review this material carefully and contact the Chief Compliance Officer or General Counsel if at any time (i) you have questions about this Policy or its application to a particular situation; or (ii) you plan to trade in the Firm’s securities, but are unsure as to whether the transaction might be in conflict with the securities laws and/or this Firm Policy.</w:t>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w:t>
        <w:tab/>
        <w:t>POST-TERMINATION TRANSACTIONS</w:t>
      </w:r>
    </w:p>
    <w:p>
      <w:pPr>
        <w:spacing w:after="0" w:line="21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This Policy, and the Addendum, continue to apply to transactions in Firm securities even after a person’s service with the Firm is terminated. If a person is in possession of material nonpublic information when his or her service terminates, that individual may not trade in Firm securities until that information has become public or is no longer material. Questions or concerns on whether any continuing nonpublic information remains material should be directed to the General Counsel. The pre-clearance procedures specified in the Addendum, however, will cease to apply to transactions in Firm securities upon the expiration of any blackout period or other Firm-imposed trading restrictions applicable at the time of the termination of service.</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XII.</w:t>
        <w:tab/>
        <w:t>PENALTIES FOR VIOLATIONS OF THE INSIDER TRADING LAWS AND THIS POLICY</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The maximum penalty may be assessed even against tippers for the profits made or losses avoided by all tippees, including remote tippees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others who may have been tipped by the tippee). Further, civil penalties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greater of $1 million or three times the profits made or losses avoided can be imposed on any person who “controls” a person who engages in illegal insider trading.</w:t>
      </w:r>
    </w:p>
    <w:p>
      <w:pPr>
        <w:spacing w:after="0" w:line="14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Criminal penalties may also be assessed for insider trading. Any person who “willfully” violates any provision of the Securities Exchange Act of 1934 (or rule promulgated thereunder) may be fined up to $5 million ($25 million for entities) and/or imprisoned for up to 20 years. Subject to applicable law, Firm employees who violate this Policy may also be subject to discipline by the Firm, up to and including termination of employment, even if the country or jurisdiction where the conduct took place does not regard it as illegal. Needless to say, a violation of law, or even a governmental or regulatory investigation that does not result in prosecution, can tarnish a person’s reputation and irreparably damage a career.</w:t>
      </w:r>
    </w:p>
    <w:p>
      <w:pPr>
        <w:spacing w:after="0" w:line="18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 If a local law conflicts with this Policy, you must consult the General Counsel.</w:t>
      </w:r>
    </w:p>
    <w:p>
      <w:pPr>
        <w:spacing w:after="0" w:line="169" w:lineRule="exact"/>
        <w:rPr>
          <w:sz w:val="20"/>
          <w:szCs w:val="20"/>
          <w:color w:val="auto"/>
        </w:rPr>
      </w:pPr>
    </w:p>
    <w:p>
      <w:pPr>
        <w:jc w:val="center"/>
        <w:ind w:right="-19"/>
        <w:spacing w:after="0"/>
        <w:tabs>
          <w:tab w:leader="none" w:pos="200" w:val="left"/>
          <w:tab w:leader="none" w:pos="180" w:val="left"/>
        </w:tabs>
        <w:rPr>
          <w:sz w:val="20"/>
          <w:szCs w:val="20"/>
          <w:color w:val="auto"/>
        </w:rPr>
      </w:pPr>
      <w:r>
        <w:rPr>
          <w:rFonts w:ascii="Times New Roman" w:cs="Times New Roman" w:eastAsia="Times New Roman" w:hAnsi="Times New Roman"/>
          <w:sz w:val="21"/>
          <w:szCs w:val="21"/>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5"/>
          <w:szCs w:val="25"/>
          <w:b w:val="1"/>
          <w:bCs w:val="1"/>
          <w:color w:val="auto"/>
        </w:rPr>
        <w:t>Perella Weinberg Partners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ADDENDUM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180" w:lineRule="exact"/>
        <w:rPr>
          <w:sz w:val="20"/>
          <w:szCs w:val="20"/>
          <w:color w:val="auto"/>
        </w:rPr>
      </w:pPr>
    </w:p>
    <w:p>
      <w:pPr>
        <w:ind w:left="640" w:hanging="634"/>
        <w:spacing w:after="0"/>
        <w:tabs>
          <w:tab w:leader="none" w:pos="640"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w:t>
      </w:r>
    </w:p>
    <w:p>
      <w:pPr>
        <w:spacing w:after="0" w:line="209"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This Addendum explains requirements and procedures, which apply to all directors and officers (collectively, “</w:t>
      </w:r>
      <w:r>
        <w:rPr>
          <w:rFonts w:ascii="Times New Roman" w:cs="Times New Roman" w:eastAsia="Times New Roman" w:hAnsi="Times New Roman"/>
          <w:sz w:val="21"/>
          <w:szCs w:val="21"/>
          <w:b w:val="1"/>
          <w:bCs w:val="1"/>
          <w:i w:val="1"/>
          <w:iCs w:val="1"/>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Insiders</w:t>
      </w:r>
      <w:r>
        <w:rPr>
          <w:rFonts w:ascii="Times New Roman" w:cs="Times New Roman" w:eastAsia="Times New Roman" w:hAnsi="Times New Roman"/>
          <w:sz w:val="21"/>
          <w:szCs w:val="21"/>
          <w:color w:val="auto"/>
        </w:rPr>
        <w:t>”) subject to Section 16 of the Securities Exchange Act of 1934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as well as certain designated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employees of Perella Weinberg Partners (the “</w:t>
      </w:r>
      <w:r>
        <w:rPr>
          <w:rFonts w:ascii="Times New Roman" w:cs="Times New Roman" w:eastAsia="Times New Roman" w:hAnsi="Times New Roman"/>
          <w:sz w:val="21"/>
          <w:szCs w:val="21"/>
          <w:b w:val="1"/>
          <w:bCs w:val="1"/>
          <w:i w:val="1"/>
          <w:iCs w:val="1"/>
          <w:color w:val="auto"/>
        </w:rPr>
        <w:t>Firm</w:t>
      </w:r>
      <w:r>
        <w:rPr>
          <w:rFonts w:ascii="Times New Roman" w:cs="Times New Roman" w:eastAsia="Times New Roman" w:hAnsi="Times New Roman"/>
          <w:sz w:val="21"/>
          <w:szCs w:val="21"/>
          <w:color w:val="auto"/>
        </w:rPr>
        <w:t>”) who have access to material nonpublic information about the Firm, and is in addition to and supplements the Firm Insider Trading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xml:space="preserve">”). The positions of the designated persons subject to this Addendum are listed on attached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(collectively, “</w:t>
      </w:r>
      <w:r>
        <w:rPr>
          <w:rFonts w:ascii="Times New Roman" w:cs="Times New Roman" w:eastAsia="Times New Roman" w:hAnsi="Times New Roman"/>
          <w:sz w:val="21"/>
          <w:szCs w:val="21"/>
          <w:b w:val="1"/>
          <w:bCs w:val="1"/>
          <w:i w:val="1"/>
          <w:iCs w:val="1"/>
          <w:color w:val="auto"/>
        </w:rPr>
        <w:t>Designated Insiders</w:t>
      </w:r>
      <w:r>
        <w:rPr>
          <w:rFonts w:ascii="Times New Roman" w:cs="Times New Roman" w:eastAsia="Times New Roman" w:hAnsi="Times New Roman"/>
          <w:sz w:val="21"/>
          <w:szCs w:val="21"/>
          <w:color w:val="auto"/>
        </w:rPr>
        <w:t>”). Firm management may from time to time designate other individuals who are subject to this Addendum and will amend Schedule A from time to time as necessary to reflect such changes or the resignation or change of status of any individual. Please note that this Addendum applies to all Firm securities which you hold or may acquire in the future.</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This Addendum also applies to your spouse, minor children, adult family members sharing the same household and any other person or entity over whom you exercise influence or control over his, her or its securities trading decisions (collectively, “</w:t>
      </w:r>
      <w:r>
        <w:rPr>
          <w:rFonts w:ascii="Times New Roman" w:cs="Times New Roman" w:eastAsia="Times New Roman" w:hAnsi="Times New Roman"/>
          <w:sz w:val="21"/>
          <w:szCs w:val="21"/>
          <w:b w:val="1"/>
          <w:bCs w:val="1"/>
          <w:i w:val="1"/>
          <w:iCs w:val="1"/>
          <w:color w:val="auto"/>
        </w:rPr>
        <w:t>Related Insiders</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Please read this Addendum carefully. When you have completed your review, please sign the attached acknowledgment form and return it to the General Counsel.</w:t>
      </w:r>
    </w:p>
    <w:p>
      <w:pPr>
        <w:spacing w:after="0" w:line="111" w:lineRule="exact"/>
        <w:rPr>
          <w:sz w:val="20"/>
          <w:szCs w:val="20"/>
          <w:color w:val="auto"/>
        </w:rPr>
      </w:pPr>
    </w:p>
    <w:p>
      <w:pPr>
        <w:ind w:left="640" w:hanging="634"/>
        <w:spacing w:after="0"/>
        <w:tabs>
          <w:tab w:leader="none" w:pos="640" w:val="left"/>
        </w:tabs>
        <w:numPr>
          <w:ilvl w:val="0"/>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BLACKOUT PERIODS</w:t>
      </w:r>
    </w:p>
    <w:p>
      <w:pPr>
        <w:spacing w:after="0" w:line="21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All Designated Insiders and their Related Insiders are subject to the following blackout periods, during which they may not trade in the Firm’s securities (except by means of (i) pre-arranged Rule 10b5-1 Plans established in compliance with the Policy or (ii) a Qualified Redemption or a Qualified Exchange (each as defined in the Policy)).</w:t>
      </w:r>
    </w:p>
    <w:p>
      <w:pPr>
        <w:spacing w:after="0" w:line="149"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Quarterly Blackout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Because the announcement of the Firm’s quarterly financial results will almost always have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potential to have a material effect on the market for the Firm’s securities, you may not trade in the Firm’s securities during the period beginning on the fifteenth calendar day of the last month of the quarter and ending after the second trading day following the public release of the Firm’s earnings for that quarter.</w:t>
      </w:r>
    </w:p>
    <w:p>
      <w:pPr>
        <w:spacing w:after="0" w:line="174"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Interim Earnings Guidance Blackout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Firm may on occasion issue interim earnings guidance or other potentially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material information by means of a press release, SEC filing on Form 8-K or other means designed to achieve widespread dissemination of the information. You should anticipate that trading will be blacked out while the Firm is in the process of assembling the information to be released and until the information has been released and fully absorbed by the market.</w:t>
      </w:r>
    </w:p>
    <w:p>
      <w:pPr>
        <w:spacing w:after="0" w:line="16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i w:val="1"/>
          <w:iCs w:val="1"/>
          <w:color w:val="auto"/>
        </w:rPr>
        <w:t>Event-Specific Blackout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From time to time, an event may occur that is material to the Firm and is known by only a few</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directors, officers and/or employees. The existence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85" w:right="339" w:bottom="1440" w:gutter="0" w:footer="0" w:header="0"/>
        </w:sectPr>
      </w:pPr>
    </w:p>
    <w:bookmarkStart w:id="231" w:name="page232"/>
    <w:bookmarkEnd w:id="231"/>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event-specific blackout will not be announced. If, however, a person whose trades are subject to pre-clearance requests permission to trade in the Firm’s securities during an event-specific blackout, the General Counsel will inform the requesting person of the existence of a blackout period, without disclosing the reason for the blackout. Any person made aware of the existence of an event-specific blackout should not disclose the existence of the blackout to any other person.</w:t>
      </w:r>
    </w:p>
    <w:p>
      <w:pPr>
        <w:spacing w:after="0" w:line="15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Regulation BTR. </w:t>
      </w:r>
      <w:r>
        <w:rPr>
          <w:rFonts w:ascii="Times New Roman" w:cs="Times New Roman" w:eastAsia="Times New Roman" w:hAnsi="Times New Roman"/>
          <w:sz w:val="21"/>
          <w:szCs w:val="21"/>
          <w:color w:val="auto"/>
        </w:rPr>
        <w:t>Section 16 Insiders may also be subject to event-specific blackouts pursuant to the SEC’s Regulation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Blackout Trading Restriction, which prohibits certain sales and other transfers by insiders during certain pension plan blackout periods.</w:t>
      </w:r>
    </w:p>
    <w:p>
      <w:pPr>
        <w:spacing w:after="0" w:line="15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auto"/>
        </w:rPr>
        <w:t>NOTE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 if a blackout period is not in effect, at no time may you trade in Firm securities if you are in possession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nonpublic information about the Firm. The failure of the General Counsel to notify you of an event-specific blackout will not relieve you of the obligation not to trade while in possession of material nonpublic information.</w:t>
      </w:r>
    </w:p>
    <w:p>
      <w:pPr>
        <w:spacing w:after="0" w:line="121" w:lineRule="exact"/>
        <w:rPr>
          <w:sz w:val="20"/>
          <w:szCs w:val="20"/>
          <w:color w:val="auto"/>
        </w:rPr>
      </w:pPr>
    </w:p>
    <w:p>
      <w:pPr>
        <w:ind w:left="640" w:hanging="634"/>
        <w:spacing w:after="0"/>
        <w:tabs>
          <w:tab w:leader="none" w:pos="640" w:val="left"/>
        </w:tabs>
        <w:numPr>
          <w:ilvl w:val="0"/>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PRE-CLEARANCE PROCEDURES</w:t>
      </w:r>
    </w:p>
    <w:p>
      <w:pPr>
        <w:spacing w:after="0" w:line="21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Designated Insiders (and their Related Insiders) may not engage in any transaction involving the Firm’s securities (including the net exercise of stock options, gifts, loans, contributions to a trust or Managed Account or any other transfers that convey trading discretion with respect to the securities) without first obtaining pre-clearance of the transaction from the General Counsel or the Chief Compliance Officer.</w:t>
      </w:r>
    </w:p>
    <w:p>
      <w:pPr>
        <w:spacing w:after="0" w:line="1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Each proposed transaction will be evaluated to determine if it raises insider trading concerns or other concerns under federal laws and regulations. Any advice will relate solely to the restraints imposed by law and will not constitute advice regarding the investment aspects of any transaction. Clearance of a transaction must be re-requested if the transaction is not filled within two trading days of obtaining pre-clearance. If clearance is denied, the fact of such denial must be kept confidential by the person requesting such clearance.</w:t>
      </w:r>
    </w:p>
    <w:p>
      <w:pPr>
        <w:spacing w:after="0" w:line="18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When requesting pre-clearance, the requestor should carefully consider whether he or she may be aware of any material nonpublic information about the Firm, and should describe fully those circumstances to the General Counsel. Section 16 Insiders should also indicate whether they have effected any non-exempt “opposite-way” transactions within the past six months, and should be prepared to report the proposed transaction on an appropriate Form 4 or 5, if applicable. The requestor should also be prepared to comply with SEC Rule 144 and file Form 144, if advisable, at the time of any sale.</w:t>
      </w:r>
    </w:p>
    <w:p>
      <w:pPr>
        <w:spacing w:after="0" w:line="18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Notwithstanding the foregoing, pre-clearance is not required for any trades made pursuant to a pre-arranged Rule 10b5-1 Plan adopted in accordance with the requirements of the Firm’s Insider Trading Policy. Pre-clearance is also not required for the “Special Transactions” to which the Policy does not apply, subject to certain exceptions described in section VI of the Policy. If Firm securities are transferred to a Managed Account in compliance with this Policy, preclearance is not required for the manager of such account to trade Firm Securities. Section 16 Insiders are not permitted to trade Firm securities in a Managed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0" w:lineRule="exact"/>
        <w:rPr>
          <w:sz w:val="20"/>
          <w:szCs w:val="20"/>
          <w:color w:val="auto"/>
        </w:rPr>
      </w:pPr>
    </w:p>
    <w:p>
      <w:pPr>
        <w:ind w:left="700" w:hanging="694"/>
        <w:spacing w:after="0"/>
        <w:tabs>
          <w:tab w:leader="none" w:pos="70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16 INSIDERS</w:t>
      </w:r>
    </w:p>
    <w:p>
      <w:pPr>
        <w:spacing w:after="0" w:line="213"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In addition to the blackout periods and pre-clearance requirements described above, all Section 16 Insiders (and their Related Insiders) are subject to the reporting requirements and other restrictions discussed in this section.</w:t>
      </w:r>
    </w:p>
    <w:p>
      <w:pPr>
        <w:spacing w:after="0" w:line="111" w:lineRule="exact"/>
        <w:rPr>
          <w:sz w:val="20"/>
          <w:szCs w:val="20"/>
          <w:color w:val="auto"/>
        </w:rPr>
      </w:pPr>
    </w:p>
    <w:p>
      <w:pPr>
        <w:ind w:left="1280" w:hanging="638"/>
        <w:spacing w:after="0"/>
        <w:tabs>
          <w:tab w:leader="none" w:pos="128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and Form Filing Requirements</w:t>
      </w:r>
    </w:p>
    <w:p>
      <w:pPr>
        <w:spacing w:after="0" w:line="21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Under Section 16(a) of the Exchange Act, directors and officers of the Firm, as well as beneficial owners of more than 10% of the outstanding shares of any class of voting Firm equity securities registered under Section 12 of the Exchange Act, must file forms with the U.S.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disclosing their direct and indirect pecuniary interest in most transactions involving the Firm’s equity securities. In this context, “</w:t>
      </w:r>
      <w:r>
        <w:rPr>
          <w:rFonts w:ascii="Times New Roman" w:cs="Times New Roman" w:eastAsia="Times New Roman" w:hAnsi="Times New Roman"/>
          <w:sz w:val="21"/>
          <w:szCs w:val="21"/>
          <w:b w:val="1"/>
          <w:bCs w:val="1"/>
          <w:i w:val="1"/>
          <w:iCs w:val="1"/>
          <w:color w:val="auto"/>
        </w:rPr>
        <w:t>equity securities</w:t>
      </w:r>
      <w:r>
        <w:rPr>
          <w:rFonts w:ascii="Times New Roman" w:cs="Times New Roman" w:eastAsia="Times New Roman" w:hAnsi="Times New Roman"/>
          <w:sz w:val="21"/>
          <w:szCs w:val="21"/>
          <w:color w:val="auto"/>
        </w:rPr>
        <w:t>” of the Firm include shares of the classes of equity securities created under the Firm’s governing documents, such as common stock, as well as any securities (regardless of whether issued by the Firm) that are exchangeable for or convertible into, or that derive their value from, an equity security of the Firm. These other securities are known as “</w:t>
      </w:r>
      <w:r>
        <w:rPr>
          <w:rFonts w:ascii="Times New Roman" w:cs="Times New Roman" w:eastAsia="Times New Roman" w:hAnsi="Times New Roman"/>
          <w:sz w:val="21"/>
          <w:szCs w:val="21"/>
          <w:b w:val="1"/>
          <w:bCs w:val="1"/>
          <w:i w:val="1"/>
          <w:iCs w:val="1"/>
          <w:color w:val="auto"/>
        </w:rPr>
        <w:t>derivative securities</w:t>
      </w:r>
      <w:r>
        <w:rPr>
          <w:rFonts w:ascii="Times New Roman" w:cs="Times New Roman" w:eastAsia="Times New Roman" w:hAnsi="Times New Roman"/>
          <w:sz w:val="21"/>
          <w:szCs w:val="21"/>
          <w:color w:val="auto"/>
        </w:rPr>
        <w:t>,” and include options, restricted share units, warrants, convertible securities and stock appreciation rights.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i w:val="1"/>
          <w:iCs w:val="1"/>
          <w:color w:val="auto"/>
        </w:rPr>
        <w:t>i. Forms 3, 4 and 5</w:t>
      </w:r>
    </w:p>
    <w:p>
      <w:pPr>
        <w:spacing w:after="0" w:line="21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The Legal Department will assist directors and officers in preparing and filing the following Section 16 reports but each individual director and officer is responsible for the timing and contents of his or her reports:</w:t>
      </w:r>
    </w:p>
    <w:p>
      <w:pPr>
        <w:spacing w:after="0" w:line="111" w:lineRule="exact"/>
        <w:rPr>
          <w:sz w:val="20"/>
          <w:szCs w:val="20"/>
          <w:color w:val="auto"/>
        </w:rPr>
      </w:pPr>
    </w:p>
    <w:p>
      <w:pPr>
        <w:jc w:val="both"/>
        <w:ind w:left="960" w:hanging="318"/>
        <w:spacing w:after="0" w:line="227" w:lineRule="auto"/>
        <w:tabs>
          <w:tab w:leader="none" w:pos="95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Form 3, Initial Beneficial Ownership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person who becomes a director or officer of the Firm must file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3 within 10 calendar days of becoming a director or officer, even if such person does not own any Firm equity securities at the time. The Form 3 must disclose such person’s position and ownership of any Firm equity securities as of immediately prior to assuming office.</w:t>
      </w:r>
    </w:p>
    <w:p>
      <w:pPr>
        <w:spacing w:after="0" w:line="80" w:lineRule="exact"/>
        <w:rPr>
          <w:rFonts w:ascii="Times New Roman" w:cs="Times New Roman" w:eastAsia="Times New Roman" w:hAnsi="Times New Roman"/>
          <w:sz w:val="21"/>
          <w:szCs w:val="21"/>
          <w:color w:val="auto"/>
        </w:rPr>
      </w:pPr>
    </w:p>
    <w:p>
      <w:pPr>
        <w:jc w:val="both"/>
        <w:ind w:left="960" w:hanging="318"/>
        <w:spacing w:after="0" w:line="224" w:lineRule="auto"/>
        <w:tabs>
          <w:tab w:leader="none" w:pos="95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Form 4, Changes of Beneficial Ownership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long as a person remains a director or officer, and for up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six months after a person no longer holds such a position with the Firm, a Form 4 must be filed with the SEC before 10:00 p.m., Eastern, on the second business day following any transaction by that person, whether directly or indirectly, in Firm equity securities. There are exceptions to this requirement for acquisitions from gifts (but not dispositions by gifts) and a very limited class of employee benefit plan transactions.</w:t>
      </w:r>
    </w:p>
    <w:p>
      <w:pPr>
        <w:spacing w:after="0" w:line="78" w:lineRule="exact"/>
        <w:rPr>
          <w:rFonts w:ascii="Times New Roman" w:cs="Times New Roman" w:eastAsia="Times New Roman" w:hAnsi="Times New Roman"/>
          <w:sz w:val="21"/>
          <w:szCs w:val="21"/>
          <w:color w:val="auto"/>
        </w:rPr>
      </w:pPr>
    </w:p>
    <w:p>
      <w:pPr>
        <w:ind w:left="960" w:hanging="318"/>
        <w:spacing w:after="0" w:line="249" w:lineRule="auto"/>
        <w:tabs>
          <w:tab w:leader="none" w:pos="95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Form 5, Annual Beneficial Ownership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Form 5 must be filed with the SEC by any individual who served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director or officer of the Firm during any part of the Firm’s fiscal year to report:</w:t>
      </w:r>
    </w:p>
    <w:p>
      <w:pPr>
        <w:spacing w:after="0" w:line="86" w:lineRule="exact"/>
        <w:rPr>
          <w:sz w:val="20"/>
          <w:szCs w:val="20"/>
          <w:color w:val="auto"/>
        </w:rPr>
      </w:pPr>
    </w:p>
    <w:p>
      <w:pPr>
        <w:ind w:left="980" w:hanging="338"/>
        <w:spacing w:after="0"/>
        <w:tabs>
          <w:tab w:leader="none" w:pos="980" w:val="left"/>
        </w:tabs>
        <w:numPr>
          <w:ilvl w:val="0"/>
          <w:numId w:val="172"/>
        </w:numPr>
        <w:rPr>
          <w:rFonts w:ascii="Arial" w:cs="Arial" w:eastAsia="Arial" w:hAnsi="Arial"/>
          <w:sz w:val="21"/>
          <w:szCs w:val="21"/>
          <w:color w:val="auto"/>
        </w:rPr>
      </w:pPr>
      <w:r>
        <w:rPr>
          <w:rFonts w:ascii="Times New Roman" w:cs="Times New Roman" w:eastAsia="Times New Roman" w:hAnsi="Times New Roman"/>
          <w:sz w:val="21"/>
          <w:szCs w:val="21"/>
          <w:color w:val="auto"/>
        </w:rPr>
        <w:t>all reportable transactions in Firm equity securities that were specifically eligible for deferred reporting on Form 5;</w:t>
      </w:r>
    </w:p>
    <w:p>
      <w:pPr>
        <w:spacing w:after="0" w:line="115" w:lineRule="exact"/>
        <w:rPr>
          <w:rFonts w:ascii="Arial" w:cs="Arial" w:eastAsia="Arial" w:hAnsi="Arial"/>
          <w:sz w:val="21"/>
          <w:szCs w:val="21"/>
          <w:color w:val="auto"/>
        </w:rPr>
      </w:pPr>
    </w:p>
    <w:p>
      <w:pPr>
        <w:ind w:left="980" w:hanging="338"/>
        <w:spacing w:after="0"/>
        <w:tabs>
          <w:tab w:leader="none" w:pos="980" w:val="left"/>
        </w:tabs>
        <w:numPr>
          <w:ilvl w:val="0"/>
          <w:numId w:val="172"/>
        </w:numPr>
        <w:rPr>
          <w:rFonts w:ascii="Arial" w:cs="Arial" w:eastAsia="Arial" w:hAnsi="Arial"/>
          <w:sz w:val="21"/>
          <w:szCs w:val="21"/>
          <w:color w:val="auto"/>
        </w:rPr>
      </w:pPr>
      <w:r>
        <w:rPr>
          <w:rFonts w:ascii="Times New Roman" w:cs="Times New Roman" w:eastAsia="Times New Roman" w:hAnsi="Times New Roman"/>
          <w:sz w:val="21"/>
          <w:szCs w:val="21"/>
          <w:color w:val="auto"/>
        </w:rPr>
        <w:t>all transactions that should have been reported during the last fiscal year but were not;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64" w:lineRule="exact"/>
        <w:rPr>
          <w:sz w:val="20"/>
          <w:szCs w:val="20"/>
          <w:color w:val="auto"/>
        </w:rPr>
      </w:pPr>
    </w:p>
    <w:p>
      <w:pPr>
        <w:ind w:left="960" w:hanging="318"/>
        <w:spacing w:after="0" w:line="284" w:lineRule="auto"/>
        <w:tabs>
          <w:tab w:leader="none" w:pos="986" w:val="left"/>
        </w:tabs>
        <w:numPr>
          <w:ilvl w:val="0"/>
          <w:numId w:val="173"/>
        </w:numPr>
        <w:rPr>
          <w:rFonts w:ascii="Arial" w:cs="Arial" w:eastAsia="Arial" w:hAnsi="Arial"/>
          <w:sz w:val="21"/>
          <w:szCs w:val="21"/>
          <w:color w:val="auto"/>
        </w:rPr>
      </w:pPr>
      <w:r>
        <w:rPr>
          <w:rFonts w:ascii="Times New Roman" w:cs="Times New Roman" w:eastAsia="Times New Roman" w:hAnsi="Times New Roman"/>
          <w:sz w:val="21"/>
          <w:szCs w:val="21"/>
          <w:color w:val="auto"/>
        </w:rPr>
        <w:t>with respect to an individual’s first Form 5, all transactions which should have been reported but were not for the last two fiscal years.</w:t>
      </w:r>
    </w:p>
    <w:p>
      <w:pPr>
        <w:spacing w:after="0" w:line="143"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A Form 5 need not be filed if all transactions otherwise reportable have been previously reported. If required, Form 5 must be filed within 45 days after the end of the Firm’s fiscal year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February 14) or the first business day thereafter. Common types of transactions reportable on Form 5 include acquisitions from gifts (but not dispositions by gifts) and certain acquisitions of less than $10,000 in any six-month period, either of which may be reported on a voluntary basis on any Form 4 filed before the Form 5 is due.</w:t>
      </w:r>
    </w:p>
    <w:p>
      <w:pPr>
        <w:spacing w:after="0" w:line="395" w:lineRule="exact"/>
        <w:rPr>
          <w:sz w:val="20"/>
          <w:szCs w:val="20"/>
          <w:color w:val="auto"/>
        </w:rPr>
      </w:pPr>
    </w:p>
    <w:p>
      <w:pPr>
        <w:ind w:left="1280" w:hanging="479"/>
        <w:spacing w:after="0"/>
        <w:tabs>
          <w:tab w:leader="none" w:pos="1280" w:val="left"/>
        </w:tabs>
        <w:numPr>
          <w:ilvl w:val="0"/>
          <w:numId w:val="17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Indirect Ownership by Related Insiders</w:t>
      </w:r>
    </w:p>
    <w:p>
      <w:pPr>
        <w:spacing w:after="0" w:line="213"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The reports described above must also reflect any indirect ownership by directors and officers, including all holdings and transactions by Related Insiders. This includes changes in ownership by immediate family members living in the director’s or officer’s household and any other person or entity over whom the individual exercises influence or control over his, her or its securities trading decisions. For this purpose, “</w:t>
      </w:r>
      <w:r>
        <w:rPr>
          <w:rFonts w:ascii="Times New Roman" w:cs="Times New Roman" w:eastAsia="Times New Roman" w:hAnsi="Times New Roman"/>
          <w:sz w:val="21"/>
          <w:szCs w:val="21"/>
          <w:b w:val="1"/>
          <w:bCs w:val="1"/>
          <w:i w:val="1"/>
          <w:iCs w:val="1"/>
          <w:color w:val="auto"/>
        </w:rPr>
        <w:t>immediate family</w:t>
      </w:r>
      <w:r>
        <w:rPr>
          <w:rFonts w:ascii="Times New Roman" w:cs="Times New Roman" w:eastAsia="Times New Roman" w:hAnsi="Times New Roman"/>
          <w:sz w:val="21"/>
          <w:szCs w:val="21"/>
          <w:color w:val="auto"/>
        </w:rPr>
        <w:t>” includes a spouse, children, stepchildren, grandchildren, parents, grandparents, stepparents and siblings, including in-laws and adoptive relationships.</w:t>
      </w:r>
    </w:p>
    <w:p>
      <w:pPr>
        <w:spacing w:after="0" w:line="16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Any questions concerning whether a particular transaction will necessitate filing of one of these Forms, or how or when they should be completed should be asked of the General Counsel, or, if you prefer, your individual legal counsel.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Firm must disclose in its Annual Report on Form 10-K and in its Proxy Statement any delinquent filings of Forms 3, 4 or 5 by directors and officers, and must post on its website, by the end of the business day after filing with the SEC, any Forms 3, 4 and 5 relating to the Firm’s securities.</w:t>
      </w:r>
    </w:p>
    <w:p>
      <w:pPr>
        <w:spacing w:after="0" w:line="134" w:lineRule="exact"/>
        <w:rPr>
          <w:sz w:val="20"/>
          <w:szCs w:val="20"/>
          <w:color w:val="auto"/>
        </w:rPr>
      </w:pPr>
    </w:p>
    <w:p>
      <w:pPr>
        <w:ind w:left="1260" w:hanging="459"/>
        <w:spacing w:after="0"/>
        <w:tabs>
          <w:tab w:leader="none" w:pos="1260" w:val="left"/>
        </w:tabs>
        <w:numPr>
          <w:ilvl w:val="0"/>
          <w:numId w:val="17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Reporting Exemptions for Certain Employee Benefit Plan Transactions</w:t>
      </w:r>
    </w:p>
    <w:p>
      <w:pPr>
        <w:spacing w:after="0" w:line="21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Rule 16b-3 under the Exchange Act provides exemptions for director and officer reporting of certain employee benefit plan events on Forms 4 and 5, including certain routine transactions under tax-conditioned thrift, stock purchase and excess benefit plans.</w:t>
      </w:r>
    </w:p>
    <w:p>
      <w:pPr>
        <w:spacing w:after="0" w:line="200" w:lineRule="exact"/>
        <w:rPr>
          <w:sz w:val="20"/>
          <w:szCs w:val="20"/>
          <w:color w:val="auto"/>
        </w:rPr>
      </w:pPr>
    </w:p>
    <w:p>
      <w:pPr>
        <w:spacing w:after="0" w:line="20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previously attributable to the insider. Exercises or conversions of derivative securities would not, however, be considered mere changes in beneficial ownership and would be reportable.</w:t>
      </w:r>
    </w:p>
    <w:p>
      <w:pPr>
        <w:spacing w:after="0" w:line="18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The vesting of most stock options, restricted stock and stock appreciation rights is also not subject to the reporting requirements, although related share-withholding transactions, if any, would give rise to Form 4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ind w:left="1280" w:hanging="638"/>
        <w:spacing w:after="0"/>
        <w:tabs>
          <w:tab w:leader="none" w:pos="128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Short-Swing Trading Profits and Short Sales</w:t>
      </w:r>
    </w:p>
    <w:p>
      <w:pPr>
        <w:spacing w:after="0" w:line="182" w:lineRule="exact"/>
        <w:rPr>
          <w:rFonts w:ascii="Times New Roman" w:cs="Times New Roman" w:eastAsia="Times New Roman" w:hAnsi="Times New Roman"/>
          <w:sz w:val="21"/>
          <w:szCs w:val="21"/>
          <w:b w:val="1"/>
          <w:bCs w:val="1"/>
          <w:color w:val="auto"/>
        </w:rPr>
      </w:pPr>
    </w:p>
    <w:p>
      <w:pPr>
        <w:ind w:left="960" w:hanging="159"/>
        <w:spacing w:after="0"/>
        <w:tabs>
          <w:tab w:leader="none" w:pos="960" w:val="left"/>
        </w:tabs>
        <w:numPr>
          <w:ilvl w:val="1"/>
          <w:numId w:val="17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Short-Swing Trading Profits</w:t>
      </w:r>
    </w:p>
    <w:p>
      <w:pPr>
        <w:spacing w:after="0" w:line="213"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In order to discourage directors and officers from profiting through short-term trading transactions in equity securities of the Firm, Section 16(b) of the Exchange Act requires that any “short-swing profits” be disgorged to the Firm. (This is in addition to the reporting requirements described above.)</w:t>
      </w:r>
    </w:p>
    <w:p>
      <w:pPr>
        <w:spacing w:after="0" w:line="171"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Short-swing profits</w:t>
      </w:r>
      <w:r>
        <w:rPr>
          <w:rFonts w:ascii="Times New Roman" w:cs="Times New Roman" w:eastAsia="Times New Roman" w:hAnsi="Times New Roman"/>
          <w:sz w:val="21"/>
          <w:szCs w:val="21"/>
          <w:color w:val="auto"/>
        </w:rPr>
        <w:t>” are the profits, whether real or notional, that result from any purchase and sale (or sale and purchase) of the Firm’s equity securities within a six-month period, unless there is an applicable exemption for either transaction. It is important to note that this rule applies to any matched transactions in the Firm’s securities (including derivative securities), not only a purchase and sale (or sale and purchase) of the same shares, or even of the same class of securities. Furthermore, pursuant to SEC rules, profit is determined so as to maximize the amount that the director or officer must disgorge, so that “short-swing profits” may exceed economic profits. In addition, the short-swing rules exempt, or permit the Firm’s board of directors or a qualifying committee to exempt, certain transactions between (a) a director or officer and (b) the Firm or certain benefit plans sponsored by the Firm.</w:t>
      </w:r>
    </w:p>
    <w:p>
      <w:pPr>
        <w:spacing w:after="0" w:line="396" w:lineRule="exact"/>
        <w:rPr>
          <w:sz w:val="20"/>
          <w:szCs w:val="20"/>
          <w:color w:val="auto"/>
        </w:rPr>
      </w:pPr>
    </w:p>
    <w:p>
      <w:pPr>
        <w:ind w:left="1280" w:hanging="479"/>
        <w:spacing w:after="0"/>
        <w:tabs>
          <w:tab w:leader="none" w:pos="1280" w:val="left"/>
        </w:tabs>
        <w:numPr>
          <w:ilvl w:val="0"/>
          <w:numId w:val="17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Prohibition Against Short Sales</w:t>
      </w:r>
    </w:p>
    <w:p>
      <w:pPr>
        <w:spacing w:after="0" w:line="213"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You may not engage in short sales of Firm securities, as prohibited by the Policy and Section 16(c) of the Exchange Act. A short sale has occurred if the seller: (a) does not own the securities sold; or (b) does own the securities sold, but does not deliver them within 20 days or place them in the mail within 5 days of the sale. Short sales may reduce a seller’s incentive to seek to improve the Firm’s performance, and often have the potential to signal to the market that the seller lacks confidence in the Firm’s prospects.</w:t>
      </w:r>
    </w:p>
    <w:p>
      <w:pPr>
        <w:spacing w:after="0" w:line="395" w:lineRule="exact"/>
        <w:rPr>
          <w:sz w:val="20"/>
          <w:szCs w:val="20"/>
          <w:color w:val="auto"/>
        </w:rPr>
      </w:pPr>
    </w:p>
    <w:p>
      <w:pPr>
        <w:ind w:left="640" w:hanging="634"/>
        <w:spacing w:after="0"/>
        <w:tabs>
          <w:tab w:leader="none" w:pos="640" w:val="left"/>
        </w:tabs>
        <w:numPr>
          <w:ilvl w:val="0"/>
          <w:numId w:val="1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LIMITATIONS AND REQUIREMENTS ON RESALES OF THE FIRM’S SECURITIES</w:t>
      </w:r>
    </w:p>
    <w:p>
      <w:pPr>
        <w:spacing w:after="0" w:line="213"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color w:val="auto"/>
        </w:rPr>
        <w:t>The Securities Act requires that securities may be sold only pursuant to an effective registration statement or an exemption from the registration requirements. Directors and certain officers who are (or were within the prior 90 days) affiliates of the Firm and who wish to sell Firm securities may seek a “safe harbor” for their sales to establish an exemption from such registration requirements by complying with the conditions of Rule 144 applicable to affiliates. “Securities” under Rule 144 are broadly defined to include all securities, not just equity securities. The Rule 144 safe harbor is available not only to sales of common and preferred stock, but also to sales of bonds, debentures and any other form of security. Affiliates and others who seek to sell securities acquired directly from the Firm or a Firm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0"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The following summarizes relevant provisions of Rule 144, as they apply to resales by directors and officers seeking to take advantage of the safe harbor:</w:t>
      </w:r>
    </w:p>
    <w:p>
      <w:pPr>
        <w:spacing w:after="0" w:line="138" w:lineRule="exact"/>
        <w:rPr>
          <w:sz w:val="20"/>
          <w:szCs w:val="20"/>
          <w:color w:val="auto"/>
        </w:rPr>
      </w:pPr>
    </w:p>
    <w:p>
      <w:pPr>
        <w:jc w:val="both"/>
        <w:ind w:left="640" w:hanging="316"/>
        <w:spacing w:after="0" w:line="276" w:lineRule="auto"/>
        <w:tabs>
          <w:tab w:leader="none" w:pos="63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Current public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 must be adequate current public information available regarding the Firm.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 is satisfied only if the Firm has filed all reports required by the Exchange Act during the 12 months preceding the sale, other than Form 8-K reports.</w:t>
      </w:r>
    </w:p>
    <w:p>
      <w:pPr>
        <w:spacing w:after="0" w:line="147"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Manner of sale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sale of Firm shares by a director or officer must be made in one of the following manners:</w:t>
      </w:r>
    </w:p>
    <w:p>
      <w:pPr>
        <w:spacing w:after="0" w:line="199" w:lineRule="exact"/>
        <w:rPr>
          <w:rFonts w:ascii="Times New Roman" w:cs="Times New Roman" w:eastAsia="Times New Roman" w:hAnsi="Times New Roman"/>
          <w:sz w:val="21"/>
          <w:szCs w:val="21"/>
          <w:color w:val="auto"/>
        </w:rPr>
      </w:pPr>
    </w:p>
    <w:p>
      <w:pPr>
        <w:ind w:left="1120" w:hanging="478"/>
        <w:spacing w:after="0" w:line="245" w:lineRule="auto"/>
        <w:tabs>
          <w:tab w:leader="none" w:pos="1115"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 open market transaction through a broker at the prevailing market price for no more than the usual and customary brokerage commission;</w:t>
      </w:r>
    </w:p>
    <w:p>
      <w:pPr>
        <w:spacing w:after="0" w:line="142" w:lineRule="exact"/>
        <w:rPr>
          <w:rFonts w:ascii="Times New Roman" w:cs="Times New Roman" w:eastAsia="Times New Roman" w:hAnsi="Times New Roman"/>
          <w:sz w:val="21"/>
          <w:szCs w:val="21"/>
          <w:color w:val="auto"/>
        </w:rPr>
      </w:pPr>
    </w:p>
    <w:p>
      <w:pPr>
        <w:ind w:left="1120" w:hanging="478"/>
        <w:spacing w:after="0"/>
        <w:tabs>
          <w:tab w:leader="none" w:pos="112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 market maker at the price held out by the market maker; or</w:t>
      </w:r>
    </w:p>
    <w:p>
      <w:pPr>
        <w:spacing w:after="0" w:line="182" w:lineRule="exact"/>
        <w:rPr>
          <w:rFonts w:ascii="Times New Roman" w:cs="Times New Roman" w:eastAsia="Times New Roman" w:hAnsi="Times New Roman"/>
          <w:sz w:val="21"/>
          <w:szCs w:val="21"/>
          <w:color w:val="auto"/>
        </w:rPr>
      </w:pPr>
    </w:p>
    <w:p>
      <w:pPr>
        <w:jc w:val="both"/>
        <w:ind w:left="1120" w:hanging="478"/>
        <w:spacing w:after="0" w:line="232" w:lineRule="auto"/>
        <w:tabs>
          <w:tab w:leader="none" w:pos="1114"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 riskless principal transaction in which trades are executed at the same price, exclusive of any explicitly disclosed markup or markdown, commission equivalent or other fee, and where the transaction is permitted to be reported as riskless under the rules of a self-regulatory organization.</w:t>
      </w:r>
    </w:p>
    <w:p>
      <w:pPr>
        <w:spacing w:after="0" w:line="174"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21"/>
          <w:szCs w:val="21"/>
          <w:color w:val="auto"/>
        </w:rPr>
        <w:t>Furthermore, the broker may not solicit or arrange for the solicitation of customers to purchase the shares. In addition, your broker likely has its own Rule 144 procedures (and must be involved in transmitting Form 144 (see “Notice of proposed sale” below)), so it is important to speak with your broker prior to any sale.</w:t>
      </w:r>
    </w:p>
    <w:p>
      <w:pPr>
        <w:spacing w:after="0" w:line="153" w:lineRule="exact"/>
        <w:rPr>
          <w:sz w:val="20"/>
          <w:szCs w:val="20"/>
          <w:color w:val="auto"/>
        </w:rPr>
      </w:pPr>
    </w:p>
    <w:p>
      <w:pPr>
        <w:jc w:val="both"/>
        <w:ind w:left="640"/>
        <w:spacing w:after="0" w:line="285" w:lineRule="auto"/>
        <w:rPr>
          <w:sz w:val="20"/>
          <w:szCs w:val="20"/>
          <w:color w:val="auto"/>
        </w:rPr>
      </w:pPr>
      <w:r>
        <w:rPr>
          <w:rFonts w:ascii="Times New Roman" w:cs="Times New Roman" w:eastAsia="Times New Roman" w:hAnsi="Times New Roman"/>
          <w:sz w:val="21"/>
          <w:szCs w:val="21"/>
          <w:color w:val="auto"/>
        </w:rPr>
        <w:t>Even if your stock certificates do not contain any restrictive legends, you should inform your broker that you may be considered an affiliate of the Firm.</w:t>
      </w:r>
    </w:p>
    <w:p>
      <w:pPr>
        <w:spacing w:after="0" w:line="138" w:lineRule="exact"/>
        <w:rPr>
          <w:sz w:val="20"/>
          <w:szCs w:val="20"/>
          <w:color w:val="auto"/>
        </w:rPr>
      </w:pPr>
    </w:p>
    <w:p>
      <w:pPr>
        <w:ind w:left="640" w:hanging="316"/>
        <w:spacing w:after="0"/>
        <w:tabs>
          <w:tab w:leader="none" w:pos="6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Number of shares which may be sold</w:t>
      </w:r>
      <w:r>
        <w:rPr>
          <w:rFonts w:ascii="Times New Roman" w:cs="Times New Roman" w:eastAsia="Times New Roman" w:hAnsi="Times New Roman"/>
          <w:sz w:val="21"/>
          <w:szCs w:val="21"/>
          <w:b w:val="1"/>
          <w:bCs w:val="1"/>
          <w:i w:val="1"/>
          <w:iCs w:val="1"/>
          <w:color w:val="auto"/>
        </w:rPr>
        <w:t>.</w:t>
      </w:r>
    </w:p>
    <w:p>
      <w:pPr>
        <w:spacing w:after="0" w:line="222" w:lineRule="exact"/>
        <w:rPr>
          <w:rFonts w:ascii="Times New Roman" w:cs="Times New Roman" w:eastAsia="Times New Roman" w:hAnsi="Times New Roman"/>
          <w:sz w:val="21"/>
          <w:szCs w:val="21"/>
          <w:color w:val="auto"/>
        </w:rPr>
      </w:pPr>
    </w:p>
    <w:p>
      <w:pPr>
        <w:ind w:left="640"/>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Equity Securities. </w:t>
      </w:r>
      <w:r>
        <w:rPr>
          <w:rFonts w:ascii="Times New Roman" w:cs="Times New Roman" w:eastAsia="Times New Roman" w:hAnsi="Times New Roman"/>
          <w:sz w:val="21"/>
          <w:szCs w:val="21"/>
          <w:color w:val="auto"/>
        </w:rPr>
        <w:t>The amount of equity securities that a director or officer may sell in a three-month period is limited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greater of:</w:t>
      </w:r>
    </w:p>
    <w:p>
      <w:pPr>
        <w:spacing w:after="0" w:line="124" w:lineRule="exact"/>
        <w:rPr>
          <w:rFonts w:ascii="Times New Roman" w:cs="Times New Roman" w:eastAsia="Times New Roman" w:hAnsi="Times New Roman"/>
          <w:sz w:val="21"/>
          <w:szCs w:val="21"/>
          <w:color w:val="auto"/>
        </w:rPr>
      </w:pPr>
    </w:p>
    <w:p>
      <w:pPr>
        <w:ind w:left="1120" w:hanging="478"/>
        <w:spacing w:after="0"/>
        <w:tabs>
          <w:tab w:leader="none" w:pos="112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of the outstanding shares of the same class of the Firm; or</w:t>
      </w:r>
    </w:p>
    <w:p>
      <w:pPr>
        <w:spacing w:after="0" w:line="182" w:lineRule="exact"/>
        <w:rPr>
          <w:rFonts w:ascii="Times New Roman" w:cs="Times New Roman" w:eastAsia="Times New Roman" w:hAnsi="Times New Roman"/>
          <w:sz w:val="21"/>
          <w:szCs w:val="21"/>
          <w:color w:val="auto"/>
        </w:rPr>
      </w:pPr>
    </w:p>
    <w:p>
      <w:pPr>
        <w:ind w:left="1120" w:hanging="478"/>
        <w:spacing w:after="0"/>
        <w:tabs>
          <w:tab w:leader="none" w:pos="112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weekly reported trading volume in the four calendar weeks preceding the transactions.</w:t>
      </w:r>
    </w:p>
    <w:p>
      <w:pPr>
        <w:spacing w:after="0" w:line="205" w:lineRule="exact"/>
        <w:rPr>
          <w:sz w:val="20"/>
          <w:szCs w:val="20"/>
          <w:color w:val="auto"/>
        </w:rPr>
      </w:pPr>
    </w:p>
    <w:p>
      <w:pPr>
        <w:ind w:left="640" w:right="20"/>
        <w:spacing w:after="0" w:line="289" w:lineRule="auto"/>
        <w:rPr>
          <w:sz w:val="20"/>
          <w:szCs w:val="20"/>
          <w:color w:val="auto"/>
        </w:rPr>
      </w:pPr>
      <w:r>
        <w:rPr>
          <w:rFonts w:ascii="Times New Roman" w:cs="Times New Roman" w:eastAsia="Times New Roman" w:hAnsi="Times New Roman"/>
          <w:sz w:val="21"/>
          <w:szCs w:val="21"/>
          <w:b w:val="1"/>
          <w:bCs w:val="1"/>
          <w:i w:val="1"/>
          <w:iCs w:val="1"/>
          <w:color w:val="auto"/>
        </w:rPr>
        <w:t xml:space="preserve">Debt Securities. </w:t>
      </w:r>
      <w:r>
        <w:rPr>
          <w:rFonts w:ascii="Times New Roman" w:cs="Times New Roman" w:eastAsia="Times New Roman" w:hAnsi="Times New Roman"/>
          <w:sz w:val="21"/>
          <w:szCs w:val="21"/>
          <w:color w:val="auto"/>
        </w:rPr>
        <w:t>The amount of debt securities that a director or officer may sell in a three-month period is limited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greater of:</w:t>
      </w:r>
    </w:p>
    <w:p>
      <w:pPr>
        <w:spacing w:after="0" w:line="111" w:lineRule="exact"/>
        <w:rPr>
          <w:sz w:val="20"/>
          <w:szCs w:val="20"/>
          <w:color w:val="auto"/>
        </w:rPr>
      </w:pPr>
    </w:p>
    <w:p>
      <w:pPr>
        <w:ind w:left="1120" w:hanging="478"/>
        <w:spacing w:after="0"/>
        <w:tabs>
          <w:tab w:leader="none" w:pos="1120"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weekly reported trading volume in the four calendar weeks preceding the sale; or</w:t>
      </w:r>
    </w:p>
    <w:p>
      <w:pPr>
        <w:spacing w:after="0" w:line="182" w:lineRule="exact"/>
        <w:rPr>
          <w:rFonts w:ascii="Times New Roman" w:cs="Times New Roman" w:eastAsia="Times New Roman" w:hAnsi="Times New Roman"/>
          <w:sz w:val="21"/>
          <w:szCs w:val="21"/>
          <w:color w:val="auto"/>
        </w:rPr>
      </w:pPr>
    </w:p>
    <w:p>
      <w:pPr>
        <w:ind w:left="1120" w:hanging="478"/>
        <w:spacing w:after="0"/>
        <w:tabs>
          <w:tab w:leader="none" w:pos="1120"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of the principal amount of the tranche of debt securities (or 10% of the class of non-participatory preferred stock).</w:t>
      </w:r>
    </w:p>
    <w:p>
      <w:pPr>
        <w:spacing w:after="0" w:line="205" w:lineRule="exact"/>
        <w:rPr>
          <w:rFonts w:ascii="Times New Roman" w:cs="Times New Roman" w:eastAsia="Times New Roman" w:hAnsi="Times New Roman"/>
          <w:sz w:val="21"/>
          <w:szCs w:val="21"/>
          <w:color w:val="auto"/>
        </w:rPr>
      </w:pPr>
    </w:p>
    <w:p>
      <w:pPr>
        <w:ind w:left="640" w:hanging="316"/>
        <w:spacing w:after="0" w:line="289" w:lineRule="auto"/>
        <w:tabs>
          <w:tab w:leader="none" w:pos="635"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 of proposed sale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the amount of securities proposed to be sold by a director or officer during any three-month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exceeds 5,000 shares or has an expected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70" w:lineRule="exact"/>
        <w:rPr>
          <w:sz w:val="20"/>
          <w:szCs w:val="20"/>
          <w:color w:val="auto"/>
        </w:rPr>
      </w:pPr>
    </w:p>
    <w:p>
      <w:pPr>
        <w:ind w:left="640" w:right="20"/>
        <w:spacing w:after="0" w:line="285" w:lineRule="auto"/>
        <w:rPr>
          <w:sz w:val="20"/>
          <w:szCs w:val="20"/>
          <w:color w:val="auto"/>
        </w:rPr>
      </w:pPr>
      <w:r>
        <w:rPr>
          <w:rFonts w:ascii="Times New Roman" w:cs="Times New Roman" w:eastAsia="Times New Roman" w:hAnsi="Times New Roman"/>
          <w:sz w:val="21"/>
          <w:szCs w:val="21"/>
          <w:color w:val="auto"/>
        </w:rPr>
        <w:t>sale price in excess of $50,000, the director or officer must file a notice of sale on Form 144 with the SEC, prior to, or concurrently with, the placing of the order to sell securities.</w:t>
      </w:r>
    </w:p>
    <w:p>
      <w:pPr>
        <w:spacing w:after="0" w:line="138" w:lineRule="exact"/>
        <w:rPr>
          <w:sz w:val="20"/>
          <w:szCs w:val="20"/>
          <w:color w:val="auto"/>
        </w:rPr>
      </w:pPr>
    </w:p>
    <w:p>
      <w:pPr>
        <w:ind w:left="640" w:hanging="316"/>
        <w:spacing w:after="0"/>
        <w:tabs>
          <w:tab w:leader="none" w:pos="64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Holding periods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restricted securities must be held for six months prior to reselling such securities.</w:t>
      </w:r>
    </w:p>
    <w:p>
      <w:pPr>
        <w:spacing w:after="0" w:line="238"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21"/>
          <w:szCs w:val="21"/>
          <w:color w:val="auto"/>
        </w:rPr>
        <w:t>In certain situations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securities acquired through stock dividends, splits, conversions or the net settlement of certain options), “tacking” is permitted, that is, the new securities will be deemed to have been acquired at the same time as the original securities.</w:t>
      </w:r>
    </w:p>
    <w:p>
      <w:pPr>
        <w:spacing w:after="0" w:line="16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For purposes of clarity and the avoidance of any doubt, this Section 5 does not apply to a Qualified Redemption or a Qualified Exchange. This Section 5 does apply, however, to subsequent sales of Firm common stock received upon a Qualified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-220980</wp:posOffset>
            </wp:positionV>
            <wp:extent cx="3492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349250" cy="8255"/>
                    </a:xfrm>
                    <a:prstGeom prst="rect">
                      <a:avLst/>
                    </a:prstGeom>
                    <a:noFill/>
                  </pic:spPr>
                </pic:pic>
              </a:graphicData>
            </a:graphic>
          </wp:anchor>
        </w:drawing>
      </w:r>
    </w:p>
    <w:p>
      <w:pPr>
        <w:spacing w:after="0" w:line="103" w:lineRule="exact"/>
        <w:rPr>
          <w:sz w:val="20"/>
          <w:szCs w:val="20"/>
          <w:color w:val="auto"/>
        </w:rPr>
      </w:pPr>
    </w:p>
    <w:p>
      <w:pPr>
        <w:ind w:left="640" w:hanging="634"/>
        <w:spacing w:after="0"/>
        <w:tabs>
          <w:tab w:leader="none" w:pos="640" w:val="left"/>
        </w:tabs>
        <w:numPr>
          <w:ilvl w:val="0"/>
          <w:numId w:val="1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PENALTIES FOR VIOLATING THE SECURITIES LAWS AND FIRM POLICY</w:t>
      </w:r>
    </w:p>
    <w:p>
      <w:pPr>
        <w:spacing w:after="0" w:line="21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The seriousness of securities law violations is reflected in the penalties such violations carry. A director’s resignation may be sought, or an officer will be subject to possible Firm disciplinary action up to and including termination of employment. In addition, both the Firm itself and individual directors, officers or employees may be subjected to both criminal and civil liability. These violations may also create negative publicity for the Firm.</w:t>
      </w:r>
    </w:p>
    <w:p>
      <w:pPr>
        <w:spacing w:after="0" w:line="138" w:lineRule="exact"/>
        <w:rPr>
          <w:sz w:val="20"/>
          <w:szCs w:val="20"/>
          <w:color w:val="auto"/>
        </w:rPr>
      </w:pPr>
    </w:p>
    <w:p>
      <w:pPr>
        <w:ind w:left="640" w:hanging="634"/>
        <w:spacing w:after="0"/>
        <w:tabs>
          <w:tab w:leader="none" w:pos="640" w:val="left"/>
        </w:tabs>
        <w:numPr>
          <w:ilvl w:val="0"/>
          <w:numId w:val="1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QUESTIONS</w:t>
      </w:r>
    </w:p>
    <w:p>
      <w:pPr>
        <w:spacing w:after="0" w:line="21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Because of the technical nature of some aspects of the federal securities laws, all directors and officers should review this material carefully and contact the General Counsel if at any time (i) you have questions about this Policy or its application to a particular situation; or (ii) you plan to trade in the Firm’s securities, but are unsure as to whether the transaction might be in conflict with the securities laws and/or this Firm Policy.</w:t>
      </w:r>
    </w:p>
    <w:p>
      <w:pPr>
        <w:spacing w:after="0" w:line="131" w:lineRule="exact"/>
        <w:rPr>
          <w:sz w:val="20"/>
          <w:szCs w:val="20"/>
          <w:color w:val="auto"/>
        </w:rPr>
      </w:pPr>
    </w:p>
    <w:p>
      <w:pPr>
        <w:ind w:left="640" w:hanging="634"/>
        <w:spacing w:after="0"/>
        <w:tabs>
          <w:tab w:leader="none" w:pos="640" w:val="left"/>
        </w:tabs>
        <w:numPr>
          <w:ilvl w:val="0"/>
          <w:numId w:val="1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ACKNOWLEDGEMENT</w:t>
      </w:r>
    </w:p>
    <w:p>
      <w:pPr>
        <w:spacing w:after="0" w:line="21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All directors, officers and other employees subject to the procedures set forth in this Addendum must acknowledge their understanding of, and intent to comply with, the Firm’s Insider Trading Policy and this Addendum on the form attached to this Addendum.</w:t>
      </w:r>
    </w:p>
    <w:p>
      <w:pPr>
        <w:spacing w:after="0" w:line="153" w:lineRule="exact"/>
        <w:rPr>
          <w:sz w:val="20"/>
          <w:szCs w:val="20"/>
          <w:color w:val="auto"/>
        </w:rPr>
      </w:pPr>
    </w:p>
    <w:p>
      <w:pPr>
        <w:jc w:val="center"/>
        <w:ind w:right="-19"/>
        <w:spacing w:after="0"/>
        <w:tabs>
          <w:tab w:leader="none" w:pos="200" w:val="left"/>
          <w:tab w:leader="none" w:pos="180" w:val="left"/>
        </w:tabs>
        <w:rPr>
          <w:sz w:val="20"/>
          <w:szCs w:val="20"/>
          <w:color w:val="auto"/>
        </w:rPr>
      </w:pPr>
      <w:r>
        <w:rPr>
          <w:rFonts w:ascii="Times New Roman" w:cs="Times New Roman" w:eastAsia="Times New Roman" w:hAnsi="Times New Roman"/>
          <w:sz w:val="21"/>
          <w:szCs w:val="21"/>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A-7</w:t>
      </w:r>
    </w:p>
    <w:p>
      <w:pPr>
        <w:sectPr>
          <w:pgSz w:w="11900" w:h="16838" w:orient="portrait"/>
          <w:cols w:equalWidth="0" w:num="1">
            <w:col w:w="11240"/>
          </w:cols>
          <w:pgMar w:left="320" w:top="1440"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Pr>
          <w:p>
            <w:pPr>
              <w:spacing w:after="0"/>
              <w:rPr>
                <w:sz w:val="24"/>
                <w:szCs w:val="24"/>
                <w:color w:val="auto"/>
              </w:rPr>
            </w:pPr>
          </w:p>
        </w:tc>
        <w:tc>
          <w:tcPr>
            <w:tcW w:w="68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Subsidiaries of Registrant</w:t>
            </w:r>
          </w:p>
        </w:tc>
      </w:tr>
      <w:tr>
        <w:trPr>
          <w:trHeight w:val="718"/>
        </w:trPr>
        <w:tc>
          <w:tcPr>
            <w:tcW w:w="41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Name of Subsidiary</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1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Holdings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Group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Group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Employer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Employer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Europe (Cayman) LDC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France SAS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GmbH</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UK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UK Limited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UK II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UK LLP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TPH Canada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ULC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PadCo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3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LP</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bl>
    <w:p>
      <w:pPr>
        <w:sectPr>
          <w:pgSz w:w="11900" w:h="16838" w:orient="portrait"/>
          <w:cols w:equalWidth="0" w:num="1">
            <w:col w:w="11100"/>
          </w:cols>
          <w:pgMar w:left="460" w:top="106" w:right="339" w:bottom="1440" w:gutter="0" w:footer="0" w:header="0"/>
        </w:sectPr>
      </w:pPr>
    </w:p>
    <w:bookmarkStart w:id="238" w:name="page239"/>
    <w:bookmarkEnd w:id="238"/>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45" w:lineRule="exact"/>
        <w:rPr>
          <w:sz w:val="20"/>
          <w:szCs w:val="20"/>
          <w:color w:val="auto"/>
        </w:rPr>
      </w:pPr>
    </w:p>
    <w:p>
      <w:pPr>
        <w:ind w:left="640" w:hanging="316"/>
        <w:spacing w:after="0"/>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333-259166) pertaining to the Perella Weinberg Partners 2021 Omnibus Incentive Plan;</w:t>
      </w:r>
    </w:p>
    <w:p>
      <w:pPr>
        <w:spacing w:after="0" w:line="28" w:lineRule="exact"/>
        <w:rPr>
          <w:rFonts w:ascii="Times New Roman" w:cs="Times New Roman" w:eastAsia="Times New Roman" w:hAnsi="Times New Roman"/>
          <w:sz w:val="19"/>
          <w:szCs w:val="19"/>
          <w:color w:val="auto"/>
        </w:rPr>
      </w:pPr>
    </w:p>
    <w:p>
      <w:pPr>
        <w:ind w:left="640" w:right="580" w:hanging="316"/>
        <w:spacing w:after="0"/>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333-263027) pertaining to the Perella Weinberg Partners 2021 Omnibus Incentive Plan, as amended;</w:t>
      </w:r>
    </w:p>
    <w:p>
      <w:pPr>
        <w:ind w:left="640" w:hanging="316"/>
        <w:spacing w:after="0" w:line="232" w:lineRule="auto"/>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333-257924) of Perella Weinberg Partners;</w:t>
      </w:r>
    </w:p>
    <w:p>
      <w:pPr>
        <w:ind w:left="640" w:hanging="316"/>
        <w:spacing w:after="0" w:line="232" w:lineRule="auto"/>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333-266051) of Perella Weinberg Partners;</w:t>
      </w:r>
    </w:p>
    <w:p>
      <w:pPr>
        <w:ind w:left="640" w:right="580" w:hanging="316"/>
        <w:spacing w:after="0"/>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333-269978) pertaining to the Perella Weinberg Partners 2021 Omnibus Incentive Plan, as amended;</w:t>
      </w:r>
    </w:p>
    <w:p>
      <w:pPr>
        <w:ind w:left="640" w:right="580" w:hanging="316"/>
        <w:spacing w:after="0"/>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333-276976) pertaining to the Perella Weinberg Partners 2021 Omnibus Incentive Plan, as amended; and</w:t>
      </w:r>
    </w:p>
    <w:p>
      <w:pPr>
        <w:ind w:left="640" w:right="580" w:hanging="316"/>
        <w:spacing w:after="0" w:line="246" w:lineRule="auto"/>
        <w:tabs>
          <w:tab w:leader="none" w:pos="64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333-284790) pertaining to the Perella Weinberg Partners 2021 Omnibus Incentive Plan, as amended;</w:t>
      </w:r>
    </w:p>
    <w:p>
      <w:pPr>
        <w:spacing w:after="0" w:line="20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of our reports dated February 27, 2025, with respect to the consolidated financial statements of Perella Weinberg Partners and the effectiveness of internal control over financial reporting of Perella Weinberg Partners included in this Annual Report (Form 10-K) of Perella Weinberg Partners for the year ended December 31, 2024.</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27, 2025</w:t>
      </w:r>
    </w:p>
    <w:p>
      <w:pPr>
        <w:sectPr>
          <w:pgSz w:w="11900" w:h="16838" w:orient="portrait"/>
          <w:cols w:equalWidth="0" w:num="1">
            <w:col w:w="11240"/>
          </w:cols>
          <w:pgMar w:left="320" w:top="106"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1" w:lineRule="exact"/>
        <w:rPr>
          <w:sz w:val="20"/>
          <w:szCs w:val="20"/>
          <w:color w:val="auto"/>
        </w:rPr>
      </w:pPr>
    </w:p>
    <w:p>
      <w:pPr>
        <w:ind w:left="640" w:hanging="316"/>
        <w:spacing w:after="0"/>
        <w:tabs>
          <w:tab w:leader="none" w:pos="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1" w:lineRule="exact"/>
        <w:rPr>
          <w:sz w:val="20"/>
          <w:szCs w:val="20"/>
          <w:color w:val="auto"/>
        </w:rPr>
      </w:pPr>
    </w:p>
    <w:p>
      <w:pPr>
        <w:ind w:left="640" w:hanging="316"/>
        <w:spacing w:after="0"/>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4" w:lineRule="exact"/>
        <w:rPr>
          <w:sz w:val="20"/>
          <w:szCs w:val="20"/>
          <w:color w:val="auto"/>
        </w:rPr>
      </w:pPr>
    </w:p>
    <w:p>
      <w:pPr>
        <w:ind w:right="720" w:firstLine="6"/>
        <w:spacing w:after="0" w:line="274" w:lineRule="auto"/>
        <w:tabs>
          <w:tab w:leader="none" w:pos="13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1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42" w:lineRule="exact"/>
        <w:rPr>
          <w:sz w:val="20"/>
          <w:szCs w:val="20"/>
          <w:color w:val="auto"/>
        </w:rPr>
      </w:pPr>
    </w:p>
    <w:p>
      <w:pPr>
        <w:ind w:right="720" w:firstLine="6"/>
        <w:spacing w:after="0" w:line="274" w:lineRule="auto"/>
        <w:tabs>
          <w:tab w:leader="none" w:pos="13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1)"/>
      <w:numFmt w:val="decimal"/>
      <w:start w:val="1"/>
    </w:lvl>
  </w:abstractNum>
  <w:abstractNum w:abstractNumId="4">
    <w:nsid w:val="6AA78F7F"/>
    <w:multiLevelType w:val="hybridMultilevel"/>
    <w:lvl w:ilvl="0">
      <w:lvlJc w:val="left"/>
      <w:lvlText w:val="(%1)"/>
      <w:numFmt w:val="lowerRoman"/>
      <w:start w:val="1"/>
    </w:lvl>
  </w:abstractNum>
  <w:abstractNum w:abstractNumId="5">
    <w:nsid w:val="7672BD23"/>
    <w:multiLevelType w:val="hybridMultilevel"/>
    <w:lvl w:ilvl="0">
      <w:lvlJc w:val="left"/>
      <w:lvlText w:val="(%1)"/>
      <w:numFmt w:val="lowerRoman"/>
      <w:start w:val="1"/>
    </w:lvl>
  </w:abstractNum>
  <w:abstractNum w:abstractNumId="6">
    <w:nsid w:val="6FC75AF8"/>
    <w:multiLevelType w:val="hybridMultilevel"/>
    <w:lvl w:ilvl="0">
      <w:lvlJc w:val="left"/>
      <w:lvlText w:val="(%1)"/>
      <w:numFmt w:val="lowerLetter"/>
      <w:start w:val="2"/>
    </w:lvl>
  </w:abstractNum>
  <w:abstractNum w:abstractNumId="7">
    <w:nsid w:val="6A5F7029"/>
    <w:multiLevelType w:val="hybridMultilevel"/>
    <w:lvl w:ilvl="0">
      <w:lvlJc w:val="left"/>
      <w:lvlText w:val="(%1)"/>
      <w:numFmt w:val="lowerRoman"/>
      <w:start w:val="1"/>
    </w:lvl>
  </w:abstractNum>
  <w:abstractNum w:abstractNumId="8">
    <w:nsid w:val="7D5E18F8"/>
    <w:multiLevelType w:val="hybridMultilevel"/>
    <w:lvl w:ilvl="0">
      <w:lvlJc w:val="left"/>
      <w:lvlText w:val="(%1)"/>
      <w:numFmt w:val="decimal"/>
      <w:start w:val="1"/>
    </w:lvl>
  </w:abstractNum>
  <w:abstractNum w:abstractNumId="9">
    <w:nsid w:val="5F3534A4"/>
    <w:multiLevelType w:val="hybridMultilevel"/>
    <w:lvl w:ilvl="0">
      <w:lvlJc w:val="left"/>
      <w:lvlText w:val="(%1)"/>
      <w:numFmt w:val="decimal"/>
      <w:start w:val="1"/>
    </w:lvl>
  </w:abstractNum>
  <w:abstractNum w:abstractNumId="10">
    <w:nsid w:val="73A1821B"/>
    <w:multiLevelType w:val="hybridMultilevel"/>
    <w:lvl w:ilvl="0">
      <w:lvlJc w:val="left"/>
      <w:lvlText w:val="(%1)"/>
      <w:numFmt w:val="decimal"/>
      <w:start w:val="1"/>
    </w:lvl>
  </w:abstractNum>
  <w:abstractNum w:abstractNumId="11">
    <w:nsid w:val="7DE67713"/>
    <w:multiLevelType w:val="hybridMultilevel"/>
    <w:lvl w:ilvl="0">
      <w:lvlJc w:val="left"/>
      <w:lvlText w:val="(%1)"/>
      <w:numFmt w:val="decimal"/>
      <w:start w:val="1"/>
    </w:lvl>
  </w:abstractNum>
  <w:abstractNum w:abstractNumId="12">
    <w:nsid w:val="555C55B5"/>
    <w:multiLevelType w:val="hybridMultilevel"/>
    <w:lvl w:ilvl="0">
      <w:lvlJc w:val="left"/>
      <w:lvlText w:val="(%1)"/>
      <w:numFmt w:val="decimal"/>
      <w:start w:val="1"/>
    </w:lvl>
  </w:abstractNum>
  <w:abstractNum w:abstractNumId="13">
    <w:nsid w:val="3FA62ACA"/>
    <w:multiLevelType w:val="hybridMultilevel"/>
    <w:lvl w:ilvl="0">
      <w:lvlJc w:val="left"/>
      <w:lvlText w:val="(%1)"/>
      <w:numFmt w:val="decimal"/>
      <w:start w:val="1"/>
    </w:lvl>
  </w:abstractNum>
  <w:abstractNum w:abstractNumId="14">
    <w:nsid w:val="14FCE74E"/>
    <w:multiLevelType w:val="hybridMultilevel"/>
    <w:lvl w:ilvl="0">
      <w:lvlJc w:val="left"/>
      <w:lvlText w:val="(%1)"/>
      <w:numFmt w:val="decimal"/>
      <w:start w:val="1"/>
    </w:lvl>
  </w:abstractNum>
  <w:abstractNum w:abstractNumId="15">
    <w:nsid w:val="6A3DD3E8"/>
    <w:multiLevelType w:val="hybridMultilevel"/>
    <w:lvl w:ilvl="0">
      <w:lvlJc w:val="left"/>
      <w:lvlText w:val="(%1)"/>
      <w:numFmt w:val="lowerLetter"/>
      <w:start w:val="2"/>
    </w:lvl>
  </w:abstractNum>
  <w:abstractNum w:abstractNumId="16">
    <w:nsid w:val="71C91298"/>
    <w:multiLevelType w:val="hybridMultilevel"/>
    <w:lvl w:ilvl="0">
      <w:lvlJc w:val="left"/>
      <w:lvlText w:val="(%1)"/>
      <w:numFmt w:val="lowerLetter"/>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1)"/>
      <w:numFmt w:val="lowerRoman"/>
      <w:start w:val="2"/>
    </w:lvl>
  </w:abstractNum>
  <w:abstractNum w:abstractNumId="21">
    <w:nsid w:val="1D545C4D"/>
    <w:multiLevelType w:val="hybridMultilevel"/>
    <w:lvl w:ilvl="0">
      <w:lvlJc w:val="left"/>
      <w:lvlText w:val="(%1)"/>
      <w:numFmt w:val="lowerRoman"/>
      <w:start w:val="1"/>
    </w:lvl>
  </w:abstractNum>
  <w:abstractNum w:abstractNumId="22">
    <w:nsid w:val="59ADEA3D"/>
    <w:multiLevelType w:val="hybridMultilevel"/>
    <w:lvl w:ilvl="0">
      <w:lvlJc w:val="left"/>
      <w:lvlText w:val="%1"/>
      <w:numFmt w:val="lowerLetter"/>
      <w:start w:val="1"/>
    </w:lvl>
    <w:lvl w:ilvl="1">
      <w:lvlJc w:val="left"/>
      <w:lvlText w:val="(%2)"/>
      <w:numFmt w:val="lowerLetter"/>
      <w:start w:val="61"/>
    </w:lvl>
  </w:abstractNum>
  <w:abstractNum w:abstractNumId="23">
    <w:nsid w:val="288F1A34"/>
    <w:multiLevelType w:val="hybridMultilevel"/>
    <w:lvl w:ilvl="0">
      <w:lvlJc w:val="left"/>
      <w:lvlText w:val="(%1)"/>
      <w:numFmt w:val="lowerLetter"/>
      <w:start w:val="2"/>
    </w:lvl>
    <w:lvl w:ilvl="1">
      <w:lvlJc w:val="left"/>
      <w:lvlText w:val="%2"/>
      <w:numFmt w:val="lowerLetter"/>
      <w:start w:val="1"/>
    </w:lvl>
  </w:abstractNum>
  <w:abstractNum w:abstractNumId="24">
    <w:nsid w:val="2A155DBC"/>
    <w:multiLevelType w:val="hybridMultilevel"/>
    <w:lvl w:ilvl="0">
      <w:lvlJc w:val="left"/>
      <w:lvlText w:val="%1"/>
      <w:numFmt w:val="decimal"/>
      <w:start w:val="1"/>
    </w:lvl>
    <w:lvl w:ilvl="1">
      <w:lvlJc w:val="left"/>
      <w:lvlText w:val="(%2)"/>
      <w:numFmt w:val="lowerRoman"/>
      <w:start w:val="4"/>
    </w:lvl>
  </w:abstractNum>
  <w:abstractNum w:abstractNumId="25">
    <w:nsid w:val="1D9F6E5F"/>
    <w:multiLevelType w:val="hybridMultilevel"/>
    <w:lvl w:ilvl="0">
      <w:lvlJc w:val="left"/>
      <w:lvlText w:val="(%1)"/>
      <w:numFmt w:val="decimal"/>
      <w:start w:val="2"/>
    </w:lvl>
    <w:lvl w:ilvl="1">
      <w:lvlJc w:val="left"/>
      <w:lvlText w:val="(%2)"/>
      <w:numFmt w:val="lowerRoman"/>
      <w:start w:val="5"/>
    </w:lvl>
  </w:abstractNum>
  <w:abstractNum w:abstractNumId="26">
    <w:nsid w:val="97E1B4E"/>
    <w:multiLevelType w:val="hybridMultilevel"/>
    <w:lvl w:ilvl="0">
      <w:lvlJc w:val="left"/>
      <w:lvlText w:val="(%1)"/>
      <w:numFmt w:val="lowerLetter"/>
      <w:start w:val="1"/>
    </w:lvl>
  </w:abstractNum>
  <w:abstractNum w:abstractNumId="27">
    <w:nsid w:val="51088277"/>
    <w:multiLevelType w:val="hybridMultilevel"/>
    <w:lvl w:ilvl="0">
      <w:lvlJc w:val="left"/>
      <w:lvlText w:val="(%1)"/>
      <w:numFmt w:val="lowerLetter"/>
      <w:start w:val="3"/>
    </w:lvl>
  </w:abstractNum>
  <w:abstractNum w:abstractNumId="28">
    <w:nsid w:val="1CA0C5FA"/>
    <w:multiLevelType w:val="hybridMultilevel"/>
    <w:lvl w:ilvl="0">
      <w:lvlJc w:val="left"/>
      <w:lvlText w:val="(%1)"/>
      <w:numFmt w:val="lowerLetter"/>
      <w:start w:val="6"/>
    </w:lvl>
  </w:abstractNum>
  <w:abstractNum w:abstractNumId="29">
    <w:nsid w:val="53584BCB"/>
    <w:multiLevelType w:val="hybridMultilevel"/>
    <w:lvl w:ilvl="0">
      <w:lvlJc w:val="left"/>
      <w:lvlText w:val="(%1)"/>
      <w:numFmt w:val="lowerRoman"/>
      <w:start w:val="1"/>
    </w:lvl>
  </w:abstractNum>
  <w:abstractNum w:abstractNumId="30">
    <w:nsid w:val="415E286C"/>
    <w:multiLevelType w:val="hybridMultilevel"/>
    <w:lvl w:ilvl="0">
      <w:lvlJc w:val="left"/>
      <w:lvlText w:val="(%1)"/>
      <w:numFmt w:val="lowerRoman"/>
      <w:start w:val="1"/>
    </w:lvl>
    <w:lvl w:ilvl="1">
      <w:lvlJc w:val="left"/>
      <w:lvlText w:val="(%2)"/>
      <w:numFmt w:val="decimal"/>
      <w:start w:val="1"/>
    </w:lvl>
  </w:abstractNum>
  <w:abstractNum w:abstractNumId="31">
    <w:nsid w:val="7C58FD05"/>
    <w:multiLevelType w:val="hybridMultilevel"/>
    <w:lvl w:ilvl="0">
      <w:lvlJc w:val="left"/>
      <w:lvlText w:val="(%1)"/>
      <w:numFmt w:val="lowerRoman"/>
      <w:start w:val="5"/>
    </w:lvl>
  </w:abstractNum>
  <w:abstractNum w:abstractNumId="32">
    <w:nsid w:val="23D86AAC"/>
    <w:multiLevelType w:val="hybridMultilevel"/>
    <w:lvl w:ilvl="0">
      <w:lvlJc w:val="left"/>
      <w:lvlText w:val="(%1)"/>
      <w:numFmt w:val="lowerLetter"/>
      <w:start w:val="2"/>
    </w:lvl>
  </w:abstractNum>
  <w:abstractNum w:abstractNumId="33">
    <w:nsid w:val="45E6D486"/>
    <w:multiLevelType w:val="hybridMultilevel"/>
    <w:lvl w:ilvl="0">
      <w:lvlJc w:val="left"/>
      <w:lvlText w:val="(%1)"/>
      <w:numFmt w:val="lowerLetter"/>
      <w:start w:val="5"/>
    </w:lvl>
  </w:abstractNum>
  <w:abstractNum w:abstractNumId="34">
    <w:nsid w:val="5C10FE21"/>
    <w:multiLevelType w:val="hybridMultilevel"/>
    <w:lvl w:ilvl="0">
      <w:lvlJc w:val="left"/>
      <w:lvlText w:val="(%1)"/>
      <w:numFmt w:val="lowerLetter"/>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1)"/>
      <w:numFmt w:val="lowerLetter"/>
      <w:start w:val="2"/>
    </w:lvl>
  </w:abstractNum>
  <w:abstractNum w:abstractNumId="37">
    <w:nsid w:val="4BD8591A"/>
    <w:multiLevelType w:val="hybridMultilevel"/>
    <w:lvl w:ilvl="0">
      <w:lvlJc w:val="left"/>
      <w:lvlText w:val="(%1)"/>
      <w:numFmt w:val="lowerLetter"/>
      <w:start w:val="3"/>
    </w:lvl>
  </w:abstractNum>
  <w:abstractNum w:abstractNumId="38">
    <w:nsid w:val="78DF6A55"/>
    <w:multiLevelType w:val="hybridMultilevel"/>
    <w:lvl w:ilvl="0">
      <w:lvlJc w:val="left"/>
      <w:lvlText w:val="(%1)"/>
      <w:numFmt w:val="lowerRoman"/>
      <w:start w:val="1"/>
    </w:lvl>
  </w:abstractNum>
  <w:abstractNum w:abstractNumId="39">
    <w:nsid w:val="39B7AAA2"/>
    <w:multiLevelType w:val="hybridMultilevel"/>
    <w:lvl w:ilvl="0">
      <w:lvlJc w:val="left"/>
      <w:lvlText w:val="(%1)"/>
      <w:numFmt w:val="lowerRoman"/>
      <w:start w:val="7"/>
    </w:lvl>
  </w:abstractNum>
  <w:abstractNum w:abstractNumId="40">
    <w:nsid w:val="2B0D8DBE"/>
    <w:multiLevelType w:val="hybridMultilevel"/>
    <w:lvl w:ilvl="0">
      <w:lvlJc w:val="left"/>
      <w:lvlText w:val="(%1)"/>
      <w:numFmt w:val="lowerLetter"/>
      <w:start w:val="3"/>
    </w:lvl>
  </w:abstractNum>
  <w:abstractNum w:abstractNumId="41">
    <w:nsid w:val="6C80EC70"/>
    <w:multiLevelType w:val="hybridMultilevel"/>
    <w:lvl w:ilvl="0">
      <w:lvlJc w:val="left"/>
      <w:lvlText w:val="(%1)"/>
      <w:numFmt w:val="lowerLetter"/>
      <w:start w:val="1"/>
    </w:lvl>
  </w:abstractNum>
  <w:abstractNum w:abstractNumId="42">
    <w:nsid w:val="379E21B5"/>
    <w:multiLevelType w:val="hybridMultilevel"/>
    <w:lvl w:ilvl="0">
      <w:lvlJc w:val="left"/>
      <w:lvlText w:val="(%1)"/>
      <w:numFmt w:val="lowerLetter"/>
      <w:start w:val="1"/>
    </w:lvl>
  </w:abstractNum>
  <w:abstractNum w:abstractNumId="43">
    <w:nsid w:val="69E373"/>
    <w:multiLevelType w:val="hybridMultilevel"/>
    <w:lvl w:ilvl="0">
      <w:lvlJc w:val="left"/>
      <w:lvlText w:val="(%1)"/>
      <w:numFmt w:val="lowerRoman"/>
      <w:start w:val="2"/>
    </w:lvl>
    <w:lvl w:ilvl="1">
      <w:lvlJc w:val="left"/>
      <w:lvlText w:val="(%2)"/>
      <w:numFmt w:val="lowerLetter"/>
      <w:start w:val="3"/>
    </w:lvl>
  </w:abstractNum>
  <w:abstractNum w:abstractNumId="44">
    <w:nsid w:val="2C27173B"/>
    <w:multiLevelType w:val="hybridMultilevel"/>
    <w:lvl w:ilvl="0">
      <w:lvlJc w:val="left"/>
      <w:lvlText w:val="(%1)"/>
      <w:numFmt w:val="lowerLetter"/>
      <w:start w:val="4"/>
    </w:lvl>
  </w:abstractNum>
  <w:abstractNum w:abstractNumId="45">
    <w:nsid w:val="4C9B0904"/>
    <w:multiLevelType w:val="hybridMultilevel"/>
    <w:lvl w:ilvl="0">
      <w:lvlJc w:val="left"/>
      <w:lvlText w:val="(%1)"/>
      <w:numFmt w:val="lowerLetter"/>
      <w:start w:val="1"/>
    </w:lvl>
  </w:abstractNum>
  <w:abstractNum w:abstractNumId="46">
    <w:nsid w:val="6AA7B75C"/>
    <w:multiLevelType w:val="hybridMultilevel"/>
    <w:lvl w:ilvl="0">
      <w:lvlJc w:val="left"/>
      <w:lvlText w:val="(%1)"/>
      <w:numFmt w:val="lowerLetter"/>
      <w:start w:val="25"/>
    </w:lvl>
    <w:lvl w:ilvl="1">
      <w:lvlJc w:val="left"/>
      <w:lvlText w:val="(%2)"/>
      <w:numFmt w:val="lowerLetter"/>
      <w:start w:val="5"/>
    </w:lvl>
  </w:abstractNum>
  <w:abstractNum w:abstractNumId="47">
    <w:nsid w:val="1DF029D3"/>
    <w:multiLevelType w:val="hybridMultilevel"/>
    <w:lvl w:ilvl="0">
      <w:lvlJc w:val="left"/>
      <w:lvlText w:val="(%1)"/>
      <w:numFmt w:val="lowerLetter"/>
      <w:start w:val="1"/>
    </w:lvl>
  </w:abstractNum>
  <w:abstractNum w:abstractNumId="48">
    <w:nsid w:val="5675FF36"/>
    <w:multiLevelType w:val="hybridMultilevel"/>
    <w:lvl w:ilvl="0">
      <w:lvlJc w:val="left"/>
      <w:lvlText w:val="(%1)"/>
      <w:numFmt w:val="lowerLetter"/>
      <w:start w:val="1"/>
    </w:lvl>
    <w:lvl w:ilvl="1">
      <w:lvlJc w:val="left"/>
      <w:lvlText w:val="(%2)"/>
      <w:numFmt w:val="lowerRoman"/>
      <w:start w:val="1"/>
    </w:lvl>
  </w:abstractNum>
  <w:abstractNum w:abstractNumId="49">
    <w:nsid w:val="3DD15094"/>
    <w:multiLevelType w:val="hybridMultilevel"/>
    <w:lvl w:ilvl="0">
      <w:lvlJc w:val="left"/>
      <w:lvlText w:val="%1"/>
      <w:numFmt w:val="lowerLetter"/>
      <w:start w:val="1"/>
    </w:lvl>
    <w:lvl w:ilvl="1">
      <w:lvlJc w:val="left"/>
      <w:lvlText w:val="(%2)"/>
      <w:numFmt w:val="lowerRoman"/>
      <w:start w:val="3"/>
    </w:lvl>
  </w:abstractNum>
  <w:abstractNum w:abstractNumId="50">
    <w:nsid w:val="3DB012B3"/>
    <w:multiLevelType w:val="hybridMultilevel"/>
    <w:lvl w:ilvl="0">
      <w:lvlJc w:val="left"/>
      <w:lvlText w:val="(%1)"/>
      <w:numFmt w:val="lowerLetter"/>
      <w:start w:val="3"/>
    </w:lvl>
    <w:lvl w:ilvl="1">
      <w:lvlJc w:val="left"/>
      <w:lvlText w:val="(%2)"/>
      <w:numFmt w:val="lowerRoman"/>
      <w:start w:val="1"/>
    </w:lvl>
  </w:abstractNum>
  <w:abstractNum w:abstractNumId="51">
    <w:nsid w:val="2708C9AF"/>
    <w:multiLevelType w:val="hybridMultilevel"/>
    <w:lvl w:ilvl="0">
      <w:lvlJc w:val="left"/>
      <w:lvlText w:val="%1"/>
      <w:numFmt w:val="lowerLetter"/>
      <w:start w:val="1"/>
    </w:lvl>
    <w:lvl w:ilvl="1">
      <w:lvlJc w:val="left"/>
      <w:lvlText w:val="(%2)"/>
      <w:numFmt w:val="lowerRoman"/>
      <w:start w:val="1"/>
    </w:lvl>
  </w:abstractNum>
  <w:abstractNum w:abstractNumId="52">
    <w:nsid w:val="5B25ACE2"/>
    <w:multiLevelType w:val="hybridMultilevel"/>
    <w:lvl w:ilvl="0">
      <w:lvlJc w:val="left"/>
      <w:lvlText w:val="(%1)"/>
      <w:numFmt w:val="lowerLetter"/>
      <w:start w:val="5"/>
    </w:lvl>
    <w:lvl w:ilvl="1">
      <w:lvlJc w:val="left"/>
      <w:lvlText w:val="%2"/>
      <w:numFmt w:val="lowerRoman"/>
      <w:start w:val="1"/>
    </w:lvl>
  </w:abstractNum>
  <w:abstractNum w:abstractNumId="53">
    <w:nsid w:val="175DFCF0"/>
    <w:multiLevelType w:val="hybridMultilevel"/>
    <w:lvl w:ilvl="0">
      <w:lvlJc w:val="left"/>
      <w:lvlText w:val="(%1)"/>
      <w:numFmt w:val="lowerLetter"/>
      <w:start w:val="1"/>
    </w:lvl>
  </w:abstractNum>
  <w:abstractNum w:abstractNumId="54">
    <w:nsid w:val="4F97E3E4"/>
    <w:multiLevelType w:val="hybridMultilevel"/>
    <w:lvl w:ilvl="0">
      <w:lvlJc w:val="left"/>
      <w:lvlText w:val="(%1)"/>
      <w:numFmt w:val="lowerLetter"/>
      <w:start w:val="1"/>
    </w:lvl>
    <w:lvl w:ilvl="1">
      <w:lvlJc w:val="left"/>
      <w:lvlText w:val="(%2)"/>
      <w:numFmt w:val="lowerRoman"/>
      <w:start w:val="1"/>
    </w:lvl>
  </w:abstractNum>
  <w:abstractNum w:abstractNumId="55">
    <w:nsid w:val="53B0A9E"/>
    <w:multiLevelType w:val="hybridMultilevel"/>
    <w:lvl w:ilvl="0">
      <w:lvlJc w:val="left"/>
      <w:lvlText w:val="(%1)"/>
      <w:numFmt w:val="lowerRoman"/>
      <w:start w:val="3"/>
    </w:lvl>
  </w:abstractNum>
  <w:abstractNum w:abstractNumId="56">
    <w:nsid w:val="34FD6B4F"/>
    <w:multiLevelType w:val="hybridMultilevel"/>
    <w:lvl w:ilvl="0">
      <w:lvlJc w:val="left"/>
      <w:lvlText w:val="(%1)"/>
      <w:numFmt w:val="lowerLetter"/>
      <w:start w:val="1"/>
    </w:lvl>
    <w:lvl w:ilvl="1">
      <w:lvlJc w:val="left"/>
      <w:lvlText w:val="(%2)"/>
      <w:numFmt w:val="lowerRoman"/>
      <w:start w:val="1"/>
    </w:lvl>
  </w:abstractNum>
  <w:abstractNum w:abstractNumId="57">
    <w:nsid w:val="5915FF32"/>
    <w:multiLevelType w:val="hybridMultilevel"/>
    <w:lvl w:ilvl="0">
      <w:lvlJc w:val="left"/>
      <w:lvlText w:val="(%1)"/>
      <w:numFmt w:val="lowerRoman"/>
      <w:start w:val="3"/>
    </w:lvl>
  </w:abstractNum>
  <w:abstractNum w:abstractNumId="58">
    <w:nsid w:val="56438D15"/>
    <w:multiLevelType w:val="hybridMultilevel"/>
    <w:lvl w:ilvl="0">
      <w:lvlJc w:val="left"/>
      <w:lvlText w:val="%1"/>
      <w:numFmt w:val="lowerLetter"/>
      <w:start w:val="1"/>
    </w:lvl>
    <w:lvl w:ilvl="1">
      <w:lvlJc w:val="left"/>
      <w:lvlText w:val="(%2)"/>
      <w:numFmt w:val="lowerRoman"/>
      <w:start w:val="7"/>
    </w:lvl>
  </w:abstractNum>
  <w:abstractNum w:abstractNumId="59">
    <w:nsid w:val="519E3149"/>
    <w:multiLevelType w:val="hybridMultilevel"/>
    <w:lvl w:ilvl="0">
      <w:lvlJc w:val="left"/>
      <w:lvlText w:val="(%1)"/>
      <w:numFmt w:val="lowerLetter"/>
      <w:start w:val="3"/>
    </w:lvl>
    <w:lvl w:ilvl="1">
      <w:lvlJc w:val="left"/>
      <w:lvlText w:val="%2"/>
      <w:numFmt w:val="lowerRoman"/>
      <w:start w:val="1"/>
    </w:lvl>
  </w:abstractNum>
  <w:abstractNum w:abstractNumId="60">
    <w:nsid w:val="2C6E4AFD"/>
    <w:multiLevelType w:val="hybridMultilevel"/>
    <w:lvl w:ilvl="0">
      <w:lvlJc w:val="left"/>
      <w:lvlText w:val="(%1)"/>
      <w:numFmt w:val="lowerLetter"/>
      <w:start w:val="1"/>
    </w:lvl>
  </w:abstractNum>
  <w:abstractNum w:abstractNumId="61">
    <w:nsid w:val="17A1B582"/>
    <w:multiLevelType w:val="hybridMultilevel"/>
    <w:lvl w:ilvl="0">
      <w:lvlJc w:val="left"/>
      <w:lvlText w:val="(%1)"/>
      <w:numFmt w:val="lowerLetter"/>
      <w:start w:val="2"/>
    </w:lvl>
  </w:abstractNum>
  <w:abstractNum w:abstractNumId="62">
    <w:nsid w:val="4DF72E4E"/>
    <w:multiLevelType w:val="hybridMultilevel"/>
    <w:lvl w:ilvl="0">
      <w:lvlJc w:val="left"/>
      <w:lvlText w:val="(%1)"/>
      <w:numFmt w:val="lowerLetter"/>
      <w:start w:val="1"/>
    </w:lvl>
  </w:abstractNum>
  <w:abstractNum w:abstractNumId="63">
    <w:nsid w:val="5046B5A9"/>
    <w:multiLevelType w:val="hybridMultilevel"/>
    <w:lvl w:ilvl="0">
      <w:lvlJc w:val="left"/>
      <w:lvlText w:val="(%1)"/>
      <w:numFmt w:val="lowerLetter"/>
      <w:start w:val="2"/>
    </w:lvl>
  </w:abstractNum>
  <w:abstractNum w:abstractNumId="64">
    <w:nsid w:val="5D888A08"/>
    <w:multiLevelType w:val="hybridMultilevel"/>
    <w:lvl w:ilvl="0">
      <w:lvlJc w:val="left"/>
      <w:lvlText w:val="(%1)"/>
      <w:numFmt w:val="lowerLetter"/>
      <w:start w:val="6"/>
    </w:lvl>
    <w:lvl w:ilvl="1">
      <w:lvlJc w:val="left"/>
      <w:lvlText w:val="(%2)"/>
      <w:numFmt w:val="lowerRoman"/>
      <w:start w:val="1"/>
    </w:lvl>
  </w:abstractNum>
  <w:abstractNum w:abstractNumId="65">
    <w:nsid w:val="2A082C70"/>
    <w:multiLevelType w:val="hybridMultilevel"/>
    <w:lvl w:ilvl="0">
      <w:lvlJc w:val="left"/>
      <w:lvlText w:val="%1"/>
      <w:numFmt w:val="lowerLetter"/>
      <w:start w:val="1"/>
    </w:lvl>
    <w:lvl w:ilvl="1">
      <w:lvlJc w:val="left"/>
      <w:lvlText w:val="(%2)"/>
      <w:numFmt w:val="lowerRoman"/>
      <w:start w:val="7"/>
    </w:lvl>
  </w:abstractNum>
  <w:abstractNum w:abstractNumId="66">
    <w:nsid w:val="5EC6AFD4"/>
    <w:multiLevelType w:val="hybridMultilevel"/>
    <w:lvl w:ilvl="0">
      <w:lvlJc w:val="left"/>
      <w:lvlText w:val="(%1)"/>
      <w:numFmt w:val="lowerLetter"/>
      <w:start w:val="8"/>
    </w:lvl>
    <w:lvl w:ilvl="1">
      <w:lvlJc w:val="left"/>
      <w:lvlText w:val="%2"/>
      <w:numFmt w:val="lowerRoman"/>
      <w:start w:val="1"/>
    </w:lvl>
  </w:abstractNum>
  <w:abstractNum w:abstractNumId="67">
    <w:nsid w:val="19E21BB2"/>
    <w:multiLevelType w:val="hybridMultilevel"/>
    <w:lvl w:ilvl="0">
      <w:lvlJc w:val="left"/>
      <w:lvlText w:val="(%1)"/>
      <w:numFmt w:val="lowerLetter"/>
      <w:start w:val="9"/>
    </w:lvl>
  </w:abstractNum>
  <w:abstractNum w:abstractNumId="68">
    <w:nsid w:val="75E0858A"/>
    <w:multiLevelType w:val="hybridMultilevel"/>
    <w:lvl w:ilvl="0">
      <w:lvlJc w:val="left"/>
      <w:lvlText w:val="%1"/>
      <w:numFmt w:val="lowerLetter"/>
      <w:start w:val="1"/>
    </w:lvl>
    <w:lvl w:ilvl="1">
      <w:lvlJc w:val="left"/>
      <w:lvlText w:val="(%2)"/>
      <w:numFmt w:val="lowerLetter"/>
      <w:start w:val="1"/>
    </w:lvl>
  </w:abstractNum>
  <w:abstractNum w:abstractNumId="69">
    <w:nsid w:val="57A61A29"/>
    <w:multiLevelType w:val="hybridMultilevel"/>
    <w:lvl w:ilvl="0">
      <w:lvlJc w:val="left"/>
      <w:lvlText w:val="(%1)"/>
      <w:numFmt w:val="lowerLetter"/>
      <w:start w:val="61"/>
    </w:lvl>
    <w:lvl w:ilvl="1">
      <w:lvlJc w:val="left"/>
      <w:lvlText w:val="%2"/>
      <w:numFmt w:val="lowerLetter"/>
      <w:start w:val="1"/>
    </w:lvl>
  </w:abstractNum>
  <w:abstractNum w:abstractNumId="70">
    <w:nsid w:val="5399C654"/>
    <w:multiLevelType w:val="hybridMultilevel"/>
    <w:lvl w:ilvl="0">
      <w:lvlJc w:val="left"/>
      <w:lvlText w:val="(%1)"/>
      <w:numFmt w:val="lowerLetter"/>
      <w:start w:val="3"/>
    </w:lvl>
  </w:abstractNum>
  <w:abstractNum w:abstractNumId="71">
    <w:nsid w:val="20EE1348"/>
    <w:multiLevelType w:val="hybridMultilevel"/>
    <w:lvl w:ilvl="0">
      <w:lvlJc w:val="left"/>
      <w:lvlText w:val="%1"/>
      <w:numFmt w:val="lowerLetter"/>
      <w:start w:val="1"/>
    </w:lvl>
    <w:lvl w:ilvl="1">
      <w:lvlJc w:val="left"/>
      <w:lvlText w:val="(%2)"/>
      <w:numFmt w:val="lowerLetter"/>
      <w:start w:val="1"/>
    </w:lvl>
  </w:abstractNum>
  <w:abstractNum w:abstractNumId="72">
    <w:nsid w:val="4427069A"/>
    <w:multiLevelType w:val="hybridMultilevel"/>
    <w:lvl w:ilvl="0">
      <w:lvlJc w:val="left"/>
      <w:lvlText w:val="(%1)"/>
      <w:numFmt w:val="lowerLetter"/>
      <w:start w:val="22"/>
    </w:lvl>
    <w:lvl w:ilvl="1">
      <w:lvlJc w:val="left"/>
      <w:lvlText w:val="(%2)"/>
      <w:numFmt w:val="lowerLetter"/>
      <w:start w:val="2"/>
    </w:lvl>
  </w:abstractNum>
  <w:abstractNum w:abstractNumId="73">
    <w:nsid w:val="B37E80A"/>
    <w:multiLevelType w:val="hybridMultilevel"/>
    <w:lvl w:ilvl="0">
      <w:lvlJc w:val="left"/>
      <w:lvlText w:val="(%1)"/>
      <w:numFmt w:val="lowerLetter"/>
      <w:start w:val="1"/>
    </w:lvl>
  </w:abstractNum>
  <w:abstractNum w:abstractNumId="74">
    <w:nsid w:val="2157F6BC"/>
    <w:multiLevelType w:val="hybridMultilevel"/>
    <w:lvl w:ilvl="0">
      <w:lvlJc w:val="left"/>
      <w:lvlText w:val="(%1)"/>
      <w:numFmt w:val="lowerLetter"/>
      <w:start w:val="1"/>
    </w:lvl>
  </w:abstractNum>
  <w:abstractNum w:abstractNumId="75">
    <w:nsid w:val="704E1DD5"/>
    <w:multiLevelType w:val="hybridMultilevel"/>
    <w:lvl w:ilvl="0">
      <w:lvlJc w:val="left"/>
      <w:lvlText w:val="(%1)"/>
      <w:numFmt w:val="lowerLetter"/>
      <w:start w:val="3"/>
    </w:lvl>
  </w:abstractNum>
  <w:abstractNum w:abstractNumId="76">
    <w:nsid w:val="57D2F10E"/>
    <w:multiLevelType w:val="hybridMultilevel"/>
    <w:lvl w:ilvl="0">
      <w:lvlJc w:val="left"/>
      <w:lvlText w:val="(%1)"/>
      <w:numFmt w:val="lowerLetter"/>
      <w:start w:val="8"/>
    </w:lvl>
  </w:abstractNum>
  <w:abstractNum w:abstractNumId="77">
    <w:nsid w:val="BFFAE18"/>
    <w:multiLevelType w:val="hybridMultilevel"/>
    <w:lvl w:ilvl="0">
      <w:lvlJc w:val="left"/>
      <w:lvlText w:val="%1"/>
      <w:numFmt w:val="lowerLetter"/>
      <w:start w:val="1"/>
    </w:lvl>
    <w:lvl w:ilvl="1">
      <w:lvlJc w:val="left"/>
      <w:lvlText w:val="(%2)"/>
      <w:numFmt w:val="lowerLetter"/>
      <w:start w:val="1"/>
    </w:lvl>
  </w:abstractNum>
  <w:abstractNum w:abstractNumId="78">
    <w:nsid w:val="E3E47A8"/>
    <w:multiLevelType w:val="hybridMultilevel"/>
    <w:lvl w:ilvl="0">
      <w:lvlJc w:val="left"/>
      <w:lvlText w:val="(%1)"/>
      <w:numFmt w:val="lowerLetter"/>
      <w:start w:val="61"/>
    </w:lvl>
    <w:lvl w:ilvl="1">
      <w:lvlJc w:val="left"/>
      <w:lvlText w:val="%2"/>
      <w:numFmt w:val="lowerLetter"/>
      <w:start w:val="1"/>
    </w:lvl>
  </w:abstractNum>
  <w:abstractNum w:abstractNumId="79">
    <w:nsid w:val="2E48F044"/>
    <w:multiLevelType w:val="hybridMultilevel"/>
    <w:lvl w:ilvl="0">
      <w:lvlJc w:val="left"/>
      <w:lvlText w:val="(%1)"/>
      <w:numFmt w:val="lowerLetter"/>
      <w:start w:val="2"/>
    </w:lvl>
  </w:abstractNum>
  <w:abstractNum w:abstractNumId="80">
    <w:nsid w:val="49D0FEAC"/>
    <w:multiLevelType w:val="hybridMultilevel"/>
    <w:lvl w:ilvl="0">
      <w:lvlJc w:val="left"/>
      <w:lvlText w:val="(%1)"/>
      <w:numFmt w:val="lowerLetter"/>
      <w:start w:val="10"/>
    </w:lvl>
  </w:abstractNum>
  <w:abstractNum w:abstractNumId="81">
    <w:nsid w:val="4BEE5A5B"/>
    <w:multiLevelType w:val="hybridMultilevel"/>
    <w:lvl w:ilvl="0">
      <w:lvlJc w:val="left"/>
      <w:lvlText w:val="(%1)"/>
      <w:numFmt w:val="lowerLetter"/>
      <w:start w:val="1"/>
    </w:lvl>
  </w:abstractNum>
  <w:abstractNum w:abstractNumId="82">
    <w:nsid w:val="5551B9F3"/>
    <w:multiLevelType w:val="hybridMultilevel"/>
    <w:lvl w:ilvl="0">
      <w:lvlJc w:val="left"/>
      <w:lvlText w:val="(%1)"/>
      <w:numFmt w:val="lowerLetter"/>
      <w:start w:val="1"/>
    </w:lvl>
  </w:abstractNum>
  <w:abstractNum w:abstractNumId="83">
    <w:nsid w:val="24F6AB8E"/>
    <w:multiLevelType w:val="hybridMultilevel"/>
    <w:lvl w:ilvl="0">
      <w:lvlJc w:val="left"/>
      <w:lvlText w:val="%1"/>
      <w:numFmt w:val="lowerLetter"/>
      <w:start w:val="1"/>
    </w:lvl>
    <w:lvl w:ilvl="1">
      <w:lvlJc w:val="left"/>
      <w:lvlText w:val="(%2)"/>
      <w:numFmt w:val="lowerLetter"/>
      <w:start w:val="1"/>
    </w:lvl>
  </w:abstractNum>
  <w:abstractNum w:abstractNumId="84">
    <w:nsid w:val="634C574C"/>
    <w:multiLevelType w:val="hybridMultilevel"/>
    <w:lvl w:ilvl="0">
      <w:lvlJc w:val="left"/>
      <w:lvlText w:val="(%1)"/>
      <w:numFmt w:val="lowerLetter"/>
      <w:start w:val="9"/>
    </w:lvl>
    <w:lvl w:ilvl="1">
      <w:lvlJc w:val="left"/>
      <w:lvlText w:val="%2"/>
      <w:numFmt w:val="lowerLetter"/>
      <w:start w:val="1"/>
    </w:lvl>
  </w:abstractNum>
  <w:abstractNum w:abstractNumId="85">
    <w:nsid w:val="24E99DD7"/>
    <w:multiLevelType w:val="hybridMultilevel"/>
    <w:lvl w:ilvl="0">
      <w:lvlJc w:val="left"/>
      <w:lvlText w:val="(%1)"/>
      <w:numFmt w:val="lowerLetter"/>
      <w:start w:val="1"/>
    </w:lvl>
  </w:abstractNum>
  <w:abstractNum w:abstractNumId="86">
    <w:nsid w:val="2A31B62D"/>
    <w:multiLevelType w:val="hybridMultilevel"/>
    <w:lvl w:ilvl="0">
      <w:lvlJc w:val="left"/>
      <w:lvlText w:val="(%1)"/>
      <w:numFmt w:val="lowerLetter"/>
      <w:start w:val="2"/>
    </w:lvl>
  </w:abstractNum>
  <w:abstractNum w:abstractNumId="87">
    <w:nsid w:val="1849C29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8">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89">
    <w:nsid w:val="754342"/>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90">
    <w:nsid w:val="69E7F3E5"/>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91">
    <w:nsid w:val="2A6DE806"/>
    <w:multiLevelType w:val="hybridMultilevel"/>
    <w:lvl w:ilvl="0">
      <w:lvlJc w:val="left"/>
      <w:lvlText w:val="(%1)"/>
      <w:numFmt w:val="lowerRoman"/>
      <w:start w:val="2"/>
    </w:lvl>
  </w:abstractNum>
  <w:abstractNum w:abstractNumId="92">
    <w:nsid w:val="1816F8C4"/>
    <w:multiLevelType w:val="hybridMultilevel"/>
    <w:lvl w:ilvl="0">
      <w:lvlJc w:val="left"/>
      <w:lvlText w:val="(%1)"/>
      <w:numFmt w:val="lowerRoman"/>
      <w:start w:val="3"/>
    </w:lvl>
  </w:abstractNum>
  <w:abstractNum w:abstractNumId="93">
    <w:nsid w:val="37DF2233"/>
    <w:multiLevelType w:val="hybridMultilevel"/>
    <w:lvl w:ilvl="0">
      <w:lvlJc w:val="left"/>
      <w:lvlText w:val="(%1)"/>
      <w:numFmt w:val="lowerLetter"/>
      <w:start w:val="3"/>
    </w:lvl>
  </w:abstractNum>
  <w:abstractNum w:abstractNumId="94">
    <w:nsid w:val="7AB49DAF"/>
    <w:multiLevelType w:val="hybridMultilevel"/>
    <w:lvl w:ilvl="0">
      <w:lvlJc w:val="left"/>
      <w:lvlText w:val="(%1)"/>
      <w:numFmt w:val="lowerRoman"/>
      <w:start w:val="1"/>
    </w:lvl>
  </w:abstractNum>
  <w:abstractNum w:abstractNumId="95">
    <w:nsid w:val="759F82CD"/>
    <w:multiLevelType w:val="hybridMultilevel"/>
    <w:lvl w:ilvl="0">
      <w:lvlJc w:val="left"/>
      <w:lvlText w:val="(%1)"/>
      <w:numFmt w:val="lowerLetter"/>
      <w:start w:val="1"/>
    </w:lvl>
  </w:abstractNum>
  <w:abstractNum w:abstractNumId="96">
    <w:nsid w:val="61E74EA3"/>
    <w:multiLevelType w:val="hybridMultilevel"/>
    <w:lvl w:ilvl="0">
      <w:lvlJc w:val="left"/>
      <w:lvlText w:val="(%1)"/>
      <w:numFmt w:val="lowerLetter"/>
      <w:start w:val="1"/>
    </w:lvl>
  </w:abstractNum>
  <w:abstractNum w:abstractNumId="97">
    <w:nsid w:val="597B4D84"/>
    <w:multiLevelType w:val="hybridMultilevel"/>
    <w:lvl w:ilvl="0">
      <w:lvlJc w:val="left"/>
      <w:lvlText w:val="(%1)"/>
      <w:numFmt w:val="lowerLetter"/>
      <w:start w:val="4"/>
    </w:lvl>
  </w:abstractNum>
  <w:abstractNum w:abstractNumId="98">
    <w:nsid w:val="F819E7F"/>
    <w:multiLevelType w:val="hybridMultilevel"/>
    <w:lvl w:ilvl="0">
      <w:lvlJc w:val="left"/>
      <w:lvlText w:val="(%1)"/>
      <w:numFmt w:val="lowerLetter"/>
      <w:start w:val="1"/>
    </w:lvl>
  </w:abstractNum>
  <w:abstractNum w:abstractNumId="99">
    <w:nsid w:val="57C7D42D"/>
    <w:multiLevelType w:val="hybridMultilevel"/>
    <w:lvl w:ilvl="0">
      <w:lvlJc w:val="left"/>
      <w:lvlText w:val="(%1)"/>
      <w:numFmt w:val="lowerLetter"/>
      <w:start w:val="4"/>
    </w:lvl>
  </w:abstractNum>
  <w:abstractNum w:abstractNumId="100">
    <w:nsid w:val="312167AD"/>
    <w:multiLevelType w:val="hybridMultilevel"/>
    <w:lvl w:ilvl="0">
      <w:lvlJc w:val="left"/>
      <w:lvlText w:val="(%1)"/>
      <w:numFmt w:val="lowerLetter"/>
      <w:start w:val="1"/>
    </w:lvl>
  </w:abstractNum>
  <w:abstractNum w:abstractNumId="101">
    <w:nsid w:val="631B64D4"/>
    <w:multiLevelType w:val="hybridMultilevel"/>
    <w:lvl w:ilvl="0">
      <w:lvlJc w:val="left"/>
      <w:lvlText w:val="%1"/>
      <w:numFmt w:val="lowerLetter"/>
      <w:start w:val="1"/>
    </w:lvl>
    <w:lvl w:ilvl="1">
      <w:lvlJc w:val="left"/>
      <w:lvlText w:val="(%2)"/>
      <w:numFmt w:val="lowerLetter"/>
      <w:start w:val="1"/>
    </w:lvl>
  </w:abstractNum>
  <w:abstractNum w:abstractNumId="102">
    <w:nsid w:val="78B5E776"/>
    <w:multiLevelType w:val="hybridMultilevel"/>
    <w:lvl w:ilvl="0">
      <w:lvlJc w:val="left"/>
      <w:lvlText w:val="(%1)"/>
      <w:numFmt w:val="lowerLetter"/>
      <w:start w:val="35"/>
    </w:lvl>
    <w:lvl w:ilvl="1">
      <w:lvlJc w:val="left"/>
      <w:lvlText w:val="%2"/>
      <w:numFmt w:val="lowerLetter"/>
      <w:start w:val="1"/>
    </w:lvl>
  </w:abstractNum>
  <w:abstractNum w:abstractNumId="103">
    <w:nsid w:val="75486E47"/>
    <w:multiLevelType w:val="hybridMultilevel"/>
    <w:lvl w:ilvl="0">
      <w:lvlJc w:val="left"/>
      <w:lvlText w:val="(%1)"/>
      <w:numFmt w:val="lowerLetter"/>
      <w:start w:val="1"/>
    </w:lvl>
    <w:lvl w:ilvl="1">
      <w:lvlJc w:val="left"/>
      <w:lvlText w:val="(%2)"/>
      <w:numFmt w:val="lowerRoman"/>
      <w:start w:val="1"/>
    </w:lvl>
  </w:abstractNum>
  <w:abstractNum w:abstractNumId="104">
    <w:nsid w:val="6E534CDE"/>
    <w:multiLevelType w:val="hybridMultilevel"/>
    <w:lvl w:ilvl="0">
      <w:lvlJc w:val="left"/>
      <w:lvlText w:val="(%1)"/>
      <w:numFmt w:val="lowerLetter"/>
      <w:start w:val="2"/>
    </w:lvl>
    <w:lvl w:ilvl="1">
      <w:lvlJc w:val="left"/>
      <w:lvlText w:val="(%2)"/>
      <w:numFmt w:val="lowerRoman"/>
      <w:start w:val="1"/>
    </w:lvl>
  </w:abstractNum>
  <w:abstractNum w:abstractNumId="105">
    <w:nsid w:val="1A0DDE32"/>
    <w:multiLevelType w:val="hybridMultilevel"/>
    <w:lvl w:ilvl="0">
      <w:lvlJc w:val="left"/>
      <w:lvlText w:val="(%1)"/>
      <w:numFmt w:val="lowerRoman"/>
      <w:start w:val="1"/>
    </w:lvl>
  </w:abstractNum>
  <w:abstractNum w:abstractNumId="106">
    <w:nsid w:val="65968C1C"/>
    <w:multiLevelType w:val="hybridMultilevel"/>
    <w:lvl w:ilvl="0">
      <w:lvlJc w:val="left"/>
      <w:lvlText w:val="(%1)"/>
      <w:numFmt w:val="lowerLetter"/>
      <w:start w:val="4"/>
    </w:lvl>
  </w:abstractNum>
  <w:abstractNum w:abstractNumId="107">
    <w:nsid w:val="46263DEC"/>
    <w:multiLevelType w:val="hybridMultilevel"/>
    <w:lvl w:ilvl="0">
      <w:lvlJc w:val="left"/>
      <w:lvlText w:val="%1"/>
      <w:numFmt w:val="lowerLetter"/>
      <w:start w:val="1"/>
    </w:lvl>
    <w:lvl w:ilvl="1">
      <w:lvlJc w:val="left"/>
      <w:lvlText w:val="(%2)"/>
      <w:numFmt w:val="lowerLetter"/>
      <w:start w:val="1"/>
    </w:lvl>
  </w:abstractNum>
  <w:abstractNum w:abstractNumId="108">
    <w:nsid w:val="260D8C4A"/>
    <w:multiLevelType w:val="hybridMultilevel"/>
    <w:lvl w:ilvl="0">
      <w:lvlJc w:val="left"/>
      <w:lvlText w:val="(%1)"/>
      <w:numFmt w:val="lowerLetter"/>
      <w:start w:val="61"/>
    </w:lvl>
    <w:lvl w:ilvl="1">
      <w:lvlJc w:val="left"/>
      <w:lvlText w:val="(%2)"/>
      <w:numFmt w:val="lowerLetter"/>
      <w:start w:val="2"/>
    </w:lvl>
  </w:abstractNum>
  <w:abstractNum w:abstractNumId="109">
    <w:nsid w:val="73D4D3C4"/>
    <w:multiLevelType w:val="hybridMultilevel"/>
    <w:lvl w:ilvl="0">
      <w:lvlJc w:val="left"/>
      <w:lvlText w:val="(%1)"/>
      <w:numFmt w:val="lowerLetter"/>
      <w:start w:val="1"/>
    </w:lvl>
  </w:abstractNum>
  <w:abstractNum w:abstractNumId="110">
    <w:nsid w:val="746F2E30"/>
    <w:multiLevelType w:val="hybridMultilevel"/>
    <w:lvl w:ilvl="0">
      <w:lvlJc w:val="left"/>
      <w:lvlText w:val="(%1)"/>
      <w:numFmt w:val="lowerLetter"/>
      <w:start w:val="5"/>
    </w:lvl>
  </w:abstractNum>
  <w:abstractNum w:abstractNumId="111">
    <w:nsid w:val="6FDE8AF6"/>
    <w:multiLevelType w:val="hybridMultilevel"/>
    <w:lvl w:ilvl="0">
      <w:lvlJc w:val="left"/>
      <w:lvlText w:val="(%1)"/>
      <w:numFmt w:val="lowerLetter"/>
      <w:start w:val="1"/>
    </w:lvl>
  </w:abstractNum>
  <w:abstractNum w:abstractNumId="112">
    <w:nsid w:val="3FC32E20"/>
    <w:multiLevelType w:val="hybridMultilevel"/>
    <w:lvl w:ilvl="0">
      <w:lvlJc w:val="left"/>
      <w:lvlText w:val="(%1)"/>
      <w:numFmt w:val="lowerLetter"/>
      <w:start w:val="1"/>
    </w:lvl>
  </w:abstractNum>
  <w:abstractNum w:abstractNumId="113">
    <w:nsid w:val="49C0E823"/>
    <w:multiLevelType w:val="hybridMultilevel"/>
    <w:lvl w:ilvl="0">
      <w:lvlJc w:val="left"/>
      <w:lvlText w:val="(%1)"/>
      <w:numFmt w:val="lowerLetter"/>
      <w:start w:val="4"/>
    </w:lvl>
  </w:abstractNum>
  <w:abstractNum w:abstractNumId="114">
    <w:nsid w:val="14D53685"/>
    <w:multiLevelType w:val="hybridMultilevel"/>
    <w:lvl w:ilvl="0">
      <w:lvlJc w:val="left"/>
      <w:lvlText w:val="(%1)"/>
      <w:numFmt w:val="lowerLetter"/>
      <w:start w:val="1"/>
    </w:lvl>
  </w:abstractNum>
  <w:abstractNum w:abstractNumId="115">
    <w:nsid w:val="230F856C"/>
    <w:multiLevelType w:val="hybridMultilevel"/>
    <w:lvl w:ilvl="0">
      <w:lvlJc w:val="left"/>
      <w:lvlText w:val="(%1)"/>
      <w:numFmt w:val="lowerLetter"/>
      <w:start w:val="4"/>
    </w:lvl>
  </w:abstractNum>
  <w:abstractNum w:abstractNumId="116">
    <w:nsid w:val="6EAA85FB"/>
    <w:multiLevelType w:val="hybridMultilevel"/>
    <w:lvl w:ilvl="0">
      <w:lvlJc w:val="left"/>
      <w:lvlText w:val="(%1)"/>
      <w:numFmt w:val="lowerLetter"/>
      <w:start w:val="1"/>
    </w:lvl>
    <w:lvl w:ilvl="1">
      <w:lvlJc w:val="left"/>
      <w:lvlText w:val="(%2)"/>
      <w:numFmt w:val="lowerRoman"/>
      <w:start w:val="1"/>
    </w:lvl>
  </w:abstractNum>
  <w:abstractNum w:abstractNumId="117">
    <w:nsid w:val="3F06ECB2"/>
    <w:multiLevelType w:val="hybridMultilevel"/>
    <w:lvl w:ilvl="0">
      <w:lvlJc w:val="left"/>
      <w:lvlText w:val="(%1)"/>
      <w:numFmt w:val="lowerLetter"/>
      <w:start w:val="2"/>
    </w:lvl>
  </w:abstractNum>
  <w:abstractNum w:abstractNumId="118">
    <w:nsid w:val="3B594807"/>
    <w:multiLevelType w:val="hybridMultilevel"/>
    <w:lvl w:ilvl="0">
      <w:lvlJc w:val="left"/>
      <w:lvlText w:val="(%1)"/>
      <w:numFmt w:val="lowerRoman"/>
      <w:start w:val="1"/>
    </w:lvl>
  </w:abstractNum>
  <w:abstractNum w:abstractNumId="119">
    <w:nsid w:val="6CAA2304"/>
    <w:multiLevelType w:val="hybridMultilevel"/>
    <w:lvl w:ilvl="0">
      <w:lvlJc w:val="left"/>
      <w:lvlText w:val="(%1)"/>
      <w:numFmt w:val="lowerLetter"/>
      <w:start w:val="1"/>
    </w:lvl>
  </w:abstractNum>
  <w:abstractNum w:abstractNumId="120">
    <w:nsid w:val="3F7C2FF4"/>
    <w:multiLevelType w:val="hybridMultilevel"/>
    <w:lvl w:ilvl="0">
      <w:lvlJc w:val="left"/>
      <w:lvlText w:val="(%1)"/>
      <w:numFmt w:val="lowerLetter"/>
      <w:start w:val="3"/>
    </w:lvl>
  </w:abstractNum>
  <w:abstractNum w:abstractNumId="121">
    <w:nsid w:val="25413BEC"/>
    <w:multiLevelType w:val="hybridMultilevel"/>
    <w:lvl w:ilvl="0">
      <w:lvlJc w:val="left"/>
      <w:lvlText w:val="(%1)"/>
      <w:numFmt w:val="lowerLetter"/>
      <w:start w:val="1"/>
    </w:lvl>
  </w:abstractNum>
  <w:abstractNum w:abstractNumId="122">
    <w:nsid w:val="17180B0B"/>
    <w:multiLevelType w:val="hybridMultilevel"/>
    <w:lvl w:ilvl="0">
      <w:lvlJc w:val="left"/>
      <w:lvlText w:val="(%1)"/>
      <w:numFmt w:val="lowerLetter"/>
      <w:start w:val="2"/>
    </w:lvl>
  </w:abstractNum>
  <w:abstractNum w:abstractNumId="123">
    <w:nsid w:val="579328B9"/>
    <w:multiLevelType w:val="hybridMultilevel"/>
    <w:lvl w:ilvl="0">
      <w:lvlJc w:val="left"/>
      <w:lvlText w:val="(%1)"/>
      <w:numFmt w:val="lowerLetter"/>
      <w:start w:val="1"/>
    </w:lvl>
  </w:abstractNum>
  <w:abstractNum w:abstractNumId="124">
    <w:nsid w:val="5D205E20"/>
    <w:multiLevelType w:val="hybridMultilevel"/>
    <w:lvl w:ilvl="0">
      <w:lvlJc w:val="left"/>
      <w:lvlText w:val="(%1)"/>
      <w:numFmt w:val="lowerRoman"/>
      <w:start w:val="1"/>
    </w:lvl>
    <w:lvl w:ilvl="1">
      <w:lvlJc w:val="left"/>
      <w:lvlText w:val="(%2)"/>
      <w:numFmt w:val="decimal"/>
      <w:start w:val="1"/>
    </w:lvl>
  </w:abstractNum>
  <w:abstractNum w:abstractNumId="125">
    <w:nsid w:val="11CCA8BA"/>
    <w:multiLevelType w:val="hybridMultilevel"/>
    <w:lvl w:ilvl="0">
      <w:lvlJc w:val="left"/>
      <w:lvlText w:val="(%1)"/>
      <w:numFmt w:val="lowerRoman"/>
      <w:start w:val="4"/>
    </w:lvl>
  </w:abstractNum>
  <w:abstractNum w:abstractNumId="126">
    <w:nsid w:val="4D32AB86"/>
    <w:multiLevelType w:val="hybridMultilevel"/>
    <w:lvl w:ilvl="0">
      <w:lvlJc w:val="left"/>
      <w:lvlText w:val="(%1)"/>
      <w:numFmt w:val="lowerLetter"/>
      <w:start w:val="1"/>
    </w:lvl>
  </w:abstractNum>
  <w:abstractNum w:abstractNumId="127">
    <w:nsid w:val="3F07ACC3"/>
    <w:multiLevelType w:val="hybridMultilevel"/>
    <w:lvl w:ilvl="0">
      <w:lvlJc w:val="left"/>
      <w:lvlText w:val="(%1)"/>
      <w:numFmt w:val="lowerLetter"/>
      <w:start w:val="1"/>
    </w:lvl>
  </w:abstractNum>
  <w:abstractNum w:abstractNumId="128">
    <w:nsid w:val="6B47F63E"/>
    <w:multiLevelType w:val="hybridMultilevel"/>
    <w:lvl w:ilvl="0">
      <w:lvlJc w:val="left"/>
      <w:lvlText w:val="(%1)"/>
      <w:numFmt w:val="lowerLetter"/>
      <w:start w:val="1"/>
    </w:lvl>
  </w:abstractNum>
  <w:abstractNum w:abstractNumId="129">
    <w:nsid w:val="5CB44A05"/>
    <w:multiLevelType w:val="hybridMultilevel"/>
    <w:lvl w:ilvl="0">
      <w:lvlJc w:val="left"/>
      <w:lvlText w:val="(%1)"/>
      <w:numFmt w:val="lowerLetter"/>
      <w:start w:val="1"/>
    </w:lvl>
    <w:lvl w:ilvl="1">
      <w:lvlJc w:val="left"/>
      <w:lvlText w:val="(%2)"/>
      <w:numFmt w:val="lowerRoman"/>
      <w:start w:val="1"/>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Letter"/>
      <w:start w:val="3"/>
    </w:lvl>
  </w:abstractNum>
  <w:abstractNum w:abstractNumId="132">
    <w:nsid w:val="3FCFAED9"/>
    <w:multiLevelType w:val="hybridMultilevel"/>
    <w:lvl w:ilvl="0">
      <w:lvlJc w:val="left"/>
      <w:lvlText w:val="(%1)"/>
      <w:numFmt w:val="lowerLetter"/>
      <w:start w:val="7"/>
    </w:lvl>
  </w:abstractNum>
  <w:abstractNum w:abstractNumId="133">
    <w:nsid w:val="F856867"/>
    <w:multiLevelType w:val="hybridMultilevel"/>
    <w:lvl w:ilvl="0">
      <w:lvlJc w:val="left"/>
      <w:lvlText w:val="(%1)"/>
      <w:numFmt w:val="lowerLetter"/>
      <w:start w:val="1"/>
    </w:lvl>
  </w:abstractNum>
  <w:abstractNum w:abstractNumId="134">
    <w:nsid w:val="11B1CC33"/>
    <w:multiLevelType w:val="hybridMultilevel"/>
    <w:lvl w:ilvl="0">
      <w:lvlJc w:val="left"/>
      <w:lvlText w:val="%1"/>
      <w:numFmt w:val="upperLetter"/>
      <w:start w:val="1"/>
    </w:lvl>
    <w:lvl w:ilvl="1">
      <w:lvlJc w:val="left"/>
      <w:lvlText w:val="(%2)"/>
      <w:numFmt w:val="lowerLetter"/>
      <w:start w:val="2"/>
    </w:lvl>
  </w:abstractNum>
  <w:abstractNum w:abstractNumId="135">
    <w:nsid w:val="2E22FBB7"/>
    <w:multiLevelType w:val="hybridMultilevel"/>
    <w:lvl w:ilvl="0">
      <w:lvlJc w:val="left"/>
      <w:lvlText w:val="(%1)"/>
      <w:numFmt w:val="upperLetter"/>
      <w:start w:val="2"/>
    </w:lvl>
    <w:lvl w:ilvl="1">
      <w:lvlJc w:val="left"/>
      <w:lvlText w:val="%2"/>
      <w:numFmt w:val="lowerLetter"/>
      <w:start w:val="1"/>
    </w:lvl>
  </w:abstractNum>
  <w:abstractNum w:abstractNumId="136">
    <w:nsid w:val="29934699"/>
    <w:multiLevelType w:val="hybridMultilevel"/>
    <w:lvl w:ilvl="0">
      <w:lvlJc w:val="left"/>
      <w:lvlText w:val="(%1)"/>
      <w:numFmt w:val="lowerLetter"/>
      <w:start w:val="5"/>
    </w:lvl>
  </w:abstractNum>
  <w:abstractNum w:abstractNumId="137">
    <w:nsid w:val="77485850"/>
    <w:multiLevelType w:val="hybridMultilevel"/>
    <w:lvl w:ilvl="0">
      <w:lvlJc w:val="left"/>
      <w:lvlText w:val="(%1)"/>
      <w:numFmt w:val="lowerRoman"/>
      <w:start w:val="1"/>
    </w:lvl>
  </w:abstractNum>
  <w:abstractNum w:abstractNumId="138">
    <w:nsid w:val="744939A3"/>
    <w:multiLevelType w:val="hybridMultilevel"/>
    <w:lvl w:ilvl="0">
      <w:lvlJc w:val="left"/>
      <w:lvlText w:val="(%1)"/>
      <w:numFmt w:val="lowerRoman"/>
      <w:start w:val="4"/>
    </w:lvl>
  </w:abstractNum>
  <w:abstractNum w:abstractNumId="139">
    <w:nsid w:val="4FA0D2E3"/>
    <w:multiLevelType w:val="hybridMultilevel"/>
    <w:lvl w:ilvl="0">
      <w:lvlJc w:val="left"/>
      <w:lvlText w:val="(%1)"/>
      <w:numFmt w:val="lowerRoman"/>
      <w:start w:val="1"/>
    </w:lvl>
  </w:abstractNum>
  <w:abstractNum w:abstractNumId="140">
    <w:nsid w:val="6B1D2C14"/>
    <w:multiLevelType w:val="hybridMultilevel"/>
    <w:lvl w:ilvl="0">
      <w:lvlJc w:val="left"/>
      <w:lvlText w:val="1"/>
      <w:numFmt w:val="bullet"/>
      <w:start w:val="1"/>
    </w:lvl>
  </w:abstractNum>
  <w:abstractNum w:abstractNumId="141">
    <w:nsid w:val="68B867D3"/>
    <w:multiLevelType w:val="hybridMultilevel"/>
    <w:lvl w:ilvl="0">
      <w:lvlJc w:val="left"/>
      <w:lvlText w:val="(%1)"/>
      <w:numFmt w:val="lowerRoman"/>
      <w:start w:val="2"/>
    </w:lvl>
  </w:abstractNum>
  <w:abstractNum w:abstractNumId="142">
    <w:nsid w:val="3F7F5DD9"/>
    <w:multiLevelType w:val="hybridMultilevel"/>
    <w:lvl w:ilvl="0">
      <w:lvlJc w:val="left"/>
      <w:lvlText w:val="(%1)"/>
      <w:numFmt w:val="lowerLetter"/>
      <w:start w:val="1"/>
    </w:lvl>
    <w:lvl w:ilvl="1">
      <w:lvlJc w:val="left"/>
      <w:lvlText w:val="(%2)"/>
      <w:numFmt w:val="lowerRoman"/>
      <w:start w:val="1"/>
    </w:lvl>
  </w:abstractNum>
  <w:abstractNum w:abstractNumId="143">
    <w:nsid w:val="2AE05A34"/>
    <w:multiLevelType w:val="hybridMultilevel"/>
    <w:lvl w:ilvl="0">
      <w:lvlJc w:val="left"/>
      <w:lvlText w:val="%1"/>
      <w:numFmt w:val="lowerLetter"/>
      <w:start w:val="1"/>
    </w:lvl>
    <w:lvl w:ilvl="1">
      <w:lvlJc w:val="left"/>
      <w:lvlText w:val="(%2)"/>
      <w:numFmt w:val="lowerLetter"/>
      <w:start w:val="22"/>
    </w:lvl>
  </w:abstractNum>
  <w:abstractNum w:abstractNumId="144">
    <w:nsid w:val="32794FF7"/>
    <w:multiLevelType w:val="hybridMultilevel"/>
    <w:lvl w:ilvl="0">
      <w:lvlJc w:val="left"/>
      <w:lvlText w:val="(%1)"/>
      <w:numFmt w:val="lowerLetter"/>
      <w:start w:val="3"/>
    </w:lvl>
    <w:lvl w:ilvl="1">
      <w:lvlJc w:val="left"/>
      <w:lvlText w:val="%2"/>
      <w:numFmt w:val="lowerLetter"/>
      <w:start w:val="1"/>
    </w:lvl>
  </w:abstractNum>
  <w:abstractNum w:abstractNumId="145">
    <w:nsid w:val="5454945E"/>
    <w:multiLevelType w:val="hybridMultilevel"/>
    <w:lvl w:ilvl="0">
      <w:lvlJc w:val="left"/>
      <w:lvlText w:val="%1."/>
      <w:numFmt w:val="decimal"/>
      <w:start w:val="1"/>
    </w:lvl>
  </w:abstractNum>
  <w:abstractNum w:abstractNumId="146">
    <w:nsid w:val="4DEFDFA0"/>
    <w:multiLevelType w:val="hybridMultilevel"/>
    <w:lvl w:ilvl="0">
      <w:lvlJc w:val="left"/>
      <w:lvlText w:val="%1."/>
      <w:numFmt w:val="decimal"/>
      <w:start w:val="3"/>
    </w:lvl>
    <w:lvl w:ilvl="1">
      <w:lvlJc w:val="left"/>
      <w:lvlText w:val="(%2)"/>
      <w:numFmt w:val="lowerLetter"/>
      <w:start w:val="1"/>
    </w:lvl>
  </w:abstractNum>
  <w:abstractNum w:abstractNumId="147">
    <w:nsid w:val="2123D5F2"/>
    <w:multiLevelType w:val="hybridMultilevel"/>
    <w:lvl w:ilvl="0">
      <w:lvlJc w:val="left"/>
      <w:lvlText w:val="%1."/>
      <w:numFmt w:val="decimal"/>
      <w:start w:val="4"/>
    </w:lvl>
  </w:abstractNum>
  <w:abstractNum w:abstractNumId="148">
    <w:nsid w:val="135B8110"/>
    <w:multiLevelType w:val="hybridMultilevel"/>
    <w:lvl w:ilvl="0">
      <w:lvlJc w:val="left"/>
      <w:lvlText w:val="%1."/>
      <w:numFmt w:val="decimal"/>
      <w:start w:val="13"/>
    </w:lvl>
    <w:lvl w:ilvl="1">
      <w:lvlJc w:val="left"/>
      <w:lvlText w:val="*"/>
      <w:numFmt w:val="bullet"/>
      <w:start w:val="1"/>
    </w:lvl>
  </w:abstractNum>
  <w:abstractNum w:abstractNumId="149">
    <w:nsid w:val="94927A8"/>
    <w:multiLevelType w:val="hybridMultilevel"/>
    <w:lvl w:ilvl="0">
      <w:lvlJc w:val="left"/>
      <w:lvlText w:val="(%1)"/>
      <w:numFmt w:val="lowerLetter"/>
      <w:start w:val="1"/>
    </w:lvl>
  </w:abstractNum>
  <w:abstractNum w:abstractNumId="150">
    <w:nsid w:val="DCDF8F6"/>
    <w:multiLevelType w:val="hybridMultilevel"/>
    <w:lvl w:ilvl="0">
      <w:lvlJc w:val="left"/>
      <w:lvlText w:val="(%1)"/>
      <w:numFmt w:val="lowerLetter"/>
      <w:start w:val="1"/>
    </w:lvl>
  </w:abstractNum>
  <w:abstractNum w:abstractNumId="151">
    <w:nsid w:val="52D7B105"/>
    <w:multiLevelType w:val="hybridMultilevel"/>
    <w:lvl w:ilvl="0">
      <w:lvlJc w:val="left"/>
      <w:lvlText w:val="%1."/>
      <w:numFmt w:val="upperLetter"/>
      <w:start w:val="9"/>
    </w:lvl>
  </w:abstractNum>
  <w:abstractNum w:abstractNumId="152">
    <w:nsid w:val="2E8A6394"/>
    <w:multiLevelType w:val="hybridMultilevel"/>
    <w:lvl w:ilvl="0">
      <w:lvlJc w:val="left"/>
      <w:lvlText w:val="%1."/>
      <w:numFmt w:val="upperLetter"/>
      <w:start w:val="35"/>
    </w:lvl>
  </w:abstractNum>
  <w:abstractNum w:abstractNumId="153">
    <w:nsid w:val="24E60401"/>
    <w:multiLevelType w:val="hybridMultilevel"/>
    <w:lvl w:ilvl="0">
      <w:lvlJc w:val="left"/>
      <w:lvlText w:val="%1."/>
      <w:numFmt w:val="upperLetter"/>
      <w:start w:val="61"/>
    </w:lvl>
  </w:abstractNum>
  <w:abstractNum w:abstractNumId="154">
    <w:nsid w:val="2A6AD9BE"/>
    <w:multiLevelType w:val="hybridMultilevel"/>
    <w:lvl w:ilvl="0">
      <w:lvlJc w:val="left"/>
      <w:lvlText w:val="•"/>
      <w:numFmt w:val="bullet"/>
      <w:start w:val="1"/>
    </w:lvl>
  </w:abstractNum>
  <w:abstractNum w:abstractNumId="155">
    <w:nsid w:val="BAAC1B4"/>
    <w:multiLevelType w:val="hybridMultilevel"/>
    <w:lvl w:ilvl="0">
      <w:lvlJc w:val="left"/>
      <w:lvlText w:val="•"/>
      <w:numFmt w:val="bullet"/>
      <w:start w:val="1"/>
    </w:lvl>
  </w:abstractNum>
  <w:abstractNum w:abstractNumId="156">
    <w:nsid w:val="36B2ACBC"/>
    <w:multiLevelType w:val="hybridMultilevel"/>
    <w:lvl w:ilvl="0">
      <w:lvlJc w:val="left"/>
      <w:lvlText w:val="•"/>
      <w:numFmt w:val="bullet"/>
      <w:start w:val="1"/>
    </w:lvl>
  </w:abstractNum>
  <w:abstractNum w:abstractNumId="157">
    <w:nsid w:val="779D8544"/>
    <w:multiLevelType w:val="hybridMultilevel"/>
    <w:lvl w:ilvl="0">
      <w:lvlJc w:val="left"/>
      <w:lvlText w:val="•"/>
      <w:numFmt w:val="bullet"/>
      <w:start w:val="1"/>
    </w:lvl>
  </w:abstractNum>
  <w:abstractNum w:abstractNumId="158">
    <w:nsid w:val="4AB26E78"/>
    <w:multiLevelType w:val="hybridMultilevel"/>
    <w:lvl w:ilvl="0">
      <w:lvlJc w:val="left"/>
      <w:lvlText w:val="%1."/>
      <w:numFmt w:val="upperLetter"/>
      <w:start w:val="22"/>
    </w:lvl>
  </w:abstractNum>
  <w:abstractNum w:abstractNumId="159">
    <w:nsid w:val="21FAA2FA"/>
    <w:multiLevelType w:val="hybridMultilevel"/>
    <w:lvl w:ilvl="0">
      <w:lvlJc w:val="left"/>
      <w:lvlText w:val="%1."/>
      <w:numFmt w:val="upperLetter"/>
      <w:start w:val="1"/>
    </w:lvl>
  </w:abstractNum>
  <w:abstractNum w:abstractNumId="160">
    <w:nsid w:val="5451CF49"/>
    <w:multiLevelType w:val="hybridMultilevel"/>
    <w:lvl w:ilvl="0">
      <w:lvlJc w:val="left"/>
      <w:lvlText w:val="%1."/>
      <w:numFmt w:val="upperLetter"/>
      <w:start w:val="4"/>
    </w:lvl>
  </w:abstractNum>
  <w:abstractNum w:abstractNumId="161">
    <w:nsid w:val="6181EF69"/>
    <w:multiLevelType w:val="hybridMultilevel"/>
    <w:lvl w:ilvl="0">
      <w:lvlJc w:val="left"/>
      <w:lvlText w:val="%1."/>
      <w:numFmt w:val="upperLetter"/>
      <w:start w:val="1"/>
    </w:lvl>
  </w:abstractNum>
  <w:abstractNum w:abstractNumId="162">
    <w:nsid w:val="3E6400E6"/>
    <w:multiLevelType w:val="hybridMultilevel"/>
    <w:lvl w:ilvl="0">
      <w:lvlJc w:val="left"/>
      <w:lvlText w:val="%1."/>
      <w:numFmt w:val="upperLetter"/>
      <w:start w:val="4"/>
    </w:lvl>
  </w:abstractNum>
  <w:abstractNum w:abstractNumId="163">
    <w:nsid w:val="14217E23"/>
    <w:multiLevelType w:val="hybridMultilevel"/>
    <w:lvl w:ilvl="0">
      <w:lvlJc w:val="left"/>
      <w:lvlText w:val="%1."/>
      <w:numFmt w:val="upperLetter"/>
      <w:start w:val="24"/>
    </w:lvl>
  </w:abstractNum>
  <w:abstractNum w:abstractNumId="164">
    <w:nsid w:val="710757D0"/>
    <w:multiLevelType w:val="hybridMultilevel"/>
    <w:lvl w:ilvl="0">
      <w:lvlJc w:val="left"/>
      <w:lvlText w:val="•"/>
      <w:numFmt w:val="bullet"/>
      <w:start w:val="1"/>
    </w:lvl>
  </w:abstractNum>
  <w:abstractNum w:abstractNumId="165">
    <w:nsid w:val="5015CD1A"/>
    <w:multiLevelType w:val="hybridMultilevel"/>
    <w:lvl w:ilvl="0">
      <w:lvlJc w:val="left"/>
      <w:lvlText w:val="%1."/>
      <w:numFmt w:val="decimal"/>
      <w:start w:val="1"/>
    </w:lvl>
  </w:abstractNum>
  <w:abstractNum w:abstractNumId="166">
    <w:nsid w:val="424479DA"/>
    <w:multiLevelType w:val="hybridMultilevel"/>
    <w:lvl w:ilvl="0">
      <w:lvlJc w:val="left"/>
      <w:lvlText w:val="%1."/>
      <w:numFmt w:val="decimal"/>
      <w:start w:val="2"/>
    </w:lvl>
  </w:abstractNum>
  <w:abstractNum w:abstractNumId="167">
    <w:nsid w:val="1A9A9E69"/>
    <w:multiLevelType w:val="hybridMultilevel"/>
    <w:lvl w:ilvl="0">
      <w:lvlJc w:val="left"/>
      <w:lvlText w:val="%1."/>
      <w:numFmt w:val="decimal"/>
      <w:start w:val="3"/>
    </w:lvl>
  </w:abstractNum>
  <w:abstractNum w:abstractNumId="168">
    <w:nsid w:val="475E256A"/>
    <w:multiLevelType w:val="hybridMultilevel"/>
    <w:lvl w:ilvl="0">
      <w:lvlJc w:val="left"/>
      <w:lvlText w:val="%1."/>
      <w:numFmt w:val="decimal"/>
      <w:start w:val="4"/>
    </w:lvl>
  </w:abstractNum>
  <w:abstractNum w:abstractNumId="169">
    <w:nsid w:val="368DB37E"/>
    <w:multiLevelType w:val="hybridMultilevel"/>
    <w:lvl w:ilvl="0">
      <w:lvlJc w:val="left"/>
      <w:lvlText w:val="%1."/>
      <w:numFmt w:val="upperLetter"/>
      <w:start w:val="1"/>
    </w:lvl>
  </w:abstractNum>
  <w:abstractNum w:abstractNumId="170">
    <w:nsid w:val="6A3B714C"/>
    <w:multiLevelType w:val="hybridMultilevel"/>
    <w:lvl w:ilvl="0">
      <w:lvlJc w:val="left"/>
      <w:lvlText w:val="•"/>
      <w:numFmt w:val="bullet"/>
      <w:start w:val="1"/>
    </w:lvl>
  </w:abstractNum>
  <w:abstractNum w:abstractNumId="171">
    <w:nsid w:val="327B517E"/>
    <w:multiLevelType w:val="hybridMultilevel"/>
    <w:lvl w:ilvl="0">
      <w:lvlJc w:val="left"/>
      <w:lvlText w:val="‒"/>
      <w:numFmt w:val="bullet"/>
      <w:start w:val="1"/>
    </w:lvl>
  </w:abstractNum>
  <w:abstractNum w:abstractNumId="172">
    <w:nsid w:val="1F461B51"/>
    <w:multiLevelType w:val="hybridMultilevel"/>
    <w:lvl w:ilvl="0">
      <w:lvlJc w:val="left"/>
      <w:lvlText w:val="‒"/>
      <w:numFmt w:val="bullet"/>
      <w:start w:val="1"/>
    </w:lvl>
  </w:abstractNum>
  <w:abstractNum w:abstractNumId="173">
    <w:nsid w:val="29BACF25"/>
    <w:multiLevelType w:val="hybridMultilevel"/>
    <w:lvl w:ilvl="0">
      <w:lvlJc w:val="left"/>
      <w:lvlText w:val="%1."/>
      <w:numFmt w:val="lowerRoman"/>
      <w:start w:val="2"/>
    </w:lvl>
  </w:abstractNum>
  <w:abstractNum w:abstractNumId="174">
    <w:nsid w:val="5D5BABB3"/>
    <w:multiLevelType w:val="hybridMultilevel"/>
    <w:lvl w:ilvl="0">
      <w:lvlJc w:val="left"/>
      <w:lvlText w:val="%1."/>
      <w:numFmt w:val="lowerRoman"/>
      <w:start w:val="3"/>
    </w:lvl>
  </w:abstractNum>
  <w:abstractNum w:abstractNumId="175">
    <w:nsid w:val="51BF6B48"/>
    <w:multiLevelType w:val="hybridMultilevel"/>
    <w:lvl w:ilvl="0">
      <w:lvlJc w:val="left"/>
      <w:lvlText w:val="%1."/>
      <w:numFmt w:val="upperLetter"/>
      <w:start w:val="2"/>
    </w:lvl>
    <w:lvl w:ilvl="1">
      <w:lvlJc w:val="left"/>
      <w:lvlText w:val="%2."/>
      <w:numFmt w:val="lowerRoman"/>
      <w:start w:val="1"/>
    </w:lvl>
  </w:abstractNum>
  <w:abstractNum w:abstractNumId="176">
    <w:nsid w:val="7E0F6384"/>
    <w:multiLevelType w:val="hybridMultilevel"/>
    <w:lvl w:ilvl="0">
      <w:lvlJc w:val="left"/>
      <w:lvlText w:val="%1."/>
      <w:numFmt w:val="lowerRoman"/>
      <w:start w:val="2"/>
    </w:lvl>
  </w:abstractNum>
  <w:abstractNum w:abstractNumId="177">
    <w:nsid w:val="2B4B8B53"/>
    <w:multiLevelType w:val="hybridMultilevel"/>
    <w:lvl w:ilvl="0">
      <w:lvlJc w:val="left"/>
      <w:lvlText w:val="%1."/>
      <w:numFmt w:val="decimal"/>
      <w:start w:val="5"/>
    </w:lvl>
  </w:abstractNum>
  <w:abstractNum w:abstractNumId="178">
    <w:nsid w:val="72E3413A"/>
    <w:multiLevelType w:val="hybridMultilevel"/>
    <w:lvl w:ilvl="0">
      <w:lvlJc w:val="left"/>
      <w:lvlText w:val="•"/>
      <w:numFmt w:val="bullet"/>
      <w:start w:val="1"/>
    </w:lvl>
    <w:lvl w:ilvl="1">
      <w:lvlJc w:val="left"/>
      <w:lvlText w:val="(%2)"/>
      <w:numFmt w:val="lowerRoman"/>
      <w:start w:val="1"/>
    </w:lvl>
  </w:abstractNum>
  <w:abstractNum w:abstractNumId="179">
    <w:nsid w:val="116AE494"/>
    <w:multiLevelType w:val="hybridMultilevel"/>
    <w:lvl w:ilvl="0">
      <w:lvlJc w:val="left"/>
      <w:lvlText w:val="•"/>
      <w:numFmt w:val="bullet"/>
      <w:start w:val="1"/>
    </w:lvl>
    <w:lvl w:ilvl="1">
      <w:lvlJc w:val="left"/>
      <w:lvlText w:val="(%2)"/>
      <w:numFmt w:val="lowerRoman"/>
      <w:start w:val="1"/>
    </w:lvl>
  </w:abstractNum>
  <w:abstractNum w:abstractNumId="180">
    <w:nsid w:val="3494B2FB"/>
    <w:multiLevelType w:val="hybridMultilevel"/>
    <w:lvl w:ilvl="0">
      <w:lvlJc w:val="left"/>
      <w:lvlText w:val="•"/>
      <w:numFmt w:val="bullet"/>
      <w:start w:val="1"/>
    </w:lvl>
    <w:lvl w:ilvl="1">
      <w:lvlJc w:val="left"/>
      <w:lvlText w:val="(%2)"/>
      <w:numFmt w:val="lowerRoman"/>
      <w:start w:val="1"/>
    </w:lvl>
  </w:abstractNum>
  <w:abstractNum w:abstractNumId="181">
    <w:nsid w:val="B13A31"/>
    <w:multiLevelType w:val="hybridMultilevel"/>
    <w:lvl w:ilvl="0">
      <w:lvlJc w:val="left"/>
      <w:lvlText w:val="•"/>
      <w:numFmt w:val="bullet"/>
      <w:start w:val="1"/>
    </w:lvl>
  </w:abstractNum>
  <w:abstractNum w:abstractNumId="182">
    <w:nsid w:val="64429599"/>
    <w:multiLevelType w:val="hybridMultilevel"/>
    <w:lvl w:ilvl="0">
      <w:lvlJc w:val="left"/>
      <w:lvlText w:val="%1."/>
      <w:numFmt w:val="decimal"/>
      <w:start w:val="6"/>
    </w:lvl>
  </w:abstractNum>
  <w:abstractNum w:abstractNumId="183">
    <w:nsid w:val="631F1690"/>
    <w:multiLevelType w:val="hybridMultilevel"/>
    <w:lvl w:ilvl="0">
      <w:lvlJc w:val="left"/>
      <w:lvlText w:val="%1."/>
      <w:numFmt w:val="decimal"/>
      <w:start w:val="7"/>
    </w:lvl>
  </w:abstractNum>
  <w:abstractNum w:abstractNumId="184">
    <w:nsid w:val="25973E32"/>
    <w:multiLevelType w:val="hybridMultilevel"/>
    <w:lvl w:ilvl="0">
      <w:lvlJc w:val="left"/>
      <w:lvlText w:val="%1."/>
      <w:numFmt w:val="decimal"/>
      <w:start w:val="8"/>
    </w:lvl>
  </w:abstractNum>
  <w:abstractNum w:abstractNumId="185">
    <w:nsid w:val="EAD6F57"/>
    <w:multiLevelType w:val="hybridMultilevel"/>
    <w:lvl w:ilvl="0">
      <w:lvlJc w:val="left"/>
      <w:lvlText w:val="%1."/>
      <w:numFmt w:val="decimal"/>
      <w:start w:val="1"/>
    </w:lvl>
  </w:abstractNum>
  <w:abstractNum w:abstractNumId="186">
    <w:nsid w:val="6EC9D844"/>
    <w:multiLevelType w:val="hybridMultilevel"/>
    <w:lvl w:ilvl="0">
      <w:lvlJc w:val="left"/>
      <w:lvlText w:val="%1."/>
      <w:numFmt w:val="decimal"/>
      <w:start w:val="1"/>
    </w:lvl>
    <w:lvl w:ilvl="1">
      <w:lvlJc w:val="left"/>
      <w:lvlText w:val="%2."/>
      <w:numFmt w:val="lowerLetter"/>
      <w:start w:val="1"/>
    </w:lvl>
  </w:abstractNum>
  <w:abstractNum w:abstractNumId="187">
    <w:nsid w:val="5C49EAEE"/>
    <w:multiLevelType w:val="hybridMultilevel"/>
    <w:lvl w:ilvl="0">
      <w:lvlJc w:val="left"/>
      <w:lvlText w:val="%1."/>
      <w:numFmt w:val="decimal"/>
      <w:start w:val="1"/>
    </w:lvl>
    <w:lvl w:ilvl="1">
      <w:lvlJc w:val="left"/>
      <w:lvlText w:val="%2."/>
      <w:numFmt w:val="lowerLetter"/>
      <w:start w:val="1"/>
    </w:lvl>
  </w:abstractNum>
  <w:abstractNum w:abstractNumId="188">
    <w:nsid w:val="64AF49B"/>
    <w:multiLevelType w:val="hybridMultilevel"/>
    <w:lvl w:ilvl="0">
      <w:lvlJc w:val="left"/>
      <w:lvlText w:val="(%1)"/>
      <w:numFmt w:val="decimal"/>
      <w:start w:val="1"/>
    </w:lvl>
  </w:abstractNum>
  <w:abstractNum w:abstractNumId="189">
    <w:nsid w:val="397C46BC"/>
    <w:multiLevelType w:val="hybridMultilevel"/>
    <w:lvl w:ilvl="0">
      <w:lvlJc w:val="left"/>
      <w:lvlText w:val="*"/>
      <w:numFmt w:val="bullet"/>
      <w:start w:val="1"/>
    </w:lvl>
  </w:abstractNum>
  <w:abstractNum w:abstractNumId="190">
    <w:nsid w:val="7E448DE9"/>
    <w:multiLevelType w:val="hybridMultilevel"/>
    <w:lvl w:ilvl="0">
      <w:lvlJc w:val="left"/>
      <w:lvlText w:val="(%1)"/>
      <w:numFmt w:val="decimal"/>
      <w:start w:val="1"/>
    </w:lvl>
  </w:abstractNum>
  <w:abstractNum w:abstractNumId="191">
    <w:nsid w:val="5A9CC3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04" Type="http://schemas.openxmlformats.org/officeDocument/2006/relationships/hyperlink" Target="https://www.sec.gov/Archives/edgar/data/1777835/000162828022000893/exhibit31-sx1a1.htm" TargetMode="External"/><Relationship Id="rId105" Type="http://schemas.openxmlformats.org/officeDocument/2006/relationships/hyperlink" Target="https://www.sec.gov/Archives/edgar/data/1777835/000119312521204696/d119701dex32.htm" TargetMode="External"/><Relationship Id="rId106" Type="http://schemas.openxmlformats.org/officeDocument/2006/relationships/hyperlink" Target="https://www.sec.gov/Archives/edgar/data/1777835/000119312521204696/d119701dex41.htm" TargetMode="External"/><Relationship Id="rId107" Type="http://schemas.openxmlformats.org/officeDocument/2006/relationships/hyperlink" Target="https://www.sec.gov/Archives/edgar/data/1777835/000177783523000030/ex101-aremploymentagreemen.htm" TargetMode="External"/><Relationship Id="rId108" Type="http://schemas.openxmlformats.org/officeDocument/2006/relationships/hyperlink" Target="https://www.sec.gov/Archives/edgar/data/1777835/000177783523000030/ex102-aremploymentagreemen.htm" TargetMode="External"/><Relationship Id="rId109" Type="http://schemas.openxmlformats.org/officeDocument/2006/relationships/hyperlink" Target="https://www.sec.gov/Archives/edgar/data/1777835/000177783523000030/ex103-aremploymentagreemen.htm" TargetMode="External"/><Relationship Id="rId110" Type="http://schemas.openxmlformats.org/officeDocument/2006/relationships/hyperlink" Target="https://www.sec.gov/Archives/edgar/data/1777835/000095017021003237/pwp-ex10_4.htm" TargetMode="External"/><Relationship Id="rId111" Type="http://schemas.openxmlformats.org/officeDocument/2006/relationships/hyperlink" Target="https://www.sec.gov/Archives/edgar/data/1777835/000095017021003237/pwp-ex10_5.htm" TargetMode="External"/><Relationship Id="rId112" Type="http://schemas.openxmlformats.org/officeDocument/2006/relationships/hyperlink" Target="https://www.sec.gov/Archives/edgar/data/1777835/000119312521204696/d119701dex103.htm" TargetMode="External"/><Relationship Id="rId115" Type="http://schemas.openxmlformats.org/officeDocument/2006/relationships/hyperlink" Target="https://www.sec.gov/Archives/edgar/data/1777835/000119312521204696/d119701dex102.htm" TargetMode="External"/><Relationship Id="rId116" Type="http://schemas.openxmlformats.org/officeDocument/2006/relationships/hyperlink" Target="https://www.sec.gov/Archives/edgar/data/1777835/000119312521204696/d119701dex105.htm" TargetMode="External"/><Relationship Id="rId117" Type="http://schemas.openxmlformats.org/officeDocument/2006/relationships/hyperlink" Target="https://www.sec.gov/Archives/edgar/data/1777835/000119312521204696/d119701dex106.htm" TargetMode="External"/><Relationship Id="rId118" Type="http://schemas.openxmlformats.org/officeDocument/2006/relationships/hyperlink" Target="https://www.sec.gov/Archives/edgar/data/1777835/000119312521204696/d119701dex107.htm" TargetMode="External"/><Relationship Id="rId119" Type="http://schemas.openxmlformats.org/officeDocument/2006/relationships/hyperlink" Target="https://www.sec.gov/Archives/edgar/data/1777835/000119312521204696/d119701dex108.htm" TargetMode="External"/><Relationship Id="rId120" Type="http://schemas.openxmlformats.org/officeDocument/2006/relationships/hyperlink" Target="https://www.sec.gov/Archives/edgar/data/1777835/000177783523000116/pwp-cadenceamendmentno3t.htm" TargetMode="External"/><Relationship Id="rId121" Type="http://schemas.openxmlformats.org/officeDocument/2006/relationships/hyperlink" Target="https://www.sec.gov/Archives/edgar/data/1777835/000095017021001359/pwp-20210630ex10_13.htm" TargetMode="External"/><Relationship Id="rId122" Type="http://schemas.openxmlformats.org/officeDocument/2006/relationships/hyperlink" Target="https://www.sec.gov/Archives/edgar/data/0001777835/000177783524000187/pwpq3202410-qexx102.htm" TargetMode="External"/><Relationship Id="rId123" Type="http://schemas.openxmlformats.org/officeDocument/2006/relationships/hyperlink" Target="https://www.sec.gov/Archives/edgar/data/0001777835/000177783524000031/ex-971xpwp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2025-02-27T18:18:41Z</dcterms:created>
  <dcterms:modified xsi:type="dcterms:W3CDTF">2025-02-27T18:18:41Z</dcterms:modified>
</cp:coreProperties>
</file>