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704405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4055" cy="936307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500"/>
          </w:cols>
          <w:pgMar w:left="460" w:top="219" w:right="479" w:bottom="1011"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COHEN DANIEL G</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767 FIFTH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jc w:val="center"/>
        <w:ind w:right="235"/>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Perella Weinberg Partners</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PWP</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8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03/01/2023</w:t>
      </w:r>
    </w:p>
    <w:p>
      <w:pPr>
        <w:spacing w:after="0" w:line="20" w:lineRule="exact"/>
        <w:rPr>
          <w:sz w:val="24"/>
          <w:szCs w:val="24"/>
          <w:color w:val="auto"/>
        </w:rPr>
      </w:pPr>
      <w:r>
        <w:rPr>
          <w:sz w:val="24"/>
          <w:szCs w:val="24"/>
          <w:color w:val="auto"/>
        </w:rPr>
        <w:br w:type="column"/>
      </w:r>
    </w:p>
    <w:p>
      <w:pPr>
        <w:ind w:left="5" w:right="420" w:hanging="5"/>
        <w:spacing w:after="0" w:line="26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5"/>
        <w:spacing w:after="0"/>
        <w:tabs>
          <w:tab w:leader="none" w:pos="504" w:val="left"/>
          <w:tab w:leader="none" w:pos="2064"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94" w:lineRule="exact"/>
        <w:rPr>
          <w:sz w:val="24"/>
          <w:szCs w:val="24"/>
          <w:color w:val="auto"/>
        </w:rPr>
      </w:pPr>
    </w:p>
    <w:p>
      <w:pPr>
        <w:jc w:val="right"/>
        <w:ind w:right="30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11" w:lineRule="exact"/>
        <w:rPr>
          <w:sz w:val="24"/>
          <w:szCs w:val="24"/>
          <w:color w:val="auto"/>
        </w:rPr>
      </w:pPr>
    </w:p>
    <w:p>
      <w:pPr>
        <w:sectPr>
          <w:pgSz w:w="11900" w:h="16838" w:orient="portrait"/>
          <w:cols w:equalWidth="0" w:num="3">
            <w:col w:w="3200" w:space="720"/>
            <w:col w:w="3095" w:space="720"/>
            <w:col w:w="3225"/>
          </w:cols>
          <w:pgMar w:left="460" w:top="219" w:right="479" w:bottom="1011"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10153</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020"/>
        <w:spacing w:after="0"/>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96" w:lineRule="exact"/>
        <w:rPr>
          <w:sz w:val="24"/>
          <w:szCs w:val="24"/>
          <w:color w:val="auto"/>
        </w:rPr>
      </w:pPr>
    </w:p>
    <w:p>
      <w:pPr>
        <w:sectPr>
          <w:pgSz w:w="11900" w:h="16838" w:orient="portrait"/>
          <w:cols w:equalWidth="0" w:num="2">
            <w:col w:w="3760" w:space="160"/>
            <w:col w:w="7040"/>
          </w:cols>
          <w:pgMar w:left="460" w:top="219" w:right="479" w:bottom="1011" w:gutter="0" w:footer="0" w:header="0"/>
          <w:type w:val="continuous"/>
        </w:sectPr>
      </w:pPr>
    </w:p>
    <w:p>
      <w:pPr>
        <w:jc w:val="center"/>
        <w:ind w:right="-19"/>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20" w:type="dxa"/>
        <w:tblCellMar>
          <w:top w:w="0" w:type="dxa"/>
          <w:left w:w="0" w:type="dxa"/>
          <w:bottom w:w="0" w:type="dxa"/>
          <w:right w:w="0" w:type="dxa"/>
        </w:tblCellMar>
      </w:tblPr>
      <w:tr>
        <w:trPr>
          <w:trHeight w:val="149"/>
        </w:trPr>
        <w:tc>
          <w:tcPr>
            <w:tcW w:w="242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00" w:type="dxa"/>
            <w:vAlign w:val="bottom"/>
          </w:tcPr>
          <w:p>
            <w:pPr>
              <w:ind w:left="6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420" w:type="dxa"/>
            <w:vAlign w:val="bottom"/>
          </w:tcPr>
          <w:p>
            <w:pPr>
              <w:spacing w:after="0"/>
              <w:rPr>
                <w:sz w:val="11"/>
                <w:szCs w:val="11"/>
                <w:color w:val="auto"/>
              </w:rPr>
            </w:pPr>
          </w:p>
        </w:tc>
        <w:tc>
          <w:tcPr>
            <w:tcW w:w="1700" w:type="dxa"/>
            <w:vAlign w:val="bottom"/>
          </w:tcPr>
          <w:p>
            <w:pPr>
              <w:ind w:left="64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420" w:type="dxa"/>
            <w:vAlign w:val="bottom"/>
          </w:tcPr>
          <w:p>
            <w:pPr>
              <w:spacing w:after="0"/>
              <w:rPr>
                <w:sz w:val="11"/>
                <w:szCs w:val="11"/>
                <w:color w:val="auto"/>
              </w:rPr>
            </w:pPr>
          </w:p>
        </w:tc>
        <w:tc>
          <w:tcPr>
            <w:tcW w:w="1700" w:type="dxa"/>
            <w:vAlign w:val="bottom"/>
          </w:tcPr>
          <w:p>
            <w:pPr>
              <w:ind w:left="64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42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420" w:type="dxa"/>
            <w:vAlign w:val="bottom"/>
          </w:tcPr>
          <w:p>
            <w:pPr>
              <w:spacing w:after="0"/>
              <w:rPr>
                <w:sz w:val="6"/>
                <w:szCs w:val="6"/>
                <w:color w:val="auto"/>
              </w:rPr>
            </w:pPr>
          </w:p>
        </w:tc>
        <w:tc>
          <w:tcPr>
            <w:tcW w:w="17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420" w:type="dxa"/>
            <w:vAlign w:val="bottom"/>
          </w:tcPr>
          <w:p>
            <w:pPr>
              <w:spacing w:after="0"/>
              <w:rPr>
                <w:sz w:val="3"/>
                <w:szCs w:val="3"/>
                <w:color w:val="auto"/>
              </w:rPr>
            </w:pPr>
          </w:p>
        </w:tc>
        <w:tc>
          <w:tcPr>
            <w:tcW w:w="17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42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420" w:type="dxa"/>
            <w:vAlign w:val="bottom"/>
          </w:tcPr>
          <w:p>
            <w:pPr>
              <w:spacing w:after="0"/>
              <w:rPr>
                <w:sz w:val="8"/>
                <w:szCs w:val="8"/>
                <w:color w:val="auto"/>
              </w:rPr>
            </w:pPr>
          </w:p>
        </w:tc>
        <w:tc>
          <w:tcPr>
            <w:tcW w:w="17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78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420" w:type="dxa"/>
            <w:vAlign w:val="bottom"/>
          </w:tcPr>
          <w:p>
            <w:pPr>
              <w:spacing w:after="0"/>
              <w:rPr>
                <w:sz w:val="5"/>
                <w:szCs w:val="5"/>
                <w:color w:val="auto"/>
              </w:rPr>
            </w:pPr>
          </w:p>
        </w:tc>
        <w:tc>
          <w:tcPr>
            <w:tcW w:w="17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42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42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4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FinTech</w:t>
            </w:r>
          </w:p>
        </w:tc>
        <w:tc>
          <w:tcPr>
            <w:tcW w:w="0" w:type="dxa"/>
            <w:vAlign w:val="bottom"/>
          </w:tcPr>
          <w:p>
            <w:pPr>
              <w:spacing w:after="0"/>
              <w:rPr>
                <w:sz w:val="1"/>
                <w:szCs w:val="1"/>
                <w:color w:val="auto"/>
              </w:rPr>
            </w:pPr>
          </w:p>
        </w:tc>
      </w:tr>
      <w:tr>
        <w:trPr>
          <w:trHeight w:val="213"/>
        </w:trPr>
        <w:tc>
          <w:tcPr>
            <w:tcW w:w="24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00" w:type="dxa"/>
            <w:vAlign w:val="bottom"/>
          </w:tcPr>
          <w:p>
            <w:pPr>
              <w:jc w:val="right"/>
              <w:ind w:right="89"/>
              <w:spacing w:after="0"/>
              <w:rPr>
                <w:sz w:val="20"/>
                <w:szCs w:val="20"/>
                <w:color w:val="auto"/>
              </w:rPr>
            </w:pPr>
            <w:r>
              <w:rPr>
                <w:rFonts w:ascii="Times New Roman" w:cs="Times New Roman" w:eastAsia="Times New Roman" w:hAnsi="Times New Roman"/>
                <w:sz w:val="17"/>
                <w:szCs w:val="17"/>
                <w:color w:val="0000FF"/>
              </w:rPr>
              <w:t>03/01/2023</w:t>
            </w:r>
          </w:p>
        </w:tc>
        <w:tc>
          <w:tcPr>
            <w:tcW w:w="1120" w:type="dxa"/>
            <w:vAlign w:val="bottom"/>
          </w:tcPr>
          <w:p>
            <w:pPr>
              <w:spacing w:after="0"/>
              <w:rPr>
                <w:sz w:val="18"/>
                <w:szCs w:val="18"/>
                <w:color w:val="auto"/>
              </w:rPr>
            </w:pPr>
          </w:p>
        </w:tc>
        <w:tc>
          <w:tcPr>
            <w:tcW w:w="80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tcPr>
          <w:p>
            <w:pPr>
              <w:jc w:val="right"/>
              <w:ind w:right="29"/>
              <w:spacing w:after="0"/>
              <w:rPr>
                <w:sz w:val="20"/>
                <w:szCs w:val="20"/>
                <w:color w:val="auto"/>
              </w:rPr>
            </w:pPr>
            <w:r>
              <w:rPr>
                <w:rFonts w:ascii="Times New Roman" w:cs="Times New Roman" w:eastAsia="Times New Roman" w:hAnsi="Times New Roman"/>
                <w:sz w:val="17"/>
                <w:szCs w:val="17"/>
                <w:color w:val="0000FF"/>
              </w:rPr>
              <w:t>11,725</w:t>
            </w:r>
          </w:p>
        </w:tc>
        <w:tc>
          <w:tcPr>
            <w:tcW w:w="520" w:type="dxa"/>
            <w:vAlign w:val="bottom"/>
          </w:tcPr>
          <w:p>
            <w:pPr>
              <w:jc w:val="center"/>
              <w:ind w:left="7"/>
              <w:spacing w:after="0"/>
              <w:rPr>
                <w:sz w:val="20"/>
                <w:szCs w:val="20"/>
                <w:color w:val="auto"/>
              </w:rPr>
            </w:pPr>
            <w:r>
              <w:rPr>
                <w:rFonts w:ascii="Times New Roman" w:cs="Times New Roman" w:eastAsia="Times New Roman" w:hAnsi="Times New Roman"/>
                <w:sz w:val="17"/>
                <w:szCs w:val="17"/>
                <w:color w:val="0000FF"/>
                <w:w w:val="97"/>
              </w:rPr>
              <w:t>D</w:t>
            </w:r>
          </w:p>
        </w:tc>
        <w:tc>
          <w:tcPr>
            <w:tcW w:w="780" w:type="dxa"/>
            <w:vAlign w:val="bottom"/>
          </w:tcPr>
          <w:p>
            <w:pPr>
              <w:ind w:left="80"/>
              <w:spacing w:after="0" w:line="213" w:lineRule="exact"/>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10.01</w:t>
            </w:r>
            <w:r>
              <w:rPr>
                <w:rFonts w:ascii="Times New Roman" w:cs="Times New Roman" w:eastAsia="Times New Roman" w:hAnsi="Times New Roman"/>
                <w:sz w:val="22"/>
                <w:szCs w:val="22"/>
                <w:color w:val="008000"/>
                <w:vertAlign w:val="superscript"/>
              </w:rPr>
              <w:t>(1)</w:t>
            </w:r>
          </w:p>
        </w:tc>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545,733</w:t>
            </w:r>
          </w:p>
        </w:tc>
        <w:tc>
          <w:tcPr>
            <w:tcW w:w="92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Masala</w:t>
            </w:r>
          </w:p>
        </w:tc>
        <w:tc>
          <w:tcPr>
            <w:tcW w:w="0" w:type="dxa"/>
            <w:vAlign w:val="bottom"/>
          </w:tcPr>
          <w:p>
            <w:pPr>
              <w:spacing w:after="0"/>
              <w:rPr>
                <w:sz w:val="1"/>
                <w:szCs w:val="1"/>
                <w:color w:val="auto"/>
              </w:rPr>
            </w:pPr>
          </w:p>
        </w:tc>
      </w:tr>
      <w:tr>
        <w:trPr>
          <w:trHeight w:val="213"/>
        </w:trPr>
        <w:tc>
          <w:tcPr>
            <w:tcW w:w="24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Holdings,</w:t>
            </w:r>
          </w:p>
        </w:tc>
        <w:tc>
          <w:tcPr>
            <w:tcW w:w="0" w:type="dxa"/>
            <w:vAlign w:val="bottom"/>
          </w:tcPr>
          <w:p>
            <w:pPr>
              <w:spacing w:after="0"/>
              <w:rPr>
                <w:sz w:val="1"/>
                <w:szCs w:val="1"/>
                <w:color w:val="auto"/>
              </w:rPr>
            </w:pPr>
          </w:p>
        </w:tc>
      </w:tr>
      <w:tr>
        <w:trPr>
          <w:trHeight w:val="288"/>
        </w:trPr>
        <w:tc>
          <w:tcPr>
            <w:tcW w:w="2420" w:type="dxa"/>
            <w:vAlign w:val="bottom"/>
            <w:tcBorders>
              <w:bottom w:val="single" w:sz="8" w:color="2C2C2C"/>
            </w:tcBorders>
          </w:tcPr>
          <w:p>
            <w:pPr>
              <w:spacing w:after="0"/>
              <w:rPr>
                <w:sz w:val="24"/>
                <w:szCs w:val="24"/>
                <w:color w:val="auto"/>
              </w:rPr>
            </w:pPr>
          </w:p>
        </w:tc>
        <w:tc>
          <w:tcPr>
            <w:tcW w:w="17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252"/>
        </w:trPr>
        <w:tc>
          <w:tcPr>
            <w:tcW w:w="242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4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FinTech</w:t>
            </w:r>
          </w:p>
        </w:tc>
        <w:tc>
          <w:tcPr>
            <w:tcW w:w="0" w:type="dxa"/>
            <w:vAlign w:val="bottom"/>
          </w:tcPr>
          <w:p>
            <w:pPr>
              <w:spacing w:after="0"/>
              <w:rPr>
                <w:sz w:val="1"/>
                <w:szCs w:val="1"/>
                <w:color w:val="auto"/>
              </w:rPr>
            </w:pPr>
          </w:p>
        </w:tc>
      </w:tr>
      <w:tr>
        <w:trPr>
          <w:trHeight w:val="213"/>
        </w:trPr>
        <w:tc>
          <w:tcPr>
            <w:tcW w:w="24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00" w:type="dxa"/>
            <w:vAlign w:val="bottom"/>
          </w:tcPr>
          <w:p>
            <w:pPr>
              <w:jc w:val="right"/>
              <w:ind w:right="89"/>
              <w:spacing w:after="0"/>
              <w:rPr>
                <w:sz w:val="20"/>
                <w:szCs w:val="20"/>
                <w:color w:val="auto"/>
              </w:rPr>
            </w:pPr>
            <w:r>
              <w:rPr>
                <w:rFonts w:ascii="Times New Roman" w:cs="Times New Roman" w:eastAsia="Times New Roman" w:hAnsi="Times New Roman"/>
                <w:sz w:val="17"/>
                <w:szCs w:val="17"/>
                <w:color w:val="0000FF"/>
              </w:rPr>
              <w:t>03/01/2023</w:t>
            </w:r>
          </w:p>
        </w:tc>
        <w:tc>
          <w:tcPr>
            <w:tcW w:w="1120" w:type="dxa"/>
            <w:vAlign w:val="bottom"/>
          </w:tcPr>
          <w:p>
            <w:pPr>
              <w:spacing w:after="0"/>
              <w:rPr>
                <w:sz w:val="18"/>
                <w:szCs w:val="18"/>
                <w:color w:val="auto"/>
              </w:rPr>
            </w:pPr>
          </w:p>
        </w:tc>
        <w:tc>
          <w:tcPr>
            <w:tcW w:w="80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tcPr>
          <w:p>
            <w:pPr>
              <w:jc w:val="right"/>
              <w:ind w:right="29"/>
              <w:spacing w:after="0"/>
              <w:rPr>
                <w:sz w:val="20"/>
                <w:szCs w:val="20"/>
                <w:color w:val="auto"/>
              </w:rPr>
            </w:pPr>
            <w:r>
              <w:rPr>
                <w:rFonts w:ascii="Times New Roman" w:cs="Times New Roman" w:eastAsia="Times New Roman" w:hAnsi="Times New Roman"/>
                <w:sz w:val="17"/>
                <w:szCs w:val="17"/>
                <w:color w:val="0000FF"/>
              </w:rPr>
              <w:t>11,725</w:t>
            </w:r>
          </w:p>
        </w:tc>
        <w:tc>
          <w:tcPr>
            <w:tcW w:w="520" w:type="dxa"/>
            <w:vAlign w:val="bottom"/>
          </w:tcPr>
          <w:p>
            <w:pPr>
              <w:jc w:val="center"/>
              <w:ind w:left="7"/>
              <w:spacing w:after="0"/>
              <w:rPr>
                <w:sz w:val="20"/>
                <w:szCs w:val="20"/>
                <w:color w:val="auto"/>
              </w:rPr>
            </w:pPr>
            <w:r>
              <w:rPr>
                <w:rFonts w:ascii="Times New Roman" w:cs="Times New Roman" w:eastAsia="Times New Roman" w:hAnsi="Times New Roman"/>
                <w:sz w:val="17"/>
                <w:szCs w:val="17"/>
                <w:color w:val="0000FF"/>
                <w:w w:val="97"/>
              </w:rPr>
              <w:t>D</w:t>
            </w:r>
          </w:p>
        </w:tc>
        <w:tc>
          <w:tcPr>
            <w:tcW w:w="780" w:type="dxa"/>
            <w:vAlign w:val="bottom"/>
          </w:tcPr>
          <w:p>
            <w:pPr>
              <w:ind w:left="80"/>
              <w:spacing w:after="0" w:line="213" w:lineRule="exact"/>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10.01</w:t>
            </w:r>
            <w:r>
              <w:rPr>
                <w:rFonts w:ascii="Times New Roman" w:cs="Times New Roman" w:eastAsia="Times New Roman" w:hAnsi="Times New Roman"/>
                <w:sz w:val="22"/>
                <w:szCs w:val="22"/>
                <w:color w:val="008000"/>
                <w:vertAlign w:val="superscript"/>
              </w:rPr>
              <w:t>(1)</w:t>
            </w:r>
          </w:p>
        </w:tc>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545,733</w:t>
            </w:r>
          </w:p>
        </w:tc>
        <w:tc>
          <w:tcPr>
            <w:tcW w:w="92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Masala</w:t>
            </w:r>
          </w:p>
        </w:tc>
        <w:tc>
          <w:tcPr>
            <w:tcW w:w="0" w:type="dxa"/>
            <w:vAlign w:val="bottom"/>
          </w:tcPr>
          <w:p>
            <w:pPr>
              <w:spacing w:after="0"/>
              <w:rPr>
                <w:sz w:val="1"/>
                <w:szCs w:val="1"/>
                <w:color w:val="auto"/>
              </w:rPr>
            </w:pPr>
          </w:p>
        </w:tc>
      </w:tr>
      <w:tr>
        <w:trPr>
          <w:trHeight w:val="213"/>
        </w:trPr>
        <w:tc>
          <w:tcPr>
            <w:tcW w:w="24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Holdings,</w:t>
            </w:r>
          </w:p>
        </w:tc>
        <w:tc>
          <w:tcPr>
            <w:tcW w:w="0" w:type="dxa"/>
            <w:vAlign w:val="bottom"/>
          </w:tcPr>
          <w:p>
            <w:pPr>
              <w:spacing w:after="0"/>
              <w:rPr>
                <w:sz w:val="1"/>
                <w:szCs w:val="1"/>
                <w:color w:val="auto"/>
              </w:rPr>
            </w:pPr>
          </w:p>
        </w:tc>
      </w:tr>
      <w:tr>
        <w:trPr>
          <w:trHeight w:val="288"/>
        </w:trPr>
        <w:tc>
          <w:tcPr>
            <w:tcW w:w="2420" w:type="dxa"/>
            <w:vAlign w:val="bottom"/>
            <w:tcBorders>
              <w:bottom w:val="single" w:sz="8" w:color="2C2C2C"/>
            </w:tcBorders>
          </w:tcPr>
          <w:p>
            <w:pPr>
              <w:spacing w:after="0"/>
              <w:rPr>
                <w:sz w:val="24"/>
                <w:szCs w:val="24"/>
                <w:color w:val="auto"/>
              </w:rPr>
            </w:pPr>
          </w:p>
        </w:tc>
        <w:tc>
          <w:tcPr>
            <w:tcW w:w="17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80"/>
              <w:spacing w:after="0" w:line="281" w:lineRule="exact"/>
              <w:rPr>
                <w:sz w:val="20"/>
                <w:szCs w:val="20"/>
                <w:color w:val="auto"/>
              </w:rPr>
            </w:pPr>
            <w:r>
              <w:rPr>
                <w:rFonts w:ascii="Times New Roman" w:cs="Times New Roman" w:eastAsia="Times New Roman" w:hAnsi="Times New Roman"/>
                <w:sz w:val="32"/>
                <w:szCs w:val="32"/>
                <w:color w:val="0000FF"/>
                <w:vertAlign w:val="subscript"/>
              </w:rPr>
              <w:t>LLC</w:t>
            </w:r>
            <w:r>
              <w:rPr>
                <w:rFonts w:ascii="Times New Roman" w:cs="Times New Roman" w:eastAsia="Times New Roman" w:hAnsi="Times New Roman"/>
                <w:sz w:val="11"/>
                <w:szCs w:val="11"/>
                <w:color w:val="008000"/>
              </w:rPr>
              <w:t>(3)</w:t>
            </w:r>
          </w:p>
        </w:tc>
        <w:tc>
          <w:tcPr>
            <w:tcW w:w="0" w:type="dxa"/>
            <w:vAlign w:val="bottom"/>
          </w:tcPr>
          <w:p>
            <w:pPr>
              <w:spacing w:after="0"/>
              <w:rPr>
                <w:sz w:val="1"/>
                <w:szCs w:val="1"/>
                <w:color w:val="auto"/>
              </w:rPr>
            </w:pPr>
          </w:p>
        </w:tc>
      </w:tr>
      <w:tr>
        <w:trPr>
          <w:trHeight w:val="265"/>
        </w:trPr>
        <w:tc>
          <w:tcPr>
            <w:tcW w:w="24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80,852</w:t>
            </w:r>
          </w:p>
        </w:tc>
        <w:tc>
          <w:tcPr>
            <w:tcW w:w="92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2420" w:type="dxa"/>
            <w:vAlign w:val="bottom"/>
            <w:tcBorders>
              <w:bottom w:val="single" w:sz="8" w:color="2C2C2C"/>
            </w:tcBorders>
          </w:tcPr>
          <w:p>
            <w:pPr>
              <w:spacing w:after="0"/>
              <w:rPr>
                <w:sz w:val="5"/>
                <w:szCs w:val="5"/>
                <w:color w:val="auto"/>
              </w:rPr>
            </w:pPr>
          </w:p>
        </w:tc>
        <w:tc>
          <w:tcPr>
            <w:tcW w:w="17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42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4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FinTech</w:t>
            </w:r>
          </w:p>
        </w:tc>
        <w:tc>
          <w:tcPr>
            <w:tcW w:w="0" w:type="dxa"/>
            <w:vAlign w:val="bottom"/>
          </w:tcPr>
          <w:p>
            <w:pPr>
              <w:spacing w:after="0"/>
              <w:rPr>
                <w:sz w:val="1"/>
                <w:szCs w:val="1"/>
                <w:color w:val="auto"/>
              </w:rPr>
            </w:pPr>
          </w:p>
        </w:tc>
      </w:tr>
      <w:tr>
        <w:trPr>
          <w:trHeight w:val="213"/>
        </w:trPr>
        <w:tc>
          <w:tcPr>
            <w:tcW w:w="24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11,951</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Masala</w:t>
            </w:r>
          </w:p>
        </w:tc>
        <w:tc>
          <w:tcPr>
            <w:tcW w:w="0" w:type="dxa"/>
            <w:vAlign w:val="bottom"/>
          </w:tcPr>
          <w:p>
            <w:pPr>
              <w:spacing w:after="0"/>
              <w:rPr>
                <w:sz w:val="1"/>
                <w:szCs w:val="1"/>
                <w:color w:val="auto"/>
              </w:rPr>
            </w:pPr>
          </w:p>
        </w:tc>
      </w:tr>
      <w:tr>
        <w:trPr>
          <w:trHeight w:val="120"/>
        </w:trPr>
        <w:tc>
          <w:tcPr>
            <w:tcW w:w="2420" w:type="dxa"/>
            <w:vAlign w:val="bottom"/>
            <w:vMerge w:val="continue"/>
          </w:tcPr>
          <w:p>
            <w:pPr>
              <w:spacing w:after="0"/>
              <w:rPr>
                <w:sz w:val="10"/>
                <w:szCs w:val="10"/>
                <w:color w:val="auto"/>
              </w:rPr>
            </w:pPr>
          </w:p>
        </w:tc>
        <w:tc>
          <w:tcPr>
            <w:tcW w:w="17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12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8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Advisors</w:t>
            </w:r>
          </w:p>
        </w:tc>
        <w:tc>
          <w:tcPr>
            <w:tcW w:w="0" w:type="dxa"/>
            <w:vAlign w:val="bottom"/>
          </w:tcPr>
          <w:p>
            <w:pPr>
              <w:spacing w:after="0"/>
              <w:rPr>
                <w:sz w:val="1"/>
                <w:szCs w:val="1"/>
                <w:color w:val="auto"/>
              </w:rPr>
            </w:pPr>
          </w:p>
        </w:tc>
      </w:tr>
      <w:tr>
        <w:trPr>
          <w:trHeight w:val="93"/>
        </w:trPr>
        <w:tc>
          <w:tcPr>
            <w:tcW w:w="2420" w:type="dxa"/>
            <w:vAlign w:val="bottom"/>
          </w:tcPr>
          <w:p>
            <w:pPr>
              <w:spacing w:after="0"/>
              <w:rPr>
                <w:sz w:val="8"/>
                <w:szCs w:val="8"/>
                <w:color w:val="auto"/>
              </w:rPr>
            </w:pPr>
          </w:p>
        </w:tc>
        <w:tc>
          <w:tcPr>
            <w:tcW w:w="17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5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3"/>
        </w:trPr>
        <w:tc>
          <w:tcPr>
            <w:tcW w:w="24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IV,</w:t>
            </w:r>
          </w:p>
        </w:tc>
        <w:tc>
          <w:tcPr>
            <w:tcW w:w="0" w:type="dxa"/>
            <w:vAlign w:val="bottom"/>
          </w:tcPr>
          <w:p>
            <w:pPr>
              <w:spacing w:after="0"/>
              <w:rPr>
                <w:sz w:val="1"/>
                <w:szCs w:val="1"/>
                <w:color w:val="auto"/>
              </w:rPr>
            </w:pPr>
          </w:p>
        </w:tc>
      </w:tr>
      <w:tr>
        <w:trPr>
          <w:trHeight w:val="288"/>
        </w:trPr>
        <w:tc>
          <w:tcPr>
            <w:tcW w:w="2420" w:type="dxa"/>
            <w:vAlign w:val="bottom"/>
            <w:tcBorders>
              <w:bottom w:val="single" w:sz="8" w:color="2C2C2C"/>
            </w:tcBorders>
          </w:tcPr>
          <w:p>
            <w:pPr>
              <w:spacing w:after="0"/>
              <w:rPr>
                <w:sz w:val="24"/>
                <w:szCs w:val="24"/>
                <w:color w:val="auto"/>
              </w:rPr>
            </w:pPr>
          </w:p>
        </w:tc>
        <w:tc>
          <w:tcPr>
            <w:tcW w:w="17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2"/>
                <w:szCs w:val="22"/>
                <w:color w:val="008000"/>
                <w:vertAlign w:val="superscript"/>
              </w:rPr>
              <w:t>(4)</w:t>
            </w:r>
          </w:p>
        </w:tc>
        <w:tc>
          <w:tcPr>
            <w:tcW w:w="0" w:type="dxa"/>
            <w:vAlign w:val="bottom"/>
          </w:tcPr>
          <w:p>
            <w:pPr>
              <w:spacing w:after="0"/>
              <w:rPr>
                <w:sz w:val="1"/>
                <w:szCs w:val="1"/>
                <w:color w:val="auto"/>
              </w:rPr>
            </w:pPr>
          </w:p>
        </w:tc>
      </w:tr>
      <w:tr>
        <w:trPr>
          <w:trHeight w:val="252"/>
        </w:trPr>
        <w:tc>
          <w:tcPr>
            <w:tcW w:w="242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4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FinTech</w:t>
            </w:r>
          </w:p>
        </w:tc>
        <w:tc>
          <w:tcPr>
            <w:tcW w:w="0" w:type="dxa"/>
            <w:vAlign w:val="bottom"/>
          </w:tcPr>
          <w:p>
            <w:pPr>
              <w:spacing w:after="0"/>
              <w:rPr>
                <w:sz w:val="1"/>
                <w:szCs w:val="1"/>
                <w:color w:val="auto"/>
              </w:rPr>
            </w:pPr>
          </w:p>
        </w:tc>
      </w:tr>
      <w:tr>
        <w:trPr>
          <w:trHeight w:val="213"/>
        </w:trPr>
        <w:tc>
          <w:tcPr>
            <w:tcW w:w="24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11,951</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Masala</w:t>
            </w:r>
          </w:p>
        </w:tc>
        <w:tc>
          <w:tcPr>
            <w:tcW w:w="0" w:type="dxa"/>
            <w:vAlign w:val="bottom"/>
          </w:tcPr>
          <w:p>
            <w:pPr>
              <w:spacing w:after="0"/>
              <w:rPr>
                <w:sz w:val="1"/>
                <w:szCs w:val="1"/>
                <w:color w:val="auto"/>
              </w:rPr>
            </w:pPr>
          </w:p>
        </w:tc>
      </w:tr>
      <w:tr>
        <w:trPr>
          <w:trHeight w:val="120"/>
        </w:trPr>
        <w:tc>
          <w:tcPr>
            <w:tcW w:w="2420" w:type="dxa"/>
            <w:vAlign w:val="bottom"/>
            <w:vMerge w:val="continue"/>
          </w:tcPr>
          <w:p>
            <w:pPr>
              <w:spacing w:after="0"/>
              <w:rPr>
                <w:sz w:val="10"/>
                <w:szCs w:val="10"/>
                <w:color w:val="auto"/>
              </w:rPr>
            </w:pPr>
          </w:p>
        </w:tc>
        <w:tc>
          <w:tcPr>
            <w:tcW w:w="17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12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8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Advisors</w:t>
            </w:r>
          </w:p>
        </w:tc>
        <w:tc>
          <w:tcPr>
            <w:tcW w:w="0" w:type="dxa"/>
            <w:vAlign w:val="bottom"/>
          </w:tcPr>
          <w:p>
            <w:pPr>
              <w:spacing w:after="0"/>
              <w:rPr>
                <w:sz w:val="1"/>
                <w:szCs w:val="1"/>
                <w:color w:val="auto"/>
              </w:rPr>
            </w:pPr>
          </w:p>
        </w:tc>
      </w:tr>
      <w:tr>
        <w:trPr>
          <w:trHeight w:val="93"/>
        </w:trPr>
        <w:tc>
          <w:tcPr>
            <w:tcW w:w="2420" w:type="dxa"/>
            <w:vAlign w:val="bottom"/>
          </w:tcPr>
          <w:p>
            <w:pPr>
              <w:spacing w:after="0"/>
              <w:rPr>
                <w:sz w:val="8"/>
                <w:szCs w:val="8"/>
                <w:color w:val="auto"/>
              </w:rPr>
            </w:pPr>
          </w:p>
        </w:tc>
        <w:tc>
          <w:tcPr>
            <w:tcW w:w="17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5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3"/>
        </w:trPr>
        <w:tc>
          <w:tcPr>
            <w:tcW w:w="24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IV,</w:t>
            </w:r>
          </w:p>
        </w:tc>
        <w:tc>
          <w:tcPr>
            <w:tcW w:w="0" w:type="dxa"/>
            <w:vAlign w:val="bottom"/>
          </w:tcPr>
          <w:p>
            <w:pPr>
              <w:spacing w:after="0"/>
              <w:rPr>
                <w:sz w:val="1"/>
                <w:szCs w:val="1"/>
                <w:color w:val="auto"/>
              </w:rPr>
            </w:pPr>
          </w:p>
        </w:tc>
      </w:tr>
      <w:tr>
        <w:trPr>
          <w:trHeight w:val="288"/>
        </w:trPr>
        <w:tc>
          <w:tcPr>
            <w:tcW w:w="2420" w:type="dxa"/>
            <w:vAlign w:val="bottom"/>
            <w:tcBorders>
              <w:bottom w:val="single" w:sz="8" w:color="2C2C2C"/>
            </w:tcBorders>
          </w:tcPr>
          <w:p>
            <w:pPr>
              <w:spacing w:after="0"/>
              <w:rPr>
                <w:sz w:val="24"/>
                <w:szCs w:val="24"/>
                <w:color w:val="auto"/>
              </w:rPr>
            </w:pPr>
          </w:p>
        </w:tc>
        <w:tc>
          <w:tcPr>
            <w:tcW w:w="17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2"/>
                <w:szCs w:val="22"/>
                <w:color w:val="008000"/>
                <w:vertAlign w:val="superscript"/>
              </w:rPr>
              <w:t>(5)</w:t>
            </w:r>
          </w:p>
        </w:tc>
        <w:tc>
          <w:tcPr>
            <w:tcW w:w="0" w:type="dxa"/>
            <w:vAlign w:val="bottom"/>
          </w:tcPr>
          <w:p>
            <w:pPr>
              <w:spacing w:after="0"/>
              <w:rPr>
                <w:sz w:val="1"/>
                <w:szCs w:val="1"/>
                <w:color w:val="auto"/>
              </w:rPr>
            </w:pPr>
          </w:p>
        </w:tc>
      </w:tr>
      <w:tr>
        <w:trPr>
          <w:trHeight w:val="252"/>
        </w:trPr>
        <w:tc>
          <w:tcPr>
            <w:tcW w:w="242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 DGC</w:t>
            </w:r>
          </w:p>
        </w:tc>
        <w:tc>
          <w:tcPr>
            <w:tcW w:w="0" w:type="dxa"/>
            <w:vAlign w:val="bottom"/>
          </w:tcPr>
          <w:p>
            <w:pPr>
              <w:spacing w:after="0"/>
              <w:rPr>
                <w:sz w:val="1"/>
                <w:szCs w:val="1"/>
                <w:color w:val="auto"/>
              </w:rPr>
            </w:pPr>
          </w:p>
        </w:tc>
      </w:tr>
      <w:tr>
        <w:trPr>
          <w:trHeight w:val="213"/>
        </w:trPr>
        <w:tc>
          <w:tcPr>
            <w:tcW w:w="24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57,923</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Family</w:t>
            </w:r>
          </w:p>
        </w:tc>
        <w:tc>
          <w:tcPr>
            <w:tcW w:w="0" w:type="dxa"/>
            <w:vAlign w:val="bottom"/>
          </w:tcPr>
          <w:p>
            <w:pPr>
              <w:spacing w:after="0"/>
              <w:rPr>
                <w:sz w:val="1"/>
                <w:szCs w:val="1"/>
                <w:color w:val="auto"/>
              </w:rPr>
            </w:pPr>
          </w:p>
        </w:tc>
      </w:tr>
      <w:tr>
        <w:trPr>
          <w:trHeight w:val="120"/>
        </w:trPr>
        <w:tc>
          <w:tcPr>
            <w:tcW w:w="2420" w:type="dxa"/>
            <w:vAlign w:val="bottom"/>
            <w:vMerge w:val="continue"/>
          </w:tcPr>
          <w:p>
            <w:pPr>
              <w:spacing w:after="0"/>
              <w:rPr>
                <w:sz w:val="10"/>
                <w:szCs w:val="10"/>
                <w:color w:val="auto"/>
              </w:rPr>
            </w:pPr>
          </w:p>
        </w:tc>
        <w:tc>
          <w:tcPr>
            <w:tcW w:w="17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12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8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FinTech</w:t>
            </w:r>
          </w:p>
        </w:tc>
        <w:tc>
          <w:tcPr>
            <w:tcW w:w="0" w:type="dxa"/>
            <w:vAlign w:val="bottom"/>
          </w:tcPr>
          <w:p>
            <w:pPr>
              <w:spacing w:after="0"/>
              <w:rPr>
                <w:sz w:val="1"/>
                <w:szCs w:val="1"/>
                <w:color w:val="auto"/>
              </w:rPr>
            </w:pPr>
          </w:p>
        </w:tc>
      </w:tr>
      <w:tr>
        <w:trPr>
          <w:trHeight w:val="93"/>
        </w:trPr>
        <w:tc>
          <w:tcPr>
            <w:tcW w:w="2420" w:type="dxa"/>
            <w:vAlign w:val="bottom"/>
          </w:tcPr>
          <w:p>
            <w:pPr>
              <w:spacing w:after="0"/>
              <w:rPr>
                <w:sz w:val="8"/>
                <w:szCs w:val="8"/>
                <w:color w:val="auto"/>
              </w:rPr>
            </w:pPr>
          </w:p>
        </w:tc>
        <w:tc>
          <w:tcPr>
            <w:tcW w:w="17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5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88"/>
        </w:trPr>
        <w:tc>
          <w:tcPr>
            <w:tcW w:w="2420" w:type="dxa"/>
            <w:vAlign w:val="bottom"/>
            <w:tcBorders>
              <w:bottom w:val="single" w:sz="8" w:color="2C2C2C"/>
            </w:tcBorders>
          </w:tcPr>
          <w:p>
            <w:pPr>
              <w:spacing w:after="0"/>
              <w:rPr>
                <w:sz w:val="24"/>
                <w:szCs w:val="24"/>
                <w:color w:val="auto"/>
              </w:rPr>
            </w:pPr>
          </w:p>
        </w:tc>
        <w:tc>
          <w:tcPr>
            <w:tcW w:w="17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(6)</w:t>
            </w:r>
          </w:p>
        </w:tc>
        <w:tc>
          <w:tcPr>
            <w:tcW w:w="0" w:type="dxa"/>
            <w:vAlign w:val="bottom"/>
          </w:tcPr>
          <w:p>
            <w:pPr>
              <w:spacing w:after="0"/>
              <w:rPr>
                <w:sz w:val="1"/>
                <w:szCs w:val="1"/>
                <w:color w:val="auto"/>
              </w:rPr>
            </w:pPr>
          </w:p>
        </w:tc>
      </w:tr>
      <w:tr>
        <w:trPr>
          <w:trHeight w:val="252"/>
        </w:trPr>
        <w:tc>
          <w:tcPr>
            <w:tcW w:w="242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4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FinTech</w:t>
            </w:r>
          </w:p>
        </w:tc>
        <w:tc>
          <w:tcPr>
            <w:tcW w:w="0" w:type="dxa"/>
            <w:vAlign w:val="bottom"/>
          </w:tcPr>
          <w:p>
            <w:pPr>
              <w:spacing w:after="0"/>
              <w:rPr>
                <w:sz w:val="1"/>
                <w:szCs w:val="1"/>
                <w:color w:val="auto"/>
              </w:rPr>
            </w:pPr>
          </w:p>
        </w:tc>
      </w:tr>
      <w:tr>
        <w:trPr>
          <w:trHeight w:val="213"/>
        </w:trPr>
        <w:tc>
          <w:tcPr>
            <w:tcW w:w="24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133,603</w:t>
            </w:r>
          </w:p>
        </w:tc>
        <w:tc>
          <w:tcPr>
            <w:tcW w:w="92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Masala</w:t>
            </w:r>
          </w:p>
        </w:tc>
        <w:tc>
          <w:tcPr>
            <w:tcW w:w="0" w:type="dxa"/>
            <w:vAlign w:val="bottom"/>
          </w:tcPr>
          <w:p>
            <w:pPr>
              <w:spacing w:after="0"/>
              <w:rPr>
                <w:sz w:val="1"/>
                <w:szCs w:val="1"/>
                <w:color w:val="auto"/>
              </w:rPr>
            </w:pPr>
          </w:p>
        </w:tc>
      </w:tr>
      <w:tr>
        <w:trPr>
          <w:trHeight w:val="213"/>
        </w:trPr>
        <w:tc>
          <w:tcPr>
            <w:tcW w:w="24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Holdings,</w:t>
            </w:r>
          </w:p>
        </w:tc>
        <w:tc>
          <w:tcPr>
            <w:tcW w:w="0" w:type="dxa"/>
            <w:vAlign w:val="bottom"/>
          </w:tcPr>
          <w:p>
            <w:pPr>
              <w:spacing w:after="0"/>
              <w:rPr>
                <w:sz w:val="1"/>
                <w:szCs w:val="1"/>
                <w:color w:val="auto"/>
              </w:rPr>
            </w:pPr>
          </w:p>
        </w:tc>
      </w:tr>
      <w:tr>
        <w:trPr>
          <w:trHeight w:val="288"/>
        </w:trPr>
        <w:tc>
          <w:tcPr>
            <w:tcW w:w="2420" w:type="dxa"/>
            <w:vAlign w:val="bottom"/>
            <w:tcBorders>
              <w:bottom w:val="single" w:sz="8" w:color="2C2C2C"/>
            </w:tcBorders>
          </w:tcPr>
          <w:p>
            <w:pPr>
              <w:spacing w:after="0"/>
              <w:rPr>
                <w:sz w:val="24"/>
                <w:szCs w:val="24"/>
                <w:color w:val="auto"/>
              </w:rPr>
            </w:pPr>
          </w:p>
        </w:tc>
        <w:tc>
          <w:tcPr>
            <w:tcW w:w="17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2"/>
                <w:szCs w:val="22"/>
                <w:color w:val="008000"/>
                <w:vertAlign w:val="superscript"/>
              </w:rPr>
              <w:t>(7)</w:t>
            </w:r>
          </w:p>
        </w:tc>
        <w:tc>
          <w:tcPr>
            <w:tcW w:w="0" w:type="dxa"/>
            <w:vAlign w:val="bottom"/>
          </w:tcPr>
          <w:p>
            <w:pPr>
              <w:spacing w:after="0"/>
              <w:rPr>
                <w:sz w:val="1"/>
                <w:szCs w:val="1"/>
                <w:color w:val="auto"/>
              </w:rPr>
            </w:pPr>
          </w:p>
        </w:tc>
      </w:tr>
      <w:tr>
        <w:trPr>
          <w:trHeight w:val="252"/>
        </w:trPr>
        <w:tc>
          <w:tcPr>
            <w:tcW w:w="242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 DGC</w:t>
            </w:r>
          </w:p>
        </w:tc>
        <w:tc>
          <w:tcPr>
            <w:tcW w:w="0" w:type="dxa"/>
            <w:vAlign w:val="bottom"/>
          </w:tcPr>
          <w:p>
            <w:pPr>
              <w:spacing w:after="0"/>
              <w:rPr>
                <w:sz w:val="1"/>
                <w:szCs w:val="1"/>
                <w:color w:val="auto"/>
              </w:rPr>
            </w:pPr>
          </w:p>
        </w:tc>
      </w:tr>
      <w:tr>
        <w:trPr>
          <w:trHeight w:val="213"/>
        </w:trPr>
        <w:tc>
          <w:tcPr>
            <w:tcW w:w="24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133,602</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Family</w:t>
            </w:r>
          </w:p>
        </w:tc>
        <w:tc>
          <w:tcPr>
            <w:tcW w:w="0" w:type="dxa"/>
            <w:vAlign w:val="bottom"/>
          </w:tcPr>
          <w:p>
            <w:pPr>
              <w:spacing w:after="0"/>
              <w:rPr>
                <w:sz w:val="1"/>
                <w:szCs w:val="1"/>
                <w:color w:val="auto"/>
              </w:rPr>
            </w:pPr>
          </w:p>
        </w:tc>
      </w:tr>
      <w:tr>
        <w:trPr>
          <w:trHeight w:val="120"/>
        </w:trPr>
        <w:tc>
          <w:tcPr>
            <w:tcW w:w="2420" w:type="dxa"/>
            <w:vAlign w:val="bottom"/>
            <w:vMerge w:val="continue"/>
          </w:tcPr>
          <w:p>
            <w:pPr>
              <w:spacing w:after="0"/>
              <w:rPr>
                <w:sz w:val="10"/>
                <w:szCs w:val="10"/>
                <w:color w:val="auto"/>
              </w:rPr>
            </w:pPr>
          </w:p>
        </w:tc>
        <w:tc>
          <w:tcPr>
            <w:tcW w:w="17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12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8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FinTech</w:t>
            </w:r>
          </w:p>
        </w:tc>
        <w:tc>
          <w:tcPr>
            <w:tcW w:w="0" w:type="dxa"/>
            <w:vAlign w:val="bottom"/>
          </w:tcPr>
          <w:p>
            <w:pPr>
              <w:spacing w:after="0"/>
              <w:rPr>
                <w:sz w:val="1"/>
                <w:szCs w:val="1"/>
                <w:color w:val="auto"/>
              </w:rPr>
            </w:pPr>
          </w:p>
        </w:tc>
      </w:tr>
      <w:tr>
        <w:trPr>
          <w:trHeight w:val="107"/>
        </w:trPr>
        <w:tc>
          <w:tcPr>
            <w:tcW w:w="2420" w:type="dxa"/>
            <w:vAlign w:val="bottom"/>
          </w:tcPr>
          <w:p>
            <w:pPr>
              <w:spacing w:after="0"/>
              <w:rPr>
                <w:sz w:val="9"/>
                <w:szCs w:val="9"/>
                <w:color w:val="auto"/>
              </w:rPr>
            </w:pPr>
          </w:p>
        </w:tc>
        <w:tc>
          <w:tcPr>
            <w:tcW w:w="17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5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92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ind w:left="10220"/>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(8)</w:t>
      </w:r>
    </w:p>
    <w:p>
      <w:pPr>
        <w:spacing w:after="0" w:line="107" w:lineRule="exact"/>
        <w:rPr>
          <w:sz w:val="24"/>
          <w:szCs w:val="24"/>
          <w:color w:val="auto"/>
        </w:rPr>
      </w:pPr>
    </w:p>
    <w:p>
      <w:pPr>
        <w:jc w:val="center"/>
        <w:ind w:right="-1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4"/>
          <w:szCs w:val="24"/>
          <w:color w:val="auto"/>
        </w:rPr>
      </w:pPr>
    </w:p>
    <w:p>
      <w:pPr>
        <w:jc w:val="center"/>
        <w:ind w:right="-119"/>
        <w:spacing w:after="0"/>
        <w:rPr>
          <w:sz w:val="20"/>
          <w:szCs w:val="20"/>
          <w:color w:val="auto"/>
        </w:rPr>
      </w:pPr>
      <w:r>
        <w:rPr>
          <w:rFonts w:ascii="Arial" w:cs="Arial" w:eastAsia="Arial" w:hAnsi="Arial"/>
          <w:sz w:val="17"/>
          <w:szCs w:val="17"/>
          <w:b w:val="1"/>
          <w:bCs w:val="1"/>
          <w:color w:val="auto"/>
        </w:rPr>
        <w:t>(e.g., puts, calls, warrants, options, convertible securities)</w:t>
      </w:r>
    </w:p>
    <w:p>
      <w:pPr>
        <w:sectPr>
          <w:pgSz w:w="11900" w:h="16838" w:orient="portrait"/>
          <w:cols w:equalWidth="0" w:num="1">
            <w:col w:w="10960"/>
          </w:cols>
          <w:pgMar w:left="460" w:top="219" w:right="479" w:bottom="1011"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7044055" cy="14598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7044055" cy="1459865"/>
                    </a:xfrm>
                    <a:prstGeom prst="rect">
                      <a:avLst/>
                    </a:prstGeom>
                    <a:noFill/>
                  </pic:spPr>
                </pic:pic>
              </a:graphicData>
            </a:graphic>
          </wp:anchor>
        </w:drawing>
      </w:r>
    </w:p>
    <w:p>
      <w:pPr>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jc w:val="both"/>
        <w:ind w:right="140" w:firstLine="7"/>
        <w:spacing w:after="0" w:line="253"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ranging from $10.00 to $10.12, inclusive. The reporting person undertakes to provide to the Issuer, any security holder of the Issuer, or the staff of the Securities and Exchange Commission, upon request, full information regarding the number of shares sold at each separate price within the range set forth above.</w:t>
      </w:r>
    </w:p>
    <w:p>
      <w:pPr>
        <w:spacing w:after="0" w:line="20" w:lineRule="exact"/>
        <w:rPr>
          <w:rFonts w:ascii="Times New Roman" w:cs="Times New Roman" w:eastAsia="Times New Roman" w:hAnsi="Times New Roman"/>
          <w:sz w:val="13"/>
          <w:szCs w:val="13"/>
          <w:color w:val="008000"/>
        </w:rPr>
      </w:pPr>
    </w:p>
    <w:p>
      <w:pPr>
        <w:ind w:right="80" w:firstLine="7"/>
        <w:spacing w:after="0" w:line="244"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held directly by FinTech Masala, LLC ("Masala LLC"), FinTech Investor Holdings IV, LLC ("Holdings"), and FinTech Masala Advisors IV, LLC ("Masala"). FinTech Masala Holdings, LLC ("Manager HoldCo") is the sole member of Masala LLC. Each of Holdings and Masala is managed by Cohen Sponsor Interests IV, LLC ("Manager"), which, in turn, is indirectly owned by Manager HoldCo. The reporting person owns one-third of Manager HoldCo. The amount reported consists of the reporting person's pecuniary interest therein. The reporting person disclaims beneficial ownership of any other securities held directly by Masala LLC, except to the extent of his pecuniary interest therein, and this report shall not be deemed an admission that the reporting person is the beneficial owner of such securities for any other purpose.</w:t>
      </w:r>
    </w:p>
    <w:p>
      <w:pPr>
        <w:spacing w:after="0" w:line="26" w:lineRule="exact"/>
        <w:rPr>
          <w:rFonts w:ascii="Times New Roman" w:cs="Times New Roman" w:eastAsia="Times New Roman" w:hAnsi="Times New Roman"/>
          <w:sz w:val="13"/>
          <w:szCs w:val="13"/>
          <w:color w:val="008000"/>
        </w:rPr>
      </w:pPr>
    </w:p>
    <w:p>
      <w:pPr>
        <w:jc w:val="both"/>
        <w:ind w:right="220" w:firstLine="7"/>
        <w:spacing w:after="0" w:line="247"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held directly by Masala LLC, Holdings, and Masala. Manager HoldCo is the sole member of Masala LLC. Each of Holdings and Masala is managed by Manager, which, in turn, is indirectly owned by Manager HoldCo. DGC Family FinTech Trust (the "Trust") owns one-third of Manager HoldCo. The amount reported consists of the Trust's pecuniary interest therein. Each of the reporting person and the Trust disclaims beneficial ownership of any other securities held directly by Holdings and Masala, except to the extent of his or its respective pecuniary interest therein, and this report shall not be deemed an admission that the reporting person or the Trust is the beneficial owner of such securities for any other purpose.</w:t>
      </w:r>
    </w:p>
    <w:p>
      <w:pPr>
        <w:spacing w:after="0" w:line="24" w:lineRule="exact"/>
        <w:rPr>
          <w:rFonts w:ascii="Times New Roman" w:cs="Times New Roman" w:eastAsia="Times New Roman" w:hAnsi="Times New Roman"/>
          <w:sz w:val="13"/>
          <w:szCs w:val="13"/>
          <w:color w:val="008000"/>
        </w:rPr>
      </w:pPr>
    </w:p>
    <w:p>
      <w:pPr>
        <w:ind w:right="80" w:firstLine="7"/>
        <w:spacing w:after="0" w:line="253"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held directly by Masala. The reporting person is a member of Masala. The amount reported consists of the reporting person's pecuniary interest therein. The reporting person disclaims beneficial ownership of any other securities held directly by Masala, except to the extent of his pecuniary interest therein, and this report shall not be deemed an admission that the reporting person is the beneficial owner of such securities for any other purpose.</w:t>
      </w:r>
    </w:p>
    <w:p>
      <w:pPr>
        <w:spacing w:after="0" w:line="20" w:lineRule="exact"/>
        <w:rPr>
          <w:rFonts w:ascii="Times New Roman" w:cs="Times New Roman" w:eastAsia="Times New Roman" w:hAnsi="Times New Roman"/>
          <w:sz w:val="13"/>
          <w:szCs w:val="13"/>
          <w:color w:val="008000"/>
        </w:rPr>
      </w:pPr>
    </w:p>
    <w:p>
      <w:pPr>
        <w:ind w:right="280" w:firstLine="7"/>
        <w:spacing w:after="0" w:line="253"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held directly by Masala. The Trust is a member of Masala. The children of the reporting person are beneficiaries of the Trust. The amount reported consists of the Trust's pecuniary interest therein. Each of the reporting person and the Trust disclaims beneficial ownership of any other securities held directly by Masala, except to the extent of his or its respective pecuniary interest therein, and this report shall not be deemed an admission that the reporting person or the Trust is the beneficial owner of such securities for any other purpose.</w:t>
      </w:r>
    </w:p>
    <w:p>
      <w:pPr>
        <w:spacing w:after="0" w:line="20" w:lineRule="exact"/>
        <w:rPr>
          <w:rFonts w:ascii="Times New Roman" w:cs="Times New Roman" w:eastAsia="Times New Roman" w:hAnsi="Times New Roman"/>
          <w:sz w:val="13"/>
          <w:szCs w:val="13"/>
          <w:color w:val="008000"/>
        </w:rPr>
      </w:pPr>
    </w:p>
    <w:p>
      <w:pPr>
        <w:ind w:left="140" w:hanging="133"/>
        <w:spacing w:after="0"/>
        <w:tabs>
          <w:tab w:leader="none" w:pos="1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held directly by the Trust. The children of the reporting person are beneficiaries of the Trust.</w:t>
      </w:r>
    </w:p>
    <w:p>
      <w:pPr>
        <w:spacing w:after="0" w:line="50" w:lineRule="exact"/>
        <w:rPr>
          <w:rFonts w:ascii="Times New Roman" w:cs="Times New Roman" w:eastAsia="Times New Roman" w:hAnsi="Times New Roman"/>
          <w:sz w:val="13"/>
          <w:szCs w:val="13"/>
          <w:color w:val="008000"/>
        </w:rPr>
      </w:pPr>
    </w:p>
    <w:p>
      <w:pPr>
        <w:ind w:right="100" w:firstLine="7"/>
        <w:spacing w:after="0" w:line="253"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held directly by Holdings and Masala, each of which is managed by Manager, which, in turn, is indirectly owned by Manager HoldCo. The reporting person owns one-third of Manager HoldCo. The amount reported consists of the reporting person's pecuniary interest therein. The reporting person disclaims beneficial ownership of any other securities held directly by Holdings and Masala, except to the extent of his pecuniary interest therein, and this report shall not be deemed an admission that the reporting person is the beneficial owner of such securities for any other purpose.</w:t>
      </w:r>
    </w:p>
    <w:p>
      <w:pPr>
        <w:spacing w:after="0" w:line="20" w:lineRule="exact"/>
        <w:rPr>
          <w:rFonts w:ascii="Times New Roman" w:cs="Times New Roman" w:eastAsia="Times New Roman" w:hAnsi="Times New Roman"/>
          <w:sz w:val="13"/>
          <w:szCs w:val="13"/>
          <w:color w:val="008000"/>
        </w:rPr>
      </w:pPr>
    </w:p>
    <w:p>
      <w:pPr>
        <w:ind w:right="120" w:firstLine="7"/>
        <w:spacing w:after="0" w:line="247"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held directly by Holdings and Masala, each of which is managed by Manager, which, in turn, is indirectly owned by Manager HoldCo. The Trust owns one-third of Manager HoldCo. The amount reported consists of the Trust's pecuniary interest therein. Each of the reporting person and the Trust disclaims beneficial ownership of any other securities held directly by Holdings and Masala, except to the extent of his or its respective pecuniary interest therein, and this report shall not be deemed an admission that the reporting person or the Trust is the beneficial owner of such securities for any other purpose.</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110" w:lineRule="exact"/>
        <w:rPr>
          <w:sz w:val="20"/>
          <w:szCs w:val="20"/>
          <w:color w:val="auto"/>
        </w:rPr>
      </w:pPr>
    </w:p>
    <w:tbl>
      <w:tblPr>
        <w:tblLayout w:type="fixed"/>
        <w:tblInd w:w="654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Mark Polemeni, Attorney-</w:t>
            </w:r>
          </w:p>
        </w:tc>
        <w:tc>
          <w:tcPr>
            <w:tcW w:w="8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03/03/2023</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260" w:firstLine="7"/>
        <w:spacing w:after="0" w:line="320"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60"/>
      </w:cols>
      <w:pgMar w:left="500" w:top="18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247745" TargetMode="External"/><Relationship Id="rId13" Type="http://schemas.openxmlformats.org/officeDocument/2006/relationships/hyperlink" Target="http://www.sec.gov/cgi-bin/browse-edgar?action=getcompany&amp;CIK=000177783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2023-03-03T19:02:01Z</dcterms:created>
  <dcterms:modified xsi:type="dcterms:W3CDTF">2023-03-03T19:02:01Z</dcterms:modified>
</cp:coreProperties>
</file>