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 2024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2024, Perella Weinberg Partners (the “Company”) issued a press release announcing its financial results for the fiscal quarter ended June 30, 2024.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August 2, 2024</w:t>
            </w:r>
          </w:p>
        </w:tc>
        <w:tc>
          <w:tcPr>
            <w:tcW w:w="556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5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 2024</w:t>
      </w:r>
    </w:p>
    <w:p>
      <w:pPr>
        <w:sectPr>
          <w:pgSz w:w="11900" w:h="16838" w:orient="portrait"/>
          <w:cols w:equalWidth="0" w:num="1">
            <w:col w:w="10920"/>
          </w:cols>
          <w:pgMar w:left="320" w:top="779"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29"/>
          <w:szCs w:val="29"/>
          <w:color w:val="auto"/>
        </w:rPr>
        <w:t>Perella Weinberg Reports Second Quarter 2024 Results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Second Quarter</w:t>
      </w:r>
    </w:p>
    <w:p>
      <w:pPr>
        <w:spacing w:after="0" w:line="191"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$272 Million, Up 64%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Pre-Tax Income of $63 Million, GAAP Pre-Tax Loss of $(81)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$0.43; GAAP Diluted EPS of $(1.21)</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First Half</w:t>
      </w:r>
    </w:p>
    <w:p>
      <w:pPr>
        <w:spacing w:after="0" w:line="204"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$374 Million, Up 26% From a Year Ago</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Pre-Tax Income of $45 Million, GAAP Pre-Tax Loss of $(132) Million</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$0.34; GAAP Diluted EPS of $(1.96)</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91"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Year-to-Date Added Three New Partners and Nine New Managing Directors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Two Additional Partners and One Additional Managing Director Joining Firm Later This Year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1" w:lineRule="exact"/>
        <w:rPr>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$185 Million of Cash and No Debt</w:t>
      </w:r>
    </w:p>
    <w:p>
      <w:pPr>
        <w:spacing w:after="0" w:line="188" w:lineRule="exact"/>
        <w:rPr>
          <w:rFonts w:ascii="Arial" w:cs="Arial" w:eastAsia="Arial" w:hAnsi="Arial"/>
          <w:sz w:val="20"/>
          <w:szCs w:val="20"/>
          <w:i w:val="1"/>
          <w:iCs w:val="1"/>
          <w:color w:val="auto"/>
        </w:rPr>
      </w:pPr>
    </w:p>
    <w:p>
      <w:pPr>
        <w:ind w:left="580" w:right="1480" w:hanging="329"/>
        <w:spacing w:after="0" w:line="271" w:lineRule="auto"/>
        <w:tabs>
          <w:tab w:leader="none" w:pos="568"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Retired Approximately 10.4 Million Share Equivalents through Purchase, Exchange and Net Settlement</w:t>
      </w:r>
    </w:p>
    <w:p>
      <w:pPr>
        <w:spacing w:after="0" w:line="12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85.8 Million Shares Outstanding at June 30, 2024, Down from 94.2 Million at March 31, 2024</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Returned $162 Million in Total to Equity Holders</w:t>
      </w:r>
    </w:p>
    <w:p>
      <w:pPr>
        <w:spacing w:after="0" w:line="188" w:lineRule="exact"/>
        <w:rPr>
          <w:rFonts w:ascii="Arial" w:cs="Arial" w:eastAsia="Arial" w:hAnsi="Arial"/>
          <w:sz w:val="20"/>
          <w:szCs w:val="20"/>
          <w:color w:val="auto"/>
        </w:rPr>
      </w:pPr>
    </w:p>
    <w:p>
      <w:pPr>
        <w:ind w:left="560" w:hanging="309"/>
        <w:spacing w:after="0"/>
        <w:tabs>
          <w:tab w:leader="none" w:pos="56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40" w:right="140"/>
        <w:spacing w:after="0" w:line="318" w:lineRule="auto"/>
        <w:rPr>
          <w:sz w:val="20"/>
          <w:szCs w:val="20"/>
          <w:color w:val="auto"/>
        </w:rPr>
      </w:pPr>
      <w:r>
        <w:rPr>
          <w:rFonts w:ascii="Arial" w:cs="Arial" w:eastAsia="Arial" w:hAnsi="Arial"/>
          <w:sz w:val="20"/>
          <w:szCs w:val="20"/>
          <w:color w:val="auto"/>
        </w:rPr>
        <w:t>“We delivered strong results, with revenues hitting a quarterly record for the Firm. We continue to execute on our scaling strategy through steady and deliberate investment in talent to increase our client coverage footprint and we are encouraged by the momentum across our business – our results reflect the combined impact of an improving market environment with the right coverage, product and geographic teams in place across our platform,” stated Andrew Bednar, Chief Executive Officer.</w:t>
      </w:r>
    </w:p>
    <w:p>
      <w:pPr>
        <w:spacing w:after="0" w:line="200" w:lineRule="exact"/>
        <w:rPr>
          <w:sz w:val="20"/>
          <w:szCs w:val="20"/>
          <w:color w:val="auto"/>
        </w:rPr>
      </w:pPr>
    </w:p>
    <w:p>
      <w:pPr>
        <w:spacing w:after="0" w:line="245" w:lineRule="exact"/>
        <w:rPr>
          <w:sz w:val="20"/>
          <w:szCs w:val="20"/>
          <w:color w:val="auto"/>
        </w:rPr>
      </w:pPr>
    </w:p>
    <w:p>
      <w:pPr>
        <w:ind w:right="180"/>
        <w:spacing w:after="0" w:line="344" w:lineRule="auto"/>
        <w:rPr>
          <w:sz w:val="20"/>
          <w:szCs w:val="20"/>
          <w:color w:val="auto"/>
        </w:rPr>
      </w:pPr>
      <w:r>
        <w:rPr>
          <w:rFonts w:ascii="Arial" w:cs="Arial" w:eastAsia="Arial" w:hAnsi="Arial"/>
          <w:sz w:val="20"/>
          <w:szCs w:val="20"/>
          <w:b w:val="1"/>
          <w:bCs w:val="1"/>
          <w:color w:val="auto"/>
        </w:rPr>
        <w:t xml:space="preserve">NEW YORK, NY, August 2, 2024 </w:t>
      </w:r>
      <w:r>
        <w:rPr>
          <w:rFonts w:ascii="Arial" w:cs="Arial" w:eastAsia="Arial" w:hAnsi="Arial"/>
          <w:sz w:val="20"/>
          <w:szCs w:val="20"/>
          <w:color w:val="auto"/>
        </w:rPr>
        <w:t>– Perella Weinberg Partners (the “Firm” or “PWP”) (NASDAQ:PWP)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second quarter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8"/>
        <w:spacing w:after="0" w:line="265"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Revenues</w:t>
      </w:r>
    </w:p>
    <w:p>
      <w:pPr>
        <w:spacing w:after="0" w:line="29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the second quarter of 2024, revenues were $272.0 million, an increase of 64% from $165.5 million for the second quarter of 2023. For the first half of 2024, revenues were $374.1 million, an increase of 26% from $297.0 million for the first half of 2023. The higher revenues in both current year periods was attributable to increased mergers and acquisition and financing and capital solutions activity, driven by larger transactions and related fee events across the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ectPr>
          <w:pgSz w:w="11900" w:h="16838" w:orient="portrait"/>
          <w:cols w:equalWidth="0" w:num="1">
            <w:col w:w="11240"/>
          </w:cols>
          <w:pgMar w:left="320" w:top="1412" w:right="339" w:bottom="1440" w:gutter="0" w:footer="0" w:header="0"/>
        </w:sectPr>
      </w:pPr>
    </w:p>
    <w:p>
      <w:pPr>
        <w:spacing w:after="0" w:line="28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503C64"/>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17780</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 w:lineRule="exact"/>
        <w:rPr>
          <w:sz w:val="20"/>
          <w:szCs w:val="20"/>
          <w:color w:val="auto"/>
        </w:rPr>
      </w:pPr>
    </w:p>
    <w:p>
      <w:pPr>
        <w:ind w:left="3040"/>
        <w:spacing w:after="0"/>
        <w:tabs>
          <w:tab w:leader="none" w:pos="5260" w:val="left"/>
        </w:tabs>
        <w:rPr>
          <w:sz w:val="20"/>
          <w:szCs w:val="20"/>
          <w:color w:val="auto"/>
        </w:rPr>
      </w:pPr>
      <w:r>
        <w:rPr>
          <w:rFonts w:ascii="Arial" w:cs="Arial" w:eastAsia="Arial" w:hAnsi="Arial"/>
          <w:sz w:val="17"/>
          <w:szCs w:val="17"/>
          <w:b w:val="1"/>
          <w:bCs w:val="1"/>
          <w:color w:val="503C64"/>
        </w:rPr>
        <w:t>2024</w:t>
      </w:r>
      <w:r>
        <w:rPr>
          <w:sz w:val="20"/>
          <w:szCs w:val="20"/>
          <w:color w:val="auto"/>
        </w:rPr>
        <w:tab/>
      </w:r>
      <w:r>
        <w:rPr>
          <w:rFonts w:ascii="Arial" w:cs="Arial" w:eastAsia="Arial" w:hAnsi="Arial"/>
          <w:sz w:val="17"/>
          <w:szCs w:val="17"/>
          <w:b w:val="1"/>
          <w:bCs w:val="1"/>
          <w:color w:val="503C64"/>
        </w:rPr>
        <w:t>2023</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503C64"/>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17780</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 w:lineRule="exact"/>
        <w:rPr>
          <w:sz w:val="20"/>
          <w:szCs w:val="20"/>
          <w:color w:val="auto"/>
        </w:rPr>
      </w:pPr>
    </w:p>
    <w:p>
      <w:pPr>
        <w:spacing w:after="0"/>
        <w:tabs>
          <w:tab w:leader="none" w:pos="2220" w:val="left"/>
        </w:tabs>
        <w:rPr>
          <w:sz w:val="20"/>
          <w:szCs w:val="20"/>
          <w:color w:val="auto"/>
        </w:rPr>
      </w:pPr>
      <w:r>
        <w:rPr>
          <w:rFonts w:ascii="Arial" w:cs="Arial" w:eastAsia="Arial" w:hAnsi="Arial"/>
          <w:sz w:val="17"/>
          <w:szCs w:val="17"/>
          <w:b w:val="1"/>
          <w:bCs w:val="1"/>
          <w:color w:val="503C64"/>
        </w:rPr>
        <w:t>2024</w:t>
      </w:r>
      <w:r>
        <w:rPr>
          <w:sz w:val="20"/>
          <w:szCs w:val="20"/>
          <w:color w:val="auto"/>
        </w:rPr>
        <w:tab/>
      </w:r>
      <w:r>
        <w:rPr>
          <w:rFonts w:ascii="Arial" w:cs="Arial" w:eastAsia="Arial" w:hAnsi="Arial"/>
          <w:sz w:val="17"/>
          <w:szCs w:val="17"/>
          <w:b w:val="1"/>
          <w:bCs w:val="1"/>
          <w:color w:val="503C64"/>
        </w:rPr>
        <w:t>2023</w:t>
      </w:r>
    </w:p>
    <w:p>
      <w:pPr>
        <w:spacing w:after="0" w:line="36" w:lineRule="exact"/>
        <w:rPr>
          <w:sz w:val="20"/>
          <w:szCs w:val="20"/>
          <w:color w:val="auto"/>
        </w:rPr>
      </w:pPr>
    </w:p>
    <w:p>
      <w:pPr>
        <w:sectPr>
          <w:pgSz w:w="11900" w:h="16838" w:orient="portrait"/>
          <w:cols w:equalWidth="0" w:num="2">
            <w:col w:w="6800" w:space="720"/>
            <w:col w:w="3720"/>
          </w:cols>
          <w:pgMar w:left="320" w:top="1412" w:right="339" w:bottom="1440" w:gutter="0" w:footer="0" w:header="0"/>
          <w:type w:val="continuous"/>
        </w:sectPr>
      </w:pPr>
    </w:p>
    <w:tbl>
      <w:tblPr>
        <w:tblLayout w:type="fixed"/>
        <w:tblInd w:w="220" w:type="dxa"/>
        <w:tblCellMar>
          <w:top w:w="0" w:type="dxa"/>
          <w:left w:w="0" w:type="dxa"/>
          <w:bottom w:w="0" w:type="dxa"/>
          <w:right w:w="0" w:type="dxa"/>
        </w:tblCellMar>
      </w:tblPr>
      <w:tr>
        <w:trPr>
          <w:trHeight w:val="196"/>
        </w:trPr>
        <w:tc>
          <w:tcPr>
            <w:tcW w:w="1940" w:type="dxa"/>
            <w:vAlign w:val="bottom"/>
            <w:tcBorders>
              <w:top w:val="single" w:sz="8" w:color="B6B6B6"/>
              <w:bottom w:val="single" w:sz="8" w:color="B6B6B6"/>
            </w:tcBorders>
            <w:vMerge w:val="restart"/>
          </w:tcPr>
          <w:p>
            <w:pPr>
              <w:jc w:val="center"/>
              <w:ind w:right="130"/>
              <w:spacing w:after="0"/>
              <w:rPr>
                <w:sz w:val="20"/>
                <w:szCs w:val="20"/>
                <w:color w:val="auto"/>
              </w:rPr>
            </w:pPr>
            <w:r>
              <w:rPr>
                <w:rFonts w:ascii="Arial" w:cs="Arial" w:eastAsia="Arial" w:hAnsi="Arial"/>
                <w:sz w:val="18"/>
                <w:szCs w:val="18"/>
                <w:b w:val="1"/>
                <w:bCs w:val="1"/>
                <w:color w:val="auto"/>
                <w:w w:val="99"/>
              </w:rPr>
              <w:t>Operating expenses</w:t>
            </w:r>
          </w:p>
        </w:tc>
        <w:tc>
          <w:tcPr>
            <w:tcW w:w="20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54"/>
              <w:spacing w:after="0"/>
              <w:rPr>
                <w:sz w:val="20"/>
                <w:szCs w:val="20"/>
                <w:color w:val="auto"/>
              </w:rPr>
            </w:pPr>
            <w:r>
              <w:rPr>
                <w:rFonts w:ascii="Arial" w:cs="Arial" w:eastAsia="Arial" w:hAnsi="Arial"/>
                <w:sz w:val="14"/>
                <w:szCs w:val="14"/>
                <w:b w:val="1"/>
                <w:bCs w:val="1"/>
                <w:color w:val="503C64"/>
              </w:rPr>
              <w:t>GAAP</w:t>
            </w:r>
          </w:p>
        </w:tc>
        <w:tc>
          <w:tcPr>
            <w:tcW w:w="220" w:type="dxa"/>
            <w:vAlign w:val="bottom"/>
            <w:tcBorders>
              <w:top w:val="single" w:sz="8" w:color="B6B6B6"/>
              <w:bottom w:val="single" w:sz="8" w:color="B6B6B6"/>
            </w:tcBorders>
          </w:tcPr>
          <w:p>
            <w:pPr>
              <w:spacing w:after="0"/>
              <w:rPr>
                <w:sz w:val="17"/>
                <w:szCs w:val="17"/>
                <w:color w:val="auto"/>
              </w:rPr>
            </w:pPr>
          </w:p>
        </w:tc>
        <w:tc>
          <w:tcPr>
            <w:tcW w:w="900" w:type="dxa"/>
            <w:vAlign w:val="bottom"/>
            <w:tcBorders>
              <w:top w:val="single" w:sz="8" w:color="B6B6B6"/>
              <w:bottom w:val="single" w:sz="8" w:color="B6B6B6"/>
            </w:tcBorders>
          </w:tcPr>
          <w:p>
            <w:pPr>
              <w:jc w:val="right"/>
              <w:ind w:right="156"/>
              <w:spacing w:after="0"/>
              <w:rPr>
                <w:sz w:val="20"/>
                <w:szCs w:val="20"/>
                <w:color w:val="auto"/>
              </w:rPr>
            </w:pPr>
            <w:r>
              <w:rPr>
                <w:rFonts w:ascii="Arial" w:cs="Arial" w:eastAsia="Arial" w:hAnsi="Arial"/>
                <w:sz w:val="14"/>
                <w:szCs w:val="14"/>
                <w:b w:val="1"/>
                <w:bCs w:val="1"/>
                <w:color w:val="503C64"/>
              </w:rPr>
              <w:t>Adjusted</w:t>
            </w:r>
          </w:p>
        </w:tc>
        <w:tc>
          <w:tcPr>
            <w:tcW w:w="28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74"/>
              <w:spacing w:after="0"/>
              <w:rPr>
                <w:sz w:val="20"/>
                <w:szCs w:val="20"/>
                <w:color w:val="auto"/>
              </w:rPr>
            </w:pPr>
            <w:r>
              <w:rPr>
                <w:rFonts w:ascii="Arial" w:cs="Arial" w:eastAsia="Arial" w:hAnsi="Arial"/>
                <w:sz w:val="14"/>
                <w:szCs w:val="14"/>
                <w:b w:val="1"/>
                <w:bCs w:val="1"/>
                <w:color w:val="503C64"/>
              </w:rPr>
              <w:t>GAAP</w:t>
            </w:r>
          </w:p>
        </w:tc>
        <w:tc>
          <w:tcPr>
            <w:tcW w:w="20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134"/>
              <w:spacing w:after="0"/>
              <w:rPr>
                <w:sz w:val="20"/>
                <w:szCs w:val="20"/>
                <w:color w:val="auto"/>
              </w:rPr>
            </w:pPr>
            <w:r>
              <w:rPr>
                <w:rFonts w:ascii="Arial" w:cs="Arial" w:eastAsia="Arial" w:hAnsi="Arial"/>
                <w:sz w:val="14"/>
                <w:szCs w:val="14"/>
                <w:b w:val="1"/>
                <w:bCs w:val="1"/>
                <w:color w:val="503C64"/>
              </w:rPr>
              <w:t>Adjusted</w:t>
            </w:r>
          </w:p>
        </w:tc>
        <w:tc>
          <w:tcPr>
            <w:tcW w:w="80" w:type="dxa"/>
            <w:vAlign w:val="bottom"/>
          </w:tcPr>
          <w:p>
            <w:pPr>
              <w:spacing w:after="0"/>
              <w:rPr>
                <w:sz w:val="17"/>
                <w:szCs w:val="17"/>
                <w:color w:val="auto"/>
              </w:rPr>
            </w:pPr>
          </w:p>
        </w:tc>
        <w:tc>
          <w:tcPr>
            <w:tcW w:w="22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74"/>
              <w:spacing w:after="0"/>
              <w:rPr>
                <w:sz w:val="20"/>
                <w:szCs w:val="20"/>
                <w:color w:val="auto"/>
              </w:rPr>
            </w:pPr>
            <w:r>
              <w:rPr>
                <w:rFonts w:ascii="Arial" w:cs="Arial" w:eastAsia="Arial" w:hAnsi="Arial"/>
                <w:sz w:val="14"/>
                <w:szCs w:val="14"/>
                <w:b w:val="1"/>
                <w:bCs w:val="1"/>
                <w:color w:val="503C64"/>
              </w:rPr>
              <w:t>GAAP</w:t>
            </w:r>
          </w:p>
        </w:tc>
        <w:tc>
          <w:tcPr>
            <w:tcW w:w="200" w:type="dxa"/>
            <w:vAlign w:val="bottom"/>
            <w:tcBorders>
              <w:top w:val="single" w:sz="8" w:color="B6B6B6"/>
              <w:bottom w:val="single" w:sz="8" w:color="B6B6B6"/>
            </w:tcBorders>
          </w:tcPr>
          <w:p>
            <w:pPr>
              <w:spacing w:after="0"/>
              <w:rPr>
                <w:sz w:val="17"/>
                <w:szCs w:val="17"/>
                <w:color w:val="auto"/>
              </w:rPr>
            </w:pPr>
          </w:p>
        </w:tc>
        <w:tc>
          <w:tcPr>
            <w:tcW w:w="920" w:type="dxa"/>
            <w:vAlign w:val="bottom"/>
            <w:tcBorders>
              <w:top w:val="single" w:sz="8" w:color="B6B6B6"/>
              <w:bottom w:val="single" w:sz="8" w:color="B6B6B6"/>
            </w:tcBorders>
          </w:tcPr>
          <w:p>
            <w:pPr>
              <w:jc w:val="right"/>
              <w:ind w:right="176"/>
              <w:spacing w:after="0"/>
              <w:rPr>
                <w:sz w:val="20"/>
                <w:szCs w:val="20"/>
                <w:color w:val="auto"/>
              </w:rPr>
            </w:pPr>
            <w:r>
              <w:rPr>
                <w:rFonts w:ascii="Arial" w:cs="Arial" w:eastAsia="Arial" w:hAnsi="Arial"/>
                <w:sz w:val="14"/>
                <w:szCs w:val="14"/>
                <w:b w:val="1"/>
                <w:bCs w:val="1"/>
                <w:color w:val="503C64"/>
              </w:rPr>
              <w:t>Adjusted</w:t>
            </w:r>
          </w:p>
        </w:tc>
        <w:tc>
          <w:tcPr>
            <w:tcW w:w="260" w:type="dxa"/>
            <w:vAlign w:val="bottom"/>
            <w:tcBorders>
              <w:top w:val="single" w:sz="8" w:color="B6B6B6"/>
              <w:bottom w:val="single" w:sz="8" w:color="B6B6B6"/>
            </w:tcBorders>
          </w:tcPr>
          <w:p>
            <w:pPr>
              <w:spacing w:after="0"/>
              <w:rPr>
                <w:sz w:val="17"/>
                <w:szCs w:val="17"/>
                <w:color w:val="auto"/>
              </w:rPr>
            </w:pPr>
          </w:p>
        </w:tc>
        <w:tc>
          <w:tcPr>
            <w:tcW w:w="860" w:type="dxa"/>
            <w:vAlign w:val="bottom"/>
            <w:tcBorders>
              <w:top w:val="single" w:sz="8" w:color="B6B6B6"/>
              <w:bottom w:val="single" w:sz="8" w:color="B6B6B6"/>
            </w:tcBorders>
          </w:tcPr>
          <w:p>
            <w:pPr>
              <w:jc w:val="right"/>
              <w:ind w:right="274"/>
              <w:spacing w:after="0"/>
              <w:rPr>
                <w:sz w:val="20"/>
                <w:szCs w:val="20"/>
                <w:color w:val="auto"/>
              </w:rPr>
            </w:pPr>
            <w:r>
              <w:rPr>
                <w:rFonts w:ascii="Arial" w:cs="Arial" w:eastAsia="Arial" w:hAnsi="Arial"/>
                <w:sz w:val="14"/>
                <w:szCs w:val="14"/>
                <w:b w:val="1"/>
                <w:bCs w:val="1"/>
                <w:color w:val="503C64"/>
              </w:rPr>
              <w:t>GAAP</w:t>
            </w:r>
          </w:p>
        </w:tc>
        <w:tc>
          <w:tcPr>
            <w:tcW w:w="200" w:type="dxa"/>
            <w:vAlign w:val="bottom"/>
            <w:tcBorders>
              <w:top w:val="single" w:sz="8" w:color="B6B6B6"/>
              <w:bottom w:val="single" w:sz="8" w:color="B6B6B6"/>
            </w:tcBorders>
          </w:tcPr>
          <w:p>
            <w:pPr>
              <w:spacing w:after="0"/>
              <w:rPr>
                <w:sz w:val="17"/>
                <w:szCs w:val="17"/>
                <w:color w:val="auto"/>
              </w:rPr>
            </w:pPr>
          </w:p>
        </w:tc>
        <w:tc>
          <w:tcPr>
            <w:tcW w:w="880" w:type="dxa"/>
            <w:vAlign w:val="bottom"/>
            <w:tcBorders>
              <w:top w:val="single" w:sz="8" w:color="B6B6B6"/>
              <w:bottom w:val="single" w:sz="8" w:color="B6B6B6"/>
            </w:tcBorders>
          </w:tcPr>
          <w:p>
            <w:pPr>
              <w:jc w:val="right"/>
              <w:ind w:right="13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4"/>
        </w:trPr>
        <w:tc>
          <w:tcPr>
            <w:tcW w:w="1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503C64"/>
              </w:rPr>
              <w:t>(Dollars in Millions)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503C64"/>
              </w:rPr>
              <w:t>(Dollars in Millions)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4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9"/>
              </w:rPr>
              <w:t>Total compensation</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74"/>
              <w:spacing w:after="0"/>
              <w:rPr>
                <w:sz w:val="20"/>
                <w:szCs w:val="20"/>
                <w:color w:val="auto"/>
              </w:rPr>
            </w:pPr>
            <w:r>
              <w:rPr>
                <w:rFonts w:ascii="Arial" w:cs="Arial" w:eastAsia="Arial" w:hAnsi="Arial"/>
                <w:sz w:val="18"/>
                <w:szCs w:val="18"/>
                <w:color w:val="auto"/>
              </w:rPr>
              <w:t>310.5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76"/>
              <w:spacing w:after="0"/>
              <w:rPr>
                <w:sz w:val="20"/>
                <w:szCs w:val="20"/>
                <w:color w:val="auto"/>
              </w:rPr>
            </w:pPr>
            <w:r>
              <w:rPr>
                <w:rFonts w:ascii="Arial" w:cs="Arial" w:eastAsia="Arial" w:hAnsi="Arial"/>
                <w:sz w:val="18"/>
                <w:szCs w:val="18"/>
                <w:color w:val="auto"/>
              </w:rPr>
              <w:t>168.3</w:t>
            </w: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148.4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425.9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96"/>
              <w:spacing w:after="0"/>
              <w:rPr>
                <w:sz w:val="20"/>
                <w:szCs w:val="20"/>
                <w:color w:val="auto"/>
              </w:rPr>
            </w:pPr>
            <w:r>
              <w:rPr>
                <w:rFonts w:ascii="Arial" w:cs="Arial" w:eastAsia="Arial" w:hAnsi="Arial"/>
                <w:sz w:val="18"/>
                <w:szCs w:val="18"/>
                <w:color w:val="auto"/>
              </w:rPr>
              <w:t>254.4</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266.1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r>
              <w:rPr>
                <w:rFonts w:ascii="Arial" w:cs="Arial" w:eastAsia="Arial" w:hAnsi="Arial"/>
                <w:sz w:val="18"/>
                <w:szCs w:val="18"/>
                <w:color w:val="auto"/>
              </w:rPr>
              <w:t>and benefits</w:t>
            </w: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940" w:type="dxa"/>
            <w:vAlign w:val="bottom"/>
          </w:tcPr>
          <w:p>
            <w:pPr>
              <w:jc w:val="center"/>
              <w:ind w:right="110"/>
              <w:spacing w:after="0"/>
              <w:rPr>
                <w:sz w:val="20"/>
                <w:szCs w:val="20"/>
                <w:color w:val="auto"/>
              </w:rPr>
            </w:pPr>
            <w:r>
              <w:rPr>
                <w:rFonts w:ascii="Arial" w:cs="Arial" w:eastAsia="Arial" w:hAnsi="Arial"/>
                <w:sz w:val="18"/>
                <w:szCs w:val="18"/>
                <w:i w:val="1"/>
                <w:iCs w:val="1"/>
                <w:color w:val="auto"/>
                <w:w w:val="99"/>
              </w:rPr>
              <w:t>% of Revenues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114 %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62 %</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114 %</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68 %</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67 %</w:t>
            </w:r>
          </w:p>
        </w:tc>
        <w:tc>
          <w:tcPr>
            <w:tcW w:w="0" w:type="dxa"/>
            <w:vAlign w:val="bottom"/>
          </w:tcPr>
          <w:p>
            <w:pPr>
              <w:spacing w:after="0"/>
              <w:rPr>
                <w:sz w:val="1"/>
                <w:szCs w:val="1"/>
                <w:color w:val="auto"/>
              </w:rPr>
            </w:pPr>
          </w:p>
        </w:tc>
      </w:tr>
      <w:tr>
        <w:trPr>
          <w:trHeight w:val="189"/>
        </w:trPr>
        <w:tc>
          <w:tcPr>
            <w:tcW w:w="1940" w:type="dxa"/>
            <w:vAlign w:val="bottom"/>
          </w:tcPr>
          <w:p>
            <w:pPr>
              <w:jc w:val="center"/>
              <w:ind w:right="130"/>
              <w:spacing w:after="0" w:line="189" w:lineRule="exact"/>
              <w:rPr>
                <w:sz w:val="20"/>
                <w:szCs w:val="20"/>
                <w:color w:val="auto"/>
              </w:rPr>
            </w:pPr>
            <w:r>
              <w:rPr>
                <w:rFonts w:ascii="Arial" w:cs="Arial" w:eastAsia="Arial" w:hAnsi="Arial"/>
                <w:sz w:val="18"/>
                <w:szCs w:val="18"/>
                <w:color w:val="auto"/>
              </w:rPr>
              <w:t>Non-compensation</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74"/>
              <w:spacing w:after="0"/>
              <w:rPr>
                <w:sz w:val="20"/>
                <w:szCs w:val="20"/>
                <w:color w:val="auto"/>
              </w:rPr>
            </w:pPr>
            <w:r>
              <w:rPr>
                <w:rFonts w:ascii="Arial" w:cs="Arial" w:eastAsia="Arial" w:hAnsi="Arial"/>
                <w:sz w:val="18"/>
                <w:szCs w:val="18"/>
                <w:color w:val="auto"/>
              </w:rPr>
              <w:t>43.8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76"/>
              <w:spacing w:after="0"/>
              <w:rPr>
                <w:sz w:val="20"/>
                <w:szCs w:val="20"/>
                <w:color w:val="auto"/>
              </w:rPr>
            </w:pPr>
            <w:r>
              <w:rPr>
                <w:rFonts w:ascii="Arial" w:cs="Arial" w:eastAsia="Arial" w:hAnsi="Arial"/>
                <w:sz w:val="18"/>
                <w:szCs w:val="18"/>
                <w:color w:val="auto"/>
              </w:rPr>
              <w:t>41.2</w:t>
            </w: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38.9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84.1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96"/>
              <w:spacing w:after="0"/>
              <w:rPr>
                <w:sz w:val="20"/>
                <w:szCs w:val="20"/>
                <w:color w:val="auto"/>
              </w:rPr>
            </w:pPr>
            <w:r>
              <w:rPr>
                <w:rFonts w:ascii="Arial" w:cs="Arial" w:eastAsia="Arial" w:hAnsi="Arial"/>
                <w:sz w:val="18"/>
                <w:szCs w:val="18"/>
                <w:color w:val="auto"/>
              </w:rPr>
              <w:t>78.2</w:t>
            </w: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94"/>
              <w:spacing w:after="0"/>
              <w:rPr>
                <w:sz w:val="20"/>
                <w:szCs w:val="20"/>
                <w:color w:val="auto"/>
              </w:rPr>
            </w:pPr>
            <w:r>
              <w:rPr>
                <w:rFonts w:ascii="Arial" w:cs="Arial" w:eastAsia="Arial" w:hAnsi="Arial"/>
                <w:sz w:val="18"/>
                <w:szCs w:val="18"/>
                <w:color w:val="auto"/>
              </w:rPr>
              <w:t>75.4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940" w:type="dxa"/>
            <w:vAlign w:val="bottom"/>
          </w:tcPr>
          <w:p>
            <w:pPr>
              <w:jc w:val="center"/>
              <w:ind w:right="110"/>
              <w:spacing w:after="0"/>
              <w:rPr>
                <w:sz w:val="20"/>
                <w:szCs w:val="20"/>
                <w:color w:val="auto"/>
              </w:rPr>
            </w:pPr>
            <w:r>
              <w:rPr>
                <w:rFonts w:ascii="Arial" w:cs="Arial" w:eastAsia="Arial" w:hAnsi="Arial"/>
                <w:sz w:val="18"/>
                <w:szCs w:val="18"/>
                <w:i w:val="1"/>
                <w:iCs w:val="1"/>
                <w:color w:val="auto"/>
                <w:w w:val="99"/>
              </w:rPr>
              <w:t>% of Revenues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As previously disclosed, effective April 1, 2024, we merged AdCo Professional Partners LP (“Professional Partners”) with PWP Holdings LP (“PWP OpCo”). During the second quarter of 2024, we accelerated the vesting of certain partnership unit awards, some of which were modified to allow for conversion into cash upon vesting to facilitate the payment of taxes associated with the vesting of these awards to align with the treatment of restricted stock units (collectively, the “Vesting Acceleration”). Pursuant to GAAP, this modification caused certain awards to be reclassified from equity to liability classification, resulting in incremental compensation expense from fair value measurement through the date of vesting.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310"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total compensation and benefits were $310.5 million for the second quarter of 2024, compared to $148.4 million for the second quarter of 2023, which includes in the current period incremental compensation expense related to the one-time Vesting Acceleration. Adjusted total compensation and benefits were $168.3 million for the second quarter of 2024, compared to $113.6 million for the same period a year ago. The increase in total compensation and benefits was due to a larger bonus accrual on an absolute dollar basis associated with higher revenues, partially offset by the quarterly impact of decreasing the year-to-date adjusted compensation ratio to 68%.</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type w:val="continuous"/>
        </w:sectPr>
      </w:pPr>
    </w:p>
    <w:bookmarkStart w:id="5" w:name="page6"/>
    <w:bookmarkEnd w:id="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8" w:lineRule="auto"/>
        <w:rPr>
          <w:sz w:val="20"/>
          <w:szCs w:val="20"/>
          <w:color w:val="auto"/>
        </w:rPr>
      </w:pPr>
      <w:r>
        <w:rPr>
          <w:rFonts w:ascii="Arial" w:cs="Arial" w:eastAsia="Arial" w:hAnsi="Arial"/>
          <w:sz w:val="20"/>
          <w:szCs w:val="20"/>
          <w:color w:val="auto"/>
        </w:rPr>
        <w:t>GAAP non-compensation expenses were $43.8 million for the second quarter of 2024, compared to $38.9 million for the second quarter of 2023. Adjusted non-compensation expenses were $41.2 million for the second quarter of 2024, compared to $36.4 million for the same period a year ago. The increase in non-compensation expenses was largely driven by an increase in professional fees including legal, higher depreciation expense tied to our New York office renovation, and a bad debt write-off, partially offset by a decline in general, administrative and other expenses and lower rent and occupancy costs.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Six Months Ended</w:t>
      </w:r>
    </w:p>
    <w:p>
      <w:pPr>
        <w:spacing w:after="0" w:line="200" w:lineRule="exact"/>
        <w:rPr>
          <w:sz w:val="20"/>
          <w:szCs w:val="20"/>
          <w:color w:val="auto"/>
        </w:rPr>
      </w:pPr>
    </w:p>
    <w:p>
      <w:pPr>
        <w:spacing w:after="0" w:line="20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$425.9 million for the six months ended June 30, 2024, compared to $266.1 million for the prior year period, which includes in the current period incremental compensation expense related to the one-time Vesting Acceleration. Adjusted total compensation and benefits were $254.4 million for the six months ended June 30, 2024, compared to $199.0 million for the same period a year ago. The increase in total compensation and benefits was due to a larger bonus accrual on an absolute dollar basis associated with higher revenues along with a higher compensation margin. At the end of the second quarter, the Firm accrued year-to-date adjusted compensation at a 68% margin, reflecting business and industry conditions and the need to support talent investment.</w:t>
      </w:r>
    </w:p>
    <w:p>
      <w:pPr>
        <w:spacing w:after="0" w:line="209"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GAAP non-compensation expenses were $84.1 million for the six months ended June 30, 2024, compared to $75.4 million for the prior year period. Adjusted non-compensation expenses were $78.2 million for the six months ended June 30, 2024, compared to $70.9 million for the same period a year ago. The increase in non-compensation expenses was largely driven by an increase in professional fees including legal, higher depreciation expense tied to our New York and London office renovation and relocation, and a bad debt write-off, partially offset by a decline in general, administrative and other expenses and lower rent and occupancy costs.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Perella Weinberg Partners currently owns 61.5% of the operating partnership (PWP OpCo) and is subject to U.S. federal and state corporate income tax on its allocable share of earnings. Income earned by the operating partnership is subject to certain state, local, and foreign income taxes.</w:t>
      </w:r>
    </w:p>
    <w:p>
      <w:pPr>
        <w:spacing w:after="0" w:line="197"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results for the period were subject to U.S. corporate income tax. For the six months ended June 30, 2024, the effective tax rate for adjusted if-converted net income was 26%. This tax rate includes a $3.1 million benefit from the vesting of restricted stock units at a share price higher than the grant price.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auto"/>
        </w:rPr>
        <w:t>As of June 30, 2024, PWP had $185.3 million of cash with no outstanding indebtedness and an undrawn revolving credit facility.</w:t>
      </w:r>
    </w:p>
    <w:p>
      <w:pPr>
        <w:spacing w:after="0" w:line="322"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During the six months ended June 30, 2024, PWP returned $161.5 million in aggregate to our equity holders through (i) the settlement of 6,149,211 PWP OpCo units in connection with the Vesting Acceleration at a price of $14.07 per unit and the net settlement of 1,953,787 share equivalents at an average price per share of $13.22, (ii) the settlement of exchanges of 1,343,257 PWP OpCo units for cash at $15.17 per unit and the repurchase of 1,000,000 shares pursuant to a contractual repurchase right at $15.00 per share, (iii) the payment of $5.2 million in distributions to limited partners, and (iv) the payment of aggregate dividends of $8.6 million to Class A common stockholders. Certain tax withholding amounts related to the above activity were accrued and unpaid as of June 30, 2024 and are expected to be paid within one year.</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At June 30, 2024, there were 52.5 million shares of Class A common stock and 33.3 million partnership units outstanding.</w:t>
      </w:r>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September 16, 2024 to Class A common stockholders of record on September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Management will host a webcast and conference call on Friday, August 2, 2024 at 9:00 am ET to discuss Perella Weinberg’s financial results for the second quarter ended June 30, 2024.</w:t>
      </w:r>
    </w:p>
    <w:p>
      <w:pPr>
        <w:spacing w:after="0" w:line="290" w:lineRule="exact"/>
        <w:rPr>
          <w:sz w:val="20"/>
          <w:szCs w:val="20"/>
          <w:color w:val="auto"/>
        </w:rPr>
      </w:pPr>
    </w:p>
    <w:p>
      <w:pPr>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Domestic: (800) 579-2543</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International: (785) 424-1789</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Conference ID: PWPQ224</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ind w:right="20"/>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August 9, 2024. To access the replay, dial (800) 695-2185 (Domestic) or (402) 530-9028 (International). The replay can also be accessed on the Investors section of PWP’s website at https://investors.pwpartners.com/.</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August 2, 2024, and have not been updated subsequent to the initial earnings call.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some of the most active industry sectors and global markets. With approximately 700 employees, Perella Weinberg currently maintains offices in New York, London, Houston, San Francisco, Paris, Los Angeles, Chicago, Calgary, Denver, and Munich. The financial information of PWP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2"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312"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SEC on February 23, 2024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503C64"/>
              </w:rPr>
              <w:t>Three Months Ended</w:t>
            </w:r>
          </w:p>
        </w:tc>
        <w:tc>
          <w:tcPr>
            <w:tcW w:w="240" w:type="dxa"/>
            <w:vAlign w:val="bottom"/>
          </w:tcPr>
          <w:p>
            <w:pPr>
              <w:spacing w:after="0"/>
              <w:rPr>
                <w:sz w:val="16"/>
                <w:szCs w:val="16"/>
                <w:color w:val="auto"/>
              </w:rPr>
            </w:pPr>
          </w:p>
        </w:tc>
        <w:tc>
          <w:tcPr>
            <w:tcW w:w="220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503C64"/>
              </w:rPr>
              <w:t>Six Months Ended</w:t>
            </w:r>
          </w:p>
        </w:tc>
      </w:tr>
      <w:tr>
        <w:trPr>
          <w:trHeight w:val="223"/>
        </w:trPr>
        <w:tc>
          <w:tcPr>
            <w:tcW w:w="6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503C64"/>
              </w:rPr>
              <w:t>June 30,</w:t>
            </w:r>
          </w:p>
        </w:tc>
        <w:tc>
          <w:tcPr>
            <w:tcW w:w="240" w:type="dxa"/>
            <w:vAlign w:val="bottom"/>
          </w:tcPr>
          <w:p>
            <w:pPr>
              <w:spacing w:after="0"/>
              <w:rPr>
                <w:sz w:val="19"/>
                <w:szCs w:val="19"/>
                <w:color w:val="auto"/>
              </w:rPr>
            </w:pPr>
          </w:p>
        </w:tc>
        <w:tc>
          <w:tcPr>
            <w:tcW w:w="22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503C64"/>
              </w:rPr>
              <w:t>June 30,</w:t>
            </w: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108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r>
      <w:tr>
        <w:trPr>
          <w:trHeight w:val="195"/>
        </w:trPr>
        <w:tc>
          <w:tcPr>
            <w:tcW w:w="606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20" w:type="dxa"/>
            <w:vAlign w:val="bottom"/>
            <w:tcBorders>
              <w:bottom w:val="single" w:sz="8" w:color="B6B6B6"/>
            </w:tcBorders>
          </w:tcPr>
          <w:p>
            <w:pPr>
              <w:spacing w:after="0"/>
              <w:rPr>
                <w:sz w:val="16"/>
                <w:szCs w:val="16"/>
                <w:color w:val="auto"/>
              </w:rPr>
            </w:pPr>
          </w:p>
        </w:tc>
        <w:tc>
          <w:tcPr>
            <w:tcW w:w="108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9"/>
              <w:spacing w:after="0"/>
              <w:rPr>
                <w:sz w:val="20"/>
                <w:szCs w:val="20"/>
                <w:color w:val="auto"/>
              </w:rPr>
            </w:pPr>
            <w:r>
              <w:rPr>
                <w:rFonts w:ascii="Arial" w:cs="Arial" w:eastAsia="Arial" w:hAnsi="Arial"/>
                <w:sz w:val="14"/>
                <w:szCs w:val="14"/>
                <w:b w:val="1"/>
                <w:bCs w:val="1"/>
                <w:color w:val="auto"/>
              </w:rPr>
              <w:t>2023</w:t>
            </w:r>
          </w:p>
        </w:tc>
      </w:tr>
      <w:tr>
        <w:trPr>
          <w:trHeight w:val="210"/>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271,998</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165,545</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374,125</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296,971</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149,973</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106,216</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218,563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176,179</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160,498</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42,212</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207,305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89,883</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310,471</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148,428</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425,868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266,062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11,743</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8,737</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22,803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16,290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9,125</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9,293</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17,897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17,805</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5,860</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6,678</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12,137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14,092</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4,700</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4,726</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9,285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7,223</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5,796</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11,742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11,190</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5,108</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3,639</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10,188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6,474</w:t>
            </w:r>
          </w:p>
        </w:tc>
      </w:tr>
      <w:tr>
        <w:trPr>
          <w:trHeight w:val="217"/>
        </w:trPr>
        <w:tc>
          <w:tcPr>
            <w:tcW w:w="60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354,230</w:t>
            </w: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187,297</w:t>
            </w: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509,920</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341,413</w:t>
            </w: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(82,232)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(21,752)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(135,795)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(44,442)</w:t>
            </w: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6"/>
        </w:trPr>
        <w:tc>
          <w:tcPr>
            <w:tcW w:w="60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(1,337)</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216"/>
        </w:trPr>
        <w:tc>
          <w:tcPr>
            <w:tcW w:w="60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(1,061)</w:t>
            </w:r>
          </w:p>
        </w:tc>
        <w:tc>
          <w:tcPr>
            <w:tcW w:w="2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3,402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(81,487)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(22,813)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(132,393)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(44,947)</w:t>
            </w:r>
          </w:p>
        </w:tc>
      </w:tr>
      <w:tr>
        <w:trPr>
          <w:trHeight w:val="216"/>
        </w:trPr>
        <w:tc>
          <w:tcPr>
            <w:tcW w:w="60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0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(642)</w:t>
            </w:r>
          </w:p>
        </w:tc>
        <w:tc>
          <w:tcPr>
            <w:tcW w:w="24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(4,543)</w:t>
            </w:r>
          </w:p>
        </w:tc>
        <w:tc>
          <w:tcPr>
            <w:tcW w:w="24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19"/>
              <w:spacing w:after="0"/>
              <w:rPr>
                <w:sz w:val="20"/>
                <w:szCs w:val="20"/>
                <w:color w:val="auto"/>
              </w:rPr>
            </w:pPr>
            <w:r>
              <w:rPr>
                <w:rFonts w:ascii="Arial" w:cs="Arial" w:eastAsia="Arial" w:hAnsi="Arial"/>
                <w:sz w:val="16"/>
                <w:szCs w:val="16"/>
                <w:color w:val="auto"/>
              </w:rPr>
              <w:t>18,452</w:t>
            </w:r>
          </w:p>
        </w:tc>
        <w:tc>
          <w:tcPr>
            <w:tcW w:w="24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743</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(80,845)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(18,270)</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(150,845)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(45,690)</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(14,817)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(18,629)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(48,973)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(40,926)</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(66,028)</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359</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(101,872)</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(4,764)</w:t>
            </w:r>
          </w:p>
        </w:tc>
      </w:tr>
      <w:tr>
        <w:trPr>
          <w:trHeight w:val="216"/>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0.01</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(1.96)</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(0.11)</w:t>
            </w: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(0.19)</w:t>
            </w:r>
          </w:p>
        </w:tc>
        <w:tc>
          <w:tcPr>
            <w:tcW w:w="2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(1.96)</w:t>
            </w:r>
          </w:p>
        </w:tc>
        <w:tc>
          <w:tcPr>
            <w:tcW w:w="2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(0.56)</w:t>
            </w:r>
          </w:p>
        </w:tc>
      </w:tr>
      <w:tr>
        <w:trPr>
          <w:trHeight w:val="218"/>
        </w:trPr>
        <w:tc>
          <w:tcPr>
            <w:tcW w:w="60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spacing w:after="0"/>
              <w:rPr>
                <w:sz w:val="18"/>
                <w:szCs w:val="18"/>
                <w:color w:val="auto"/>
              </w:rPr>
            </w:pPr>
          </w:p>
        </w:tc>
      </w:tr>
      <w:tr>
        <w:trPr>
          <w:trHeight w:val="215"/>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54,589,542</w:t>
            </w: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42,743,611</w:t>
            </w: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51,894,913</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42,531,895</w:t>
            </w:r>
          </w:p>
        </w:tc>
      </w:tr>
      <w:tr>
        <w:trPr>
          <w:trHeight w:val="217"/>
        </w:trPr>
        <w:tc>
          <w:tcPr>
            <w:tcW w:w="60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08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54,589,542</w:t>
            </w: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86,521,626</w:t>
            </w: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ind w:right="39"/>
              <w:spacing w:after="0"/>
              <w:rPr>
                <w:sz w:val="20"/>
                <w:szCs w:val="20"/>
                <w:color w:val="auto"/>
              </w:rPr>
            </w:pPr>
            <w:r>
              <w:rPr>
                <w:rFonts w:ascii="Arial" w:cs="Arial" w:eastAsia="Arial" w:hAnsi="Arial"/>
                <w:sz w:val="16"/>
                <w:szCs w:val="16"/>
                <w:color w:val="auto"/>
              </w:rPr>
              <w:t>51,894,913</w:t>
            </w:r>
          </w:p>
        </w:tc>
        <w:tc>
          <w:tcPr>
            <w:tcW w:w="240" w:type="dxa"/>
            <w:vAlign w:val="bottom"/>
            <w:shd w:val="clear" w:color="auto" w:fill="E3E1E9"/>
          </w:tcPr>
          <w:p>
            <w:pPr>
              <w:spacing w:after="0"/>
              <w:rPr>
                <w:sz w:val="18"/>
                <w:szCs w:val="18"/>
                <w:color w:val="auto"/>
              </w:rPr>
            </w:pPr>
          </w:p>
        </w:tc>
        <w:tc>
          <w:tcPr>
            <w:tcW w:w="96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86,566,075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12"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4"/>
          </w:tcPr>
          <w:p>
            <w:pPr>
              <w:ind w:left="200"/>
              <w:spacing w:after="0"/>
              <w:rPr>
                <w:sz w:val="20"/>
                <w:szCs w:val="20"/>
                <w:color w:val="auto"/>
              </w:rPr>
            </w:pPr>
            <w:r>
              <w:rPr>
                <w:rFonts w:ascii="Arial" w:cs="Arial" w:eastAsia="Arial" w:hAnsi="Arial"/>
                <w:sz w:val="16"/>
                <w:szCs w:val="16"/>
                <w:b w:val="1"/>
                <w:bCs w:val="1"/>
                <w:color w:val="503C64"/>
              </w:rPr>
              <w:t>Three Months Ended</w:t>
            </w:r>
          </w:p>
        </w:tc>
        <w:tc>
          <w:tcPr>
            <w:tcW w:w="220" w:type="dxa"/>
            <w:vAlign w:val="bottom"/>
          </w:tcPr>
          <w:p>
            <w:pPr>
              <w:spacing w:after="0"/>
              <w:rPr>
                <w:sz w:val="16"/>
                <w:szCs w:val="16"/>
                <w:color w:val="auto"/>
              </w:rPr>
            </w:pPr>
          </w:p>
        </w:tc>
        <w:tc>
          <w:tcPr>
            <w:tcW w:w="2160" w:type="dxa"/>
            <w:vAlign w:val="bottom"/>
            <w:gridSpan w:val="3"/>
          </w:tcPr>
          <w:p>
            <w:pPr>
              <w:jc w:val="right"/>
              <w:ind w:right="428"/>
              <w:spacing w:after="0"/>
              <w:rPr>
                <w:sz w:val="20"/>
                <w:szCs w:val="20"/>
                <w:color w:val="auto"/>
              </w:rPr>
            </w:pPr>
            <w:r>
              <w:rPr>
                <w:rFonts w:ascii="Arial" w:cs="Arial" w:eastAsia="Arial" w:hAnsi="Arial"/>
                <w:sz w:val="16"/>
                <w:szCs w:val="16"/>
                <w:b w:val="1"/>
                <w:bCs w:val="1"/>
                <w:color w:val="503C64"/>
              </w:rPr>
              <w:t>Six Months Ended</w:t>
            </w:r>
          </w:p>
        </w:tc>
      </w:tr>
      <w:tr>
        <w:trPr>
          <w:trHeight w:val="223"/>
        </w:trPr>
        <w:tc>
          <w:tcPr>
            <w:tcW w:w="6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503C64"/>
              </w:rPr>
              <w:t>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503C64"/>
              </w:rPr>
              <w:t>June 30,</w:t>
            </w:r>
          </w:p>
        </w:tc>
        <w:tc>
          <w:tcPr>
            <w:tcW w:w="840" w:type="dxa"/>
            <w:vAlign w:val="bottom"/>
          </w:tcPr>
          <w:p>
            <w:pPr>
              <w:spacing w:after="0"/>
              <w:rPr>
                <w:sz w:val="19"/>
                <w:szCs w:val="19"/>
                <w:color w:val="auto"/>
              </w:rPr>
            </w:pPr>
          </w:p>
        </w:tc>
      </w:tr>
      <w:tr>
        <w:trPr>
          <w:trHeight w:val="21"/>
        </w:trPr>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84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840" w:type="dxa"/>
            <w:vAlign w:val="bottom"/>
            <w:tcBorders>
              <w:bottom w:val="single" w:sz="8" w:color="B6B6B6"/>
            </w:tcBorders>
          </w:tcPr>
          <w:p>
            <w:pPr>
              <w:spacing w:after="0" w:line="20" w:lineRule="exact"/>
              <w:rPr>
                <w:sz w:val="1"/>
                <w:szCs w:val="1"/>
                <w:color w:val="auto"/>
              </w:rPr>
            </w:pPr>
          </w:p>
        </w:tc>
      </w:tr>
      <w:tr>
        <w:trPr>
          <w:trHeight w:val="195"/>
        </w:trPr>
        <w:tc>
          <w:tcPr>
            <w:tcW w:w="6100" w:type="dxa"/>
            <w:vAlign w:val="bottom"/>
            <w:tcBorders>
              <w:bottom w:val="single" w:sz="8" w:color="B6B6B6"/>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180" w:type="dxa"/>
            <w:vAlign w:val="bottom"/>
            <w:tcBorders>
              <w:bottom w:val="single" w:sz="8" w:color="B6B6B6"/>
            </w:tcBorders>
          </w:tcPr>
          <w:p>
            <w:pPr>
              <w:spacing w:after="0"/>
              <w:rPr>
                <w:sz w:val="16"/>
                <w:szCs w:val="16"/>
                <w:color w:val="auto"/>
              </w:rPr>
            </w:pPr>
          </w:p>
        </w:tc>
        <w:tc>
          <w:tcPr>
            <w:tcW w:w="100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B6B6B6"/>
            </w:tcBorders>
          </w:tcPr>
          <w:p>
            <w:pPr>
              <w:spacing w:after="0"/>
              <w:rPr>
                <w:sz w:val="16"/>
                <w:szCs w:val="16"/>
                <w:color w:val="auto"/>
              </w:rPr>
            </w:pPr>
          </w:p>
        </w:tc>
        <w:tc>
          <w:tcPr>
            <w:tcW w:w="84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B6B6B6"/>
            </w:tcBorders>
          </w:tcPr>
          <w:p>
            <w:pPr>
              <w:spacing w:after="0"/>
              <w:rPr>
                <w:sz w:val="16"/>
                <w:szCs w:val="16"/>
                <w:color w:val="auto"/>
              </w:rPr>
            </w:pPr>
          </w:p>
        </w:tc>
        <w:tc>
          <w:tcPr>
            <w:tcW w:w="84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2023</w:t>
            </w:r>
          </w:p>
        </w:tc>
      </w:tr>
      <w:tr>
        <w:trPr>
          <w:trHeight w:val="195"/>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310,471</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148,428</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425,868</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266,062</w:t>
            </w:r>
          </w:p>
        </w:tc>
      </w:tr>
      <w:tr>
        <w:trPr>
          <w:trHeight w:val="206"/>
        </w:trPr>
        <w:tc>
          <w:tcPr>
            <w:tcW w:w="61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(130,039)</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(38,603)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(12,107)</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(24,457)</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(23,383)</w:t>
            </w:r>
          </w:p>
        </w:tc>
      </w:tr>
      <w:tr>
        <w:trPr>
          <w:trHeight w:val="201"/>
        </w:trPr>
        <w:tc>
          <w:tcPr>
            <w:tcW w:w="61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(5,105)</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(3,249)</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(5,105)</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168,325</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113,563</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254,448</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198,971</w:t>
            </w:r>
          </w:p>
        </w:tc>
      </w:tr>
      <w:tr>
        <w:trPr>
          <w:trHeight w:val="254"/>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43,759</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38,869</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84,052</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75,351</w:t>
            </w:r>
          </w:p>
        </w:tc>
      </w:tr>
      <w:tr>
        <w:trPr>
          <w:trHeight w:val="206"/>
        </w:trPr>
        <w:tc>
          <w:tcPr>
            <w:tcW w:w="610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(1,645)</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(3,290)</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(3,290)</w:t>
            </w:r>
          </w:p>
        </w:tc>
      </w:tr>
      <w:tr>
        <w:trPr>
          <w:trHeight w:val="201"/>
        </w:trPr>
        <w:tc>
          <w:tcPr>
            <w:tcW w:w="61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(948)</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(840)</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(2,570)</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(1,165)</w:t>
            </w:r>
          </w:p>
        </w:tc>
      </w:tr>
      <w:tr>
        <w:trPr>
          <w:trHeight w:val="196"/>
        </w:trPr>
        <w:tc>
          <w:tcPr>
            <w:tcW w:w="610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(6)</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41,166</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36,384</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78,192</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70,896</w:t>
            </w:r>
          </w:p>
        </w:tc>
      </w:tr>
      <w:tr>
        <w:trPr>
          <w:trHeight w:val="254"/>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(82,232)</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(21,752)</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(135,795)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(44,442)</w:t>
            </w:r>
          </w:p>
        </w:tc>
      </w:tr>
      <w:tr>
        <w:trPr>
          <w:trHeight w:val="206"/>
        </w:trPr>
        <w:tc>
          <w:tcPr>
            <w:tcW w:w="61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130,039</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18,269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38,603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12,107</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11,491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24,457</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23,383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5,105</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3,290</w:t>
            </w:r>
          </w:p>
        </w:tc>
      </w:tr>
      <w:tr>
        <w:trPr>
          <w:trHeight w:val="201"/>
        </w:trPr>
        <w:tc>
          <w:tcPr>
            <w:tcW w:w="61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948</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840</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2,570</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1,165</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62,507</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15,598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41,485</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27,104</w:t>
            </w:r>
          </w:p>
        </w:tc>
      </w:tr>
      <w:tr>
        <w:trPr>
          <w:trHeight w:val="254"/>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(81,487)</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(22,813)</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(132,393)</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(44,947)</w:t>
            </w:r>
          </w:p>
        </w:tc>
      </w:tr>
      <w:tr>
        <w:trPr>
          <w:trHeight w:val="206"/>
        </w:trPr>
        <w:tc>
          <w:tcPr>
            <w:tcW w:w="61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130,039</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18,269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38,603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12,107</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11,491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24,457</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23,383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5,105</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3,290</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2,570</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1,165</w:t>
            </w:r>
          </w:p>
        </w:tc>
      </w:tr>
      <w:tr>
        <w:trPr>
          <w:trHeight w:val="201"/>
        </w:trPr>
        <w:tc>
          <w:tcPr>
            <w:tcW w:w="61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151</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1,401</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188</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1,438</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before income taxes</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63,403</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15,938</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45,075</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28,037</w:t>
            </w:r>
          </w:p>
        </w:tc>
      </w:tr>
      <w:tr>
        <w:trPr>
          <w:trHeight w:val="255"/>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(642)</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(4,543)</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18,452</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743</w:t>
            </w:r>
          </w:p>
        </w:tc>
      </w:tr>
      <w:tr>
        <w:trPr>
          <w:trHeight w:val="204"/>
        </w:trPr>
        <w:tc>
          <w:tcPr>
            <w:tcW w:w="610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13,799</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4,962</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(10,528)</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1,884</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13,157</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419</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7,924</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2,627</w:t>
            </w:r>
          </w:p>
        </w:tc>
      </w:tr>
      <w:tr>
        <w:trPr>
          <w:trHeight w:val="255"/>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(80,845)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(18,270)</w:t>
            </w:r>
          </w:p>
        </w:tc>
        <w:tc>
          <w:tcPr>
            <w:tcW w:w="8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(150,845)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(45,690)</w:t>
            </w:r>
          </w:p>
        </w:tc>
      </w:tr>
      <w:tr>
        <w:trPr>
          <w:trHeight w:val="206"/>
        </w:trPr>
        <w:tc>
          <w:tcPr>
            <w:tcW w:w="61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130,039</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18,269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143,714</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38,603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12,107</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11,491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24,457</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23,383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3,249</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5,105</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3,290</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2,570</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1,165</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3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1,438</w:t>
            </w:r>
          </w:p>
        </w:tc>
      </w:tr>
      <w:tr>
        <w:trPr>
          <w:trHeight w:val="201"/>
        </w:trPr>
        <w:tc>
          <w:tcPr>
            <w:tcW w:w="61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(13,799)</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(4,962)</w:t>
            </w:r>
          </w:p>
        </w:tc>
        <w:tc>
          <w:tcPr>
            <w:tcW w:w="8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10,528</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(1,884)</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50,246</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15,519</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37,151</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25,410</w:t>
            </w:r>
          </w:p>
        </w:tc>
      </w:tr>
      <w:tr>
        <w:trPr>
          <w:trHeight w:val="195"/>
        </w:trPr>
        <w:tc>
          <w:tcPr>
            <w:tcW w:w="6100" w:type="dxa"/>
            <w:vAlign w:val="bottom"/>
          </w:tcPr>
          <w:p>
            <w:pPr>
              <w:ind w:left="20"/>
              <w:spacing w:after="0"/>
              <w:rPr>
                <w:sz w:val="20"/>
                <w:szCs w:val="20"/>
                <w:color w:val="auto"/>
              </w:rPr>
            </w:pPr>
            <w:r>
              <w:rPr>
                <w:rFonts w:ascii="Arial" w:cs="Arial" w:eastAsia="Arial" w:hAnsi="Arial"/>
                <w:sz w:val="14"/>
                <w:szCs w:val="14"/>
                <w:color w:val="auto"/>
              </w:rPr>
              <w:t>Less: Adjusted income tax expense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(13,157)</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(7,924)</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(2,627)</w:t>
            </w:r>
          </w:p>
        </w:tc>
      </w:tr>
      <w:tr>
        <w:trPr>
          <w:trHeight w:val="210"/>
        </w:trPr>
        <w:tc>
          <w:tcPr>
            <w:tcW w:w="6100" w:type="dxa"/>
            <w:vAlign w:val="bottom"/>
            <w:tcBorders>
              <w:bottom w:val="single" w:sz="8" w:color="E3E1E9"/>
            </w:tcBorders>
          </w:tcPr>
          <w:p>
            <w:pPr>
              <w:ind w:left="2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(9)</w:t>
            </w:r>
          </w:p>
        </w:tc>
        <w:tc>
          <w:tcPr>
            <w:tcW w:w="80" w:type="dxa"/>
            <w:vAlign w:val="bottom"/>
            <w:tcBorders>
              <w:bottom w:val="single" w:sz="8" w:color="B6B6B6"/>
            </w:tcBorders>
          </w:tcPr>
          <w:p>
            <w:pPr>
              <w:spacing w:after="0"/>
              <w:rPr>
                <w:sz w:val="18"/>
                <w:szCs w:val="18"/>
                <w:color w:val="auto"/>
              </w:rPr>
            </w:pPr>
          </w:p>
        </w:tc>
        <w:tc>
          <w:tcPr>
            <w:tcW w:w="18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20,499</w:t>
            </w:r>
          </w:p>
        </w:tc>
        <w:tc>
          <w:tcPr>
            <w:tcW w:w="360" w:type="dxa"/>
            <w:vAlign w:val="bottom"/>
            <w:tcBorders>
              <w:bottom w:val="single" w:sz="8" w:color="B6B6B6"/>
            </w:tcBorders>
          </w:tcPr>
          <w:p>
            <w:pPr>
              <w:spacing w:after="0"/>
              <w:rPr>
                <w:sz w:val="18"/>
                <w:szCs w:val="18"/>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2,483</w:t>
            </w:r>
          </w:p>
        </w:tc>
        <w:tc>
          <w:tcPr>
            <w:tcW w:w="80" w:type="dxa"/>
            <w:vAlign w:val="bottom"/>
            <w:tcBorders>
              <w:bottom w:val="single" w:sz="8" w:color="B6B6B6"/>
            </w:tcBorders>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11,620</w:t>
            </w:r>
          </w:p>
        </w:tc>
        <w:tc>
          <w:tcPr>
            <w:tcW w:w="360" w:type="dxa"/>
            <w:vAlign w:val="bottom"/>
            <w:tcBorders>
              <w:bottom w:val="single" w:sz="8" w:color="B6B6B6"/>
            </w:tcBorders>
          </w:tcPr>
          <w:p>
            <w:pPr>
              <w:spacing w:after="0"/>
              <w:rPr>
                <w:sz w:val="18"/>
                <w:szCs w:val="18"/>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6,268</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42,904</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13,455</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33,455</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21,769</w:t>
            </w:r>
          </w:p>
        </w:tc>
      </w:tr>
      <w:tr>
        <w:trPr>
          <w:trHeight w:val="356"/>
        </w:trPr>
        <w:tc>
          <w:tcPr>
            <w:tcW w:w="610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54,589,542</w:t>
            </w:r>
          </w:p>
        </w:tc>
        <w:tc>
          <w:tcPr>
            <w:tcW w:w="3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86,521,626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51,894,913</w:t>
            </w:r>
          </w:p>
        </w:tc>
        <w:tc>
          <w:tcPr>
            <w:tcW w:w="3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86,566,075</w:t>
            </w:r>
          </w:p>
        </w:tc>
      </w:tr>
      <w:tr>
        <w:trPr>
          <w:trHeight w:val="212"/>
        </w:trPr>
        <w:tc>
          <w:tcPr>
            <w:tcW w:w="6100" w:type="dxa"/>
            <w:vAlign w:val="bottom"/>
          </w:tcPr>
          <w:p>
            <w:pPr>
              <w:ind w:left="20"/>
              <w:spacing w:after="0"/>
              <w:rPr>
                <w:sz w:val="20"/>
                <w:szCs w:val="20"/>
                <w:color w:val="auto"/>
              </w:rPr>
            </w:pPr>
            <w:r>
              <w:rPr>
                <w:rFonts w:ascii="Arial" w:cs="Arial" w:eastAsia="Arial" w:hAnsi="Arial"/>
                <w:sz w:val="14"/>
                <w:szCs w:val="14"/>
                <w:color w:val="auto"/>
              </w:rPr>
              <w:t>Weighted average number of incremental shares from assumed vesting of RSUs and PSUs</w:t>
            </w:r>
            <w:r>
              <w:rPr>
                <w:rFonts w:ascii="Arial" w:cs="Arial" w:eastAsia="Arial" w:hAnsi="Arial"/>
                <w:sz w:val="18"/>
                <w:szCs w:val="18"/>
                <w:color w:val="auto"/>
                <w:vertAlign w:val="superscript"/>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9,133,806</w:t>
            </w:r>
          </w:p>
        </w:tc>
        <w:tc>
          <w:tcPr>
            <w:tcW w:w="36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275,508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7,205,942</w:t>
            </w:r>
          </w:p>
        </w:tc>
        <w:tc>
          <w:tcPr>
            <w:tcW w:w="36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1,001,289</w:t>
            </w:r>
          </w:p>
        </w:tc>
      </w:tr>
      <w:tr>
        <w:trPr>
          <w:trHeight w:val="201"/>
        </w:trPr>
        <w:tc>
          <w:tcPr>
            <w:tcW w:w="61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(11)</w:t>
            </w:r>
          </w:p>
        </w:tc>
        <w:tc>
          <w:tcPr>
            <w:tcW w:w="80" w:type="dxa"/>
            <w:vAlign w:val="bottom"/>
            <w:tcBorders>
              <w:bottom w:val="single" w:sz="8" w:color="B6B6B6"/>
            </w:tcBorders>
          </w:tcPr>
          <w:p>
            <w:pPr>
              <w:spacing w:after="0"/>
              <w:rPr>
                <w:sz w:val="17"/>
                <w:szCs w:val="17"/>
                <w:color w:val="auto"/>
              </w:rPr>
            </w:pPr>
          </w:p>
        </w:tc>
        <w:tc>
          <w:tcPr>
            <w:tcW w:w="180" w:type="dxa"/>
            <w:vAlign w:val="bottom"/>
            <w:tcBorders>
              <w:bottom w:val="single" w:sz="8" w:color="B6B6B6"/>
            </w:tcBorders>
          </w:tcPr>
          <w:p>
            <w:pPr>
              <w:spacing w:after="0"/>
              <w:rPr>
                <w:sz w:val="17"/>
                <w:szCs w:val="17"/>
                <w:color w:val="auto"/>
              </w:rPr>
            </w:pPr>
          </w:p>
        </w:tc>
        <w:tc>
          <w:tcPr>
            <w:tcW w:w="100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36,332,846</w:t>
            </w:r>
          </w:p>
        </w:tc>
        <w:tc>
          <w:tcPr>
            <w:tcW w:w="360" w:type="dxa"/>
            <w:vAlign w:val="bottom"/>
            <w:tcBorders>
              <w:bottom w:val="single" w:sz="8" w:color="B6B6B6"/>
            </w:tcBorders>
          </w:tcPr>
          <w:p>
            <w:pPr>
              <w:spacing w:after="0"/>
              <w:rPr>
                <w:sz w:val="17"/>
                <w:szCs w:val="17"/>
                <w:color w:val="auto"/>
              </w:rPr>
            </w:pPr>
          </w:p>
        </w:tc>
        <w:tc>
          <w:tcPr>
            <w:tcW w:w="920" w:type="dxa"/>
            <w:vAlign w:val="bottom"/>
            <w:tcBorders>
              <w:bottom w:val="single" w:sz="8" w:color="B6B6B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38,825,961</w:t>
            </w:r>
          </w:p>
        </w:tc>
        <w:tc>
          <w:tcPr>
            <w:tcW w:w="360" w:type="dxa"/>
            <w:vAlign w:val="bottom"/>
            <w:tcBorders>
              <w:bottom w:val="single" w:sz="8" w:color="B6B6B6"/>
            </w:tcBorders>
          </w:tcPr>
          <w:p>
            <w:pPr>
              <w:spacing w:after="0"/>
              <w:rPr>
                <w:sz w:val="17"/>
                <w:szCs w:val="17"/>
                <w:color w:val="auto"/>
              </w:rPr>
            </w:pPr>
          </w:p>
        </w:tc>
        <w:tc>
          <w:tcPr>
            <w:tcW w:w="84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80" w:type="dxa"/>
            <w:vAlign w:val="bottom"/>
            <w:shd w:val="clear" w:color="auto" w:fill="E3E1E9"/>
          </w:tcPr>
          <w:p>
            <w:pPr>
              <w:spacing w:after="0"/>
              <w:rPr>
                <w:sz w:val="17"/>
                <w:szCs w:val="17"/>
                <w:color w:val="auto"/>
              </w:rPr>
            </w:pPr>
          </w:p>
        </w:tc>
        <w:tc>
          <w:tcPr>
            <w:tcW w:w="180" w:type="dxa"/>
            <w:vAlign w:val="bottom"/>
            <w:shd w:val="clear" w:color="auto" w:fill="E3E1E9"/>
          </w:tcPr>
          <w:p>
            <w:pPr>
              <w:spacing w:after="0"/>
              <w:rPr>
                <w:sz w:val="17"/>
                <w:szCs w:val="17"/>
                <w:color w:val="auto"/>
              </w:rPr>
            </w:pP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100,056,194</w:t>
            </w:r>
          </w:p>
        </w:tc>
        <w:tc>
          <w:tcPr>
            <w:tcW w:w="360" w:type="dxa"/>
            <w:vAlign w:val="bottom"/>
            <w:shd w:val="clear" w:color="auto" w:fill="E3E1E9"/>
          </w:tcPr>
          <w:p>
            <w:pPr>
              <w:spacing w:after="0"/>
              <w:rPr>
                <w:sz w:val="17"/>
                <w:szCs w:val="17"/>
                <w:color w:val="auto"/>
              </w:rPr>
            </w:pP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86,797,134</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spacing w:after="0"/>
              <w:rPr>
                <w:sz w:val="17"/>
                <w:szCs w:val="17"/>
                <w:color w:val="auto"/>
              </w:rPr>
            </w:pP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97,926,816</w:t>
            </w:r>
          </w:p>
        </w:tc>
        <w:tc>
          <w:tcPr>
            <w:tcW w:w="360" w:type="dxa"/>
            <w:vAlign w:val="bottom"/>
            <w:shd w:val="clear" w:color="auto" w:fill="E3E1E9"/>
          </w:tcPr>
          <w:p>
            <w:pPr>
              <w:spacing w:after="0"/>
              <w:rPr>
                <w:sz w:val="17"/>
                <w:szCs w:val="17"/>
                <w:color w:val="auto"/>
              </w:rPr>
            </w:pP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87,567,364</w:t>
            </w:r>
          </w:p>
        </w:tc>
      </w:tr>
      <w:tr>
        <w:trPr>
          <w:trHeight w:val="162"/>
        </w:trPr>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61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260" w:type="dxa"/>
            <w:vAlign w:val="bottom"/>
            <w:gridSpan w:val="2"/>
            <w:shd w:val="clear" w:color="auto" w:fill="E3E1E9"/>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0.43</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0.16</w:t>
            </w:r>
          </w:p>
        </w:tc>
        <w:tc>
          <w:tcPr>
            <w:tcW w:w="80" w:type="dxa"/>
            <w:vAlign w:val="bottom"/>
            <w:shd w:val="clear" w:color="auto" w:fill="E3E1E9"/>
          </w:tcPr>
          <w:p>
            <w:pPr>
              <w:spacing w:after="0"/>
              <w:rPr>
                <w:sz w:val="17"/>
                <w:szCs w:val="17"/>
                <w:color w:val="auto"/>
              </w:rPr>
            </w:pP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0.34</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E3E1E9"/>
          </w:tcPr>
          <w:p>
            <w:pPr>
              <w:jc w:val="right"/>
              <w:ind w:right="8"/>
              <w:spacing w:after="0"/>
              <w:rPr>
                <w:sz w:val="20"/>
                <w:szCs w:val="20"/>
                <w:color w:val="auto"/>
              </w:rPr>
            </w:pPr>
            <w:r>
              <w:rPr>
                <w:rFonts w:ascii="Arial" w:cs="Arial" w:eastAsia="Arial" w:hAnsi="Arial"/>
                <w:sz w:val="14"/>
                <w:szCs w:val="14"/>
                <w:color w:val="auto"/>
              </w:rPr>
              <w:t>0.25</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8" w:firstLine="8"/>
        <w:spacing w:after="0" w:line="259" w:lineRule="auto"/>
        <w:tabs>
          <w:tab w:leader="none" w:pos="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2620" w:type="dxa"/>
            <w:vAlign w:val="bottom"/>
            <w:gridSpan w:val="3"/>
          </w:tcPr>
          <w:p>
            <w:pPr>
              <w:ind w:left="460"/>
              <w:spacing w:after="0"/>
              <w:rPr>
                <w:sz w:val="20"/>
                <w:szCs w:val="20"/>
                <w:color w:val="auto"/>
              </w:rPr>
            </w:pPr>
            <w:r>
              <w:rPr>
                <w:rFonts w:ascii="Arial" w:cs="Arial" w:eastAsia="Arial" w:hAnsi="Arial"/>
                <w:sz w:val="16"/>
                <w:szCs w:val="16"/>
                <w:b w:val="1"/>
                <w:bCs w:val="1"/>
                <w:color w:val="503C64"/>
              </w:rPr>
              <w:t>Three Months Ended</w:t>
            </w:r>
          </w:p>
        </w:tc>
        <w:tc>
          <w:tcPr>
            <w:tcW w:w="2540" w:type="dxa"/>
            <w:vAlign w:val="bottom"/>
            <w:gridSpan w:val="2"/>
          </w:tcPr>
          <w:p>
            <w:pPr>
              <w:jc w:val="right"/>
              <w:ind w:right="508"/>
              <w:spacing w:after="0"/>
              <w:rPr>
                <w:sz w:val="20"/>
                <w:szCs w:val="20"/>
                <w:color w:val="auto"/>
              </w:rPr>
            </w:pPr>
            <w:r>
              <w:rPr>
                <w:rFonts w:ascii="Arial" w:cs="Arial" w:eastAsia="Arial" w:hAnsi="Arial"/>
                <w:sz w:val="16"/>
                <w:szCs w:val="16"/>
                <w:b w:val="1"/>
                <w:bCs w:val="1"/>
                <w:color w:val="503C64"/>
              </w:rPr>
              <w:t>Six Months Ended</w:t>
            </w:r>
          </w:p>
        </w:tc>
      </w:tr>
      <w:tr>
        <w:trPr>
          <w:trHeight w:val="223"/>
        </w:trPr>
        <w:tc>
          <w:tcPr>
            <w:tcW w:w="5860" w:type="dxa"/>
            <w:vAlign w:val="bottom"/>
          </w:tcPr>
          <w:p>
            <w:pPr>
              <w:spacing w:after="0"/>
              <w:rPr>
                <w:sz w:val="19"/>
                <w:szCs w:val="19"/>
                <w:color w:val="auto"/>
              </w:rPr>
            </w:pPr>
          </w:p>
        </w:tc>
        <w:tc>
          <w:tcPr>
            <w:tcW w:w="1680" w:type="dxa"/>
            <w:vAlign w:val="bottom"/>
          </w:tcPr>
          <w:p>
            <w:pPr>
              <w:jc w:val="right"/>
              <w:ind w:right="26"/>
              <w:spacing w:after="0"/>
              <w:rPr>
                <w:sz w:val="20"/>
                <w:szCs w:val="20"/>
                <w:color w:val="auto"/>
              </w:rPr>
            </w:pPr>
            <w:r>
              <w:rPr>
                <w:rFonts w:ascii="Arial" w:cs="Arial" w:eastAsia="Arial" w:hAnsi="Arial"/>
                <w:sz w:val="16"/>
                <w:szCs w:val="16"/>
                <w:b w:val="1"/>
                <w:bCs w:val="1"/>
                <w:color w:val="503C64"/>
              </w:rPr>
              <w:t>June 30,</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ind w:right="26"/>
              <w:spacing w:after="0"/>
              <w:rPr>
                <w:sz w:val="20"/>
                <w:szCs w:val="20"/>
                <w:color w:val="auto"/>
              </w:rPr>
            </w:pPr>
            <w:r>
              <w:rPr>
                <w:rFonts w:ascii="Arial" w:cs="Arial" w:eastAsia="Arial" w:hAnsi="Arial"/>
                <w:sz w:val="16"/>
                <w:szCs w:val="16"/>
                <w:b w:val="1"/>
                <w:bCs w:val="1"/>
                <w:color w:val="503C64"/>
              </w:rPr>
              <w:t>June 30,</w:t>
            </w:r>
          </w:p>
        </w:tc>
        <w:tc>
          <w:tcPr>
            <w:tcW w:w="860" w:type="dxa"/>
            <w:vAlign w:val="bottom"/>
          </w:tcPr>
          <w:p>
            <w:pPr>
              <w:spacing w:after="0"/>
              <w:rPr>
                <w:sz w:val="19"/>
                <w:szCs w:val="19"/>
                <w:color w:val="auto"/>
              </w:rPr>
            </w:pPr>
          </w:p>
        </w:tc>
      </w:tr>
      <w:tr>
        <w:trPr>
          <w:trHeight w:val="21"/>
        </w:trPr>
        <w:tc>
          <w:tcPr>
            <w:tcW w:w="5860" w:type="dxa"/>
            <w:vAlign w:val="bottom"/>
          </w:tcPr>
          <w:p>
            <w:pPr>
              <w:spacing w:after="0" w:line="20" w:lineRule="exact"/>
              <w:rPr>
                <w:sz w:val="1"/>
                <w:szCs w:val="1"/>
                <w:color w:val="auto"/>
              </w:rPr>
            </w:pPr>
          </w:p>
        </w:tc>
        <w:tc>
          <w:tcPr>
            <w:tcW w:w="168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r>
      <w:tr>
        <w:trPr>
          <w:trHeight w:val="195"/>
        </w:trPr>
        <w:tc>
          <w:tcPr>
            <w:tcW w:w="5860" w:type="dxa"/>
            <w:vAlign w:val="bottom"/>
            <w:tcBorders>
              <w:bottom w:val="single" w:sz="8" w:color="B6B6B6"/>
            </w:tcBorders>
          </w:tcPr>
          <w:p>
            <w:pPr>
              <w:spacing w:after="0"/>
              <w:rPr>
                <w:sz w:val="16"/>
                <w:szCs w:val="16"/>
                <w:color w:val="auto"/>
              </w:rPr>
            </w:pPr>
          </w:p>
        </w:tc>
        <w:tc>
          <w:tcPr>
            <w:tcW w:w="1680" w:type="dxa"/>
            <w:vAlign w:val="bottom"/>
            <w:tcBorders>
              <w:bottom w:val="single" w:sz="8" w:color="B6B6B6"/>
            </w:tcBorders>
          </w:tcPr>
          <w:p>
            <w:pPr>
              <w:jc w:val="right"/>
              <w:ind w:right="846"/>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B6B6B6"/>
            </w:tcBorders>
          </w:tcPr>
          <w:p>
            <w:pPr>
              <w:spacing w:after="0"/>
              <w:rPr>
                <w:sz w:val="16"/>
                <w:szCs w:val="16"/>
                <w:color w:val="auto"/>
              </w:rPr>
            </w:pPr>
          </w:p>
        </w:tc>
        <w:tc>
          <w:tcPr>
            <w:tcW w:w="1680" w:type="dxa"/>
            <w:vAlign w:val="bottom"/>
            <w:tcBorders>
              <w:bottom w:val="single" w:sz="8" w:color="B6B6B6"/>
            </w:tcBorders>
          </w:tcPr>
          <w:p>
            <w:pPr>
              <w:jc w:val="right"/>
              <w:ind w:right="846"/>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r>
      <w:tr>
        <w:trPr>
          <w:trHeight w:val="201"/>
        </w:trPr>
        <w:tc>
          <w:tcPr>
            <w:tcW w:w="5860" w:type="dxa"/>
            <w:vAlign w:val="bottom"/>
          </w:tcPr>
          <w:p>
            <w:pPr>
              <w:ind w:left="20"/>
              <w:spacing w:after="0" w:line="201" w:lineRule="exact"/>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(12)</w:t>
            </w:r>
          </w:p>
        </w:tc>
        <w:tc>
          <w:tcPr>
            <w:tcW w:w="1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(30.2)%</w:t>
            </w:r>
          </w:p>
        </w:tc>
        <w:tc>
          <w:tcPr>
            <w:tcW w:w="86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(36.3)%</w:t>
            </w:r>
          </w:p>
        </w:tc>
        <w:tc>
          <w:tcPr>
            <w:tcW w:w="86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3"/>
        </w:trPr>
        <w:tc>
          <w:tcPr>
            <w:tcW w:w="5860" w:type="dxa"/>
            <w:vAlign w:val="bottom"/>
          </w:tcPr>
          <w:p>
            <w:pPr>
              <w:ind w:left="20"/>
              <w:spacing w:after="0"/>
              <w:rPr>
                <w:sz w:val="20"/>
                <w:szCs w:val="20"/>
                <w:color w:val="auto"/>
              </w:rPr>
            </w:pPr>
            <w:r>
              <w:rPr>
                <w:rFonts w:ascii="Arial" w:cs="Arial" w:eastAsia="Arial" w:hAnsi="Arial"/>
                <w:sz w:val="14"/>
                <w:szCs w:val="14"/>
                <w:color w:val="auto"/>
              </w:rPr>
              <w:t>Adjusted operating income margin</w:t>
            </w: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23.0 %</w:t>
            </w:r>
          </w:p>
        </w:tc>
        <w:tc>
          <w:tcPr>
            <w:tcW w:w="860" w:type="dxa"/>
            <w:vAlign w:val="bottom"/>
          </w:tcPr>
          <w:p>
            <w:pPr>
              <w:jc w:val="right"/>
              <w:spacing w:after="0"/>
              <w:rPr>
                <w:sz w:val="20"/>
                <w:szCs w:val="20"/>
                <w:color w:val="auto"/>
              </w:rPr>
            </w:pPr>
            <w:r>
              <w:rPr>
                <w:rFonts w:ascii="Arial" w:cs="Arial" w:eastAsia="Arial" w:hAnsi="Arial"/>
                <w:sz w:val="14"/>
                <w:szCs w:val="14"/>
                <w:color w:val="auto"/>
              </w:rPr>
              <w:t>9.4 %</w:t>
            </w:r>
          </w:p>
        </w:tc>
        <w:tc>
          <w:tcPr>
            <w:tcW w:w="80" w:type="dxa"/>
            <w:vAlign w:val="bottom"/>
          </w:tcPr>
          <w:p>
            <w:pPr>
              <w:spacing w:after="0"/>
              <w:rPr>
                <w:sz w:val="17"/>
                <w:szCs w:val="17"/>
                <w:color w:val="auto"/>
              </w:rPr>
            </w:pP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11.1 %</w:t>
            </w:r>
          </w:p>
        </w:tc>
        <w:tc>
          <w:tcPr>
            <w:tcW w:w="860" w:type="dxa"/>
            <w:vAlign w:val="bottom"/>
          </w:tcPr>
          <w:p>
            <w:pPr>
              <w:jc w:val="right"/>
              <w:spacing w:after="0"/>
              <w:rPr>
                <w:sz w:val="20"/>
                <w:szCs w:val="20"/>
                <w:color w:val="auto"/>
              </w:rPr>
            </w:pPr>
            <w:r>
              <w:rPr>
                <w:rFonts w:ascii="Arial" w:cs="Arial" w:eastAsia="Arial" w:hAnsi="Arial"/>
                <w:sz w:val="14"/>
                <w:szCs w:val="14"/>
                <w:color w:val="auto"/>
              </w:rPr>
              <w:t>9.1 %</w:t>
            </w:r>
          </w:p>
        </w:tc>
      </w:tr>
      <w:tr>
        <w:trPr>
          <w:trHeight w:val="203"/>
        </w:trPr>
        <w:tc>
          <w:tcPr>
            <w:tcW w:w="586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114 %</w:t>
            </w:r>
          </w:p>
        </w:tc>
        <w:tc>
          <w:tcPr>
            <w:tcW w:w="860" w:type="dxa"/>
            <w:vAlign w:val="bottom"/>
          </w:tcPr>
          <w:p>
            <w:pPr>
              <w:jc w:val="right"/>
              <w:spacing w:after="0"/>
              <w:rPr>
                <w:sz w:val="20"/>
                <w:szCs w:val="20"/>
                <w:color w:val="auto"/>
              </w:rPr>
            </w:pPr>
            <w:r>
              <w:rPr>
                <w:rFonts w:ascii="Arial" w:cs="Arial" w:eastAsia="Arial" w:hAnsi="Arial"/>
                <w:sz w:val="14"/>
                <w:szCs w:val="14"/>
                <w:color w:val="auto"/>
              </w:rPr>
              <w:t>90 %</w:t>
            </w:r>
          </w:p>
        </w:tc>
        <w:tc>
          <w:tcPr>
            <w:tcW w:w="80" w:type="dxa"/>
            <w:vAlign w:val="bottom"/>
          </w:tcPr>
          <w:p>
            <w:pPr>
              <w:spacing w:after="0"/>
              <w:rPr>
                <w:sz w:val="17"/>
                <w:szCs w:val="17"/>
                <w:color w:val="auto"/>
              </w:rPr>
            </w:pP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114 %</w:t>
            </w:r>
          </w:p>
        </w:tc>
        <w:tc>
          <w:tcPr>
            <w:tcW w:w="860" w:type="dxa"/>
            <w:vAlign w:val="bottom"/>
          </w:tcPr>
          <w:p>
            <w:pPr>
              <w:jc w:val="right"/>
              <w:spacing w:after="0"/>
              <w:rPr>
                <w:sz w:val="20"/>
                <w:szCs w:val="20"/>
                <w:color w:val="auto"/>
              </w:rPr>
            </w:pPr>
            <w:r>
              <w:rPr>
                <w:rFonts w:ascii="Arial" w:cs="Arial" w:eastAsia="Arial" w:hAnsi="Arial"/>
                <w:sz w:val="14"/>
                <w:szCs w:val="14"/>
                <w:color w:val="auto"/>
              </w:rPr>
              <w:t>90 %</w:t>
            </w:r>
          </w:p>
        </w:tc>
      </w:tr>
      <w:tr>
        <w:trPr>
          <w:trHeight w:val="203"/>
        </w:trPr>
        <w:tc>
          <w:tcPr>
            <w:tcW w:w="586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62 %</w:t>
            </w:r>
          </w:p>
        </w:tc>
        <w:tc>
          <w:tcPr>
            <w:tcW w:w="860" w:type="dxa"/>
            <w:vAlign w:val="bottom"/>
          </w:tcPr>
          <w:p>
            <w:pPr>
              <w:jc w:val="right"/>
              <w:spacing w:after="0"/>
              <w:rPr>
                <w:sz w:val="20"/>
                <w:szCs w:val="20"/>
                <w:color w:val="auto"/>
              </w:rPr>
            </w:pPr>
            <w:r>
              <w:rPr>
                <w:rFonts w:ascii="Arial" w:cs="Arial" w:eastAsia="Arial" w:hAnsi="Arial"/>
                <w:sz w:val="14"/>
                <w:szCs w:val="14"/>
                <w:color w:val="auto"/>
              </w:rPr>
              <w:t>69 %</w:t>
            </w:r>
          </w:p>
        </w:tc>
        <w:tc>
          <w:tcPr>
            <w:tcW w:w="80" w:type="dxa"/>
            <w:vAlign w:val="bottom"/>
          </w:tcPr>
          <w:p>
            <w:pPr>
              <w:spacing w:after="0"/>
              <w:rPr>
                <w:sz w:val="17"/>
                <w:szCs w:val="17"/>
                <w:color w:val="auto"/>
              </w:rPr>
            </w:pP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68 %</w:t>
            </w:r>
          </w:p>
        </w:tc>
        <w:tc>
          <w:tcPr>
            <w:tcW w:w="860" w:type="dxa"/>
            <w:vAlign w:val="bottom"/>
          </w:tcPr>
          <w:p>
            <w:pPr>
              <w:jc w:val="right"/>
              <w:spacing w:after="0"/>
              <w:rPr>
                <w:sz w:val="20"/>
                <w:szCs w:val="20"/>
                <w:color w:val="auto"/>
              </w:rPr>
            </w:pPr>
            <w:r>
              <w:rPr>
                <w:rFonts w:ascii="Arial" w:cs="Arial" w:eastAsia="Arial" w:hAnsi="Arial"/>
                <w:sz w:val="14"/>
                <w:szCs w:val="14"/>
                <w:color w:val="auto"/>
              </w:rPr>
              <w:t>67 %</w:t>
            </w:r>
          </w:p>
        </w:tc>
      </w:tr>
      <w:tr>
        <w:trPr>
          <w:trHeight w:val="203"/>
        </w:trPr>
        <w:tc>
          <w:tcPr>
            <w:tcW w:w="586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1 %</w:t>
            </w:r>
          </w:p>
        </w:tc>
        <w:tc>
          <w:tcPr>
            <w:tcW w:w="860" w:type="dxa"/>
            <w:vAlign w:val="bottom"/>
          </w:tcPr>
          <w:p>
            <w:pPr>
              <w:jc w:val="right"/>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7"/>
                <w:szCs w:val="17"/>
                <w:color w:val="auto"/>
              </w:rPr>
            </w:pP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(14)%</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586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32 %</w:t>
            </w:r>
          </w:p>
        </w:tc>
        <w:tc>
          <w:tcPr>
            <w:tcW w:w="860" w:type="dxa"/>
            <w:vAlign w:val="bottom"/>
          </w:tcPr>
          <w:p>
            <w:pPr>
              <w:jc w:val="right"/>
              <w:spacing w:after="0"/>
              <w:rPr>
                <w:sz w:val="20"/>
                <w:szCs w:val="20"/>
                <w:color w:val="auto"/>
              </w:rPr>
            </w:pPr>
            <w:r>
              <w:rPr>
                <w:rFonts w:ascii="Arial" w:cs="Arial" w:eastAsia="Arial" w:hAnsi="Arial"/>
                <w:sz w:val="14"/>
                <w:szCs w:val="14"/>
                <w:color w:val="auto"/>
              </w:rPr>
              <w:t>16 %</w:t>
            </w:r>
          </w:p>
        </w:tc>
        <w:tc>
          <w:tcPr>
            <w:tcW w:w="80" w:type="dxa"/>
            <w:vAlign w:val="bottom"/>
          </w:tcPr>
          <w:p>
            <w:pPr>
              <w:spacing w:after="0"/>
              <w:rPr>
                <w:sz w:val="17"/>
                <w:szCs w:val="17"/>
                <w:color w:val="auto"/>
              </w:rPr>
            </w:pPr>
          </w:p>
        </w:tc>
        <w:tc>
          <w:tcPr>
            <w:tcW w:w="1680" w:type="dxa"/>
            <w:vAlign w:val="bottom"/>
          </w:tcPr>
          <w:p>
            <w:pPr>
              <w:jc w:val="right"/>
              <w:ind w:right="406"/>
              <w:spacing w:after="0"/>
              <w:rPr>
                <w:sz w:val="20"/>
                <w:szCs w:val="20"/>
                <w:color w:val="auto"/>
              </w:rPr>
            </w:pPr>
            <w:r>
              <w:rPr>
                <w:rFonts w:ascii="Arial" w:cs="Arial" w:eastAsia="Arial" w:hAnsi="Arial"/>
                <w:sz w:val="14"/>
                <w:szCs w:val="14"/>
                <w:color w:val="auto"/>
              </w:rPr>
              <w:t>26 %</w:t>
            </w: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85" w:lineRule="exact"/>
        <w:rPr>
          <w:sz w:val="20"/>
          <w:szCs w:val="20"/>
          <w:color w:val="auto"/>
        </w:rPr>
      </w:pPr>
    </w:p>
    <w:p>
      <w:pPr>
        <w:jc w:val="both"/>
        <w:ind w:left="500" w:hanging="492"/>
        <w:spacing w:after="0" w:line="31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OpCo includes the amortization of legacy awards granted to certain partners prior to the business combination that closed on June 24, 2021 (the “Business Combination”) and the amortization of awards granted by Professional Partners (the “Professional Partners Awards”), which were subject to the Vesting Acceleration in the second quarter of 2024. The vesting of these awards does not economically dilute PWP shareholders’ interests relative to the interests of other investors in PWP OpCo. The legacy awards were fully amortized as of September 30, 2023.</w:t>
      </w:r>
    </w:p>
    <w:p>
      <w:pPr>
        <w:spacing w:after="0" w:line="113" w:lineRule="exact"/>
        <w:rPr>
          <w:rFonts w:ascii="Arial" w:cs="Arial" w:eastAsia="Arial" w:hAnsi="Arial"/>
          <w:sz w:val="20"/>
          <w:szCs w:val="20"/>
          <w:color w:val="auto"/>
        </w:rPr>
      </w:pPr>
    </w:p>
    <w:p>
      <w:pPr>
        <w:jc w:val="both"/>
        <w:ind w:left="500" w:hanging="492"/>
        <w:spacing w:after="0" w:line="320"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and performance restricted stock units (“PSUs”) which are directly related to milestone events that were part of the Business Combination process and reorganization. These payments were outside of PWP’s normal and recurring bonus and compensation processes.</w:t>
      </w:r>
    </w:p>
    <w:p>
      <w:pPr>
        <w:spacing w:after="0" w:line="109" w:lineRule="exact"/>
        <w:rPr>
          <w:rFonts w:ascii="Arial" w:cs="Arial" w:eastAsia="Arial" w:hAnsi="Arial"/>
          <w:sz w:val="20"/>
          <w:szCs w:val="20"/>
          <w:color w:val="auto"/>
        </w:rPr>
      </w:pPr>
    </w:p>
    <w:p>
      <w:pPr>
        <w:jc w:val="both"/>
        <w:ind w:left="500" w:hanging="492"/>
        <w:spacing w:after="0" w:line="31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00"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102"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related to the partnership restructuring that was contemplated during the implementation of the up-C structure at the time of the Business Combination.</w:t>
      </w:r>
    </w:p>
    <w:p>
      <w:pPr>
        <w:spacing w:after="0" w:line="200" w:lineRule="exact"/>
        <w:rPr>
          <w:sz w:val="20"/>
          <w:szCs w:val="20"/>
          <w:color w:val="auto"/>
        </w:rPr>
      </w:pPr>
    </w:p>
    <w:p>
      <w:pPr>
        <w:spacing w:after="0" w:line="306" w:lineRule="exact"/>
        <w:rPr>
          <w:sz w:val="20"/>
          <w:szCs w:val="20"/>
          <w:color w:val="auto"/>
        </w:rPr>
      </w:pPr>
    </w:p>
    <w:p>
      <w:pPr>
        <w:jc w:val="both"/>
        <w:ind w:firstLine="8"/>
        <w:spacing w:after="0" w:line="259" w:lineRule="auto"/>
        <w:tabs>
          <w:tab w:leader="none" w:pos="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2" w:right="339" w:bottom="1440" w:gutter="0" w:footer="0" w:header="0"/>
        </w:sectPr>
      </w:pPr>
    </w:p>
    <w:bookmarkStart w:id="13" w:name="page14"/>
    <w:bookmarkEnd w:id="13"/>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ind w:left="500" w:hanging="492"/>
        <w:spacing w:after="0" w:line="342"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87"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Includes (i) the amortization of debt discounts and issuance costs for all periods presented, (ii) minimal charges related to the Vesting Acceleration for the three and six months ended June 2024, and (iii) a non-operating loss on investment for the three and six months ended June 2023.</w:t>
      </w:r>
    </w:p>
    <w:p>
      <w:pPr>
        <w:spacing w:after="0" w:line="88" w:lineRule="exact"/>
        <w:rPr>
          <w:rFonts w:ascii="Arial" w:cs="Arial" w:eastAsia="Arial" w:hAnsi="Arial"/>
          <w:sz w:val="20"/>
          <w:szCs w:val="20"/>
          <w:color w:val="auto"/>
        </w:rPr>
      </w:pPr>
    </w:p>
    <w:p>
      <w:pPr>
        <w:jc w:val="both"/>
        <w:ind w:left="500" w:right="12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adjusted income tax expense represents the Company’s calculated tax expense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102"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if-converted income tax expense represents the Company's calculated tax expense on adjusted non-GAAP results assuming the exchange of all partnership units for PWP Class A common stock, resulting in all of the Company’s results for the period being subject to corporate-level tax.</w:t>
      </w:r>
    </w:p>
    <w:p>
      <w:pPr>
        <w:spacing w:after="0" w:line="102" w:lineRule="exact"/>
        <w:rPr>
          <w:rFonts w:ascii="Arial" w:cs="Arial" w:eastAsia="Arial" w:hAnsi="Arial"/>
          <w:sz w:val="20"/>
          <w:szCs w:val="20"/>
          <w:color w:val="auto"/>
        </w:rPr>
      </w:pPr>
    </w:p>
    <w:p>
      <w:pPr>
        <w:ind w:left="500" w:hanging="492"/>
        <w:spacing w:after="0"/>
        <w:tabs>
          <w:tab w:leader="none" w:pos="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Represents the dilutive impact under the treasury stock method of unvested RSUs and PSUs.</w:t>
      </w:r>
    </w:p>
    <w:p>
      <w:pPr>
        <w:spacing w:after="0" w:line="202" w:lineRule="exact"/>
        <w:rPr>
          <w:rFonts w:ascii="Arial" w:cs="Arial" w:eastAsia="Arial" w:hAnsi="Arial"/>
          <w:sz w:val="20"/>
          <w:szCs w:val="20"/>
          <w:color w:val="auto"/>
        </w:rPr>
      </w:pPr>
    </w:p>
    <w:p>
      <w:pPr>
        <w:ind w:left="500" w:hanging="492"/>
        <w:spacing w:after="0" w:line="342" w:lineRule="auto"/>
        <w:tabs>
          <w:tab w:leader="none" w:pos="482"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Represents the dilutive impact assuming the vesting and conversion of all PWP OpCo units to shares of Class A common stock.</w:t>
      </w:r>
    </w:p>
    <w:p>
      <w:pPr>
        <w:spacing w:after="0" w:line="87" w:lineRule="exact"/>
        <w:rPr>
          <w:rFonts w:ascii="Arial" w:cs="Arial" w:eastAsia="Arial" w:hAnsi="Arial"/>
          <w:sz w:val="20"/>
          <w:szCs w:val="20"/>
          <w:color w:val="auto"/>
        </w:rPr>
      </w:pPr>
    </w:p>
    <w:p>
      <w:pPr>
        <w:ind w:left="500" w:hanging="492"/>
        <w:spacing w:after="0"/>
        <w:tabs>
          <w:tab w:leader="none" w:pos="5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8"/>
        <w:spacing w:after="0" w:line="259" w:lineRule="auto"/>
        <w:tabs>
          <w:tab w:leader="none" w:pos="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00" w:type="dxa"/>
            <w:vAlign w:val="bottom"/>
            <w:tcBorders>
              <w:bottom w:val="single" w:sz="8" w:color="B6B6B6"/>
            </w:tcBorders>
            <w:gridSpan w:val="4"/>
          </w:tcPr>
          <w:p>
            <w:pPr>
              <w:jc w:val="right"/>
              <w:ind w:right="148"/>
              <w:spacing w:after="0"/>
              <w:rPr>
                <w:sz w:val="20"/>
                <w:szCs w:val="20"/>
                <w:color w:val="auto"/>
              </w:rPr>
            </w:pPr>
            <w:r>
              <w:rPr>
                <w:rFonts w:ascii="Arial" w:cs="Arial" w:eastAsia="Arial" w:hAnsi="Arial"/>
                <w:sz w:val="14"/>
                <w:szCs w:val="14"/>
                <w:b w:val="1"/>
                <w:bCs w:val="1"/>
                <w:color w:val="503C64"/>
              </w:rPr>
              <w:t>Three Months Ended June 30, 2024</w:t>
            </w: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36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11,743</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(948) </w:t>
            </w:r>
            <w:r>
              <w:rPr>
                <w:rFonts w:ascii="Arial" w:cs="Arial" w:eastAsia="Arial" w:hAnsi="Arial"/>
                <w:sz w:val="12"/>
                <w:szCs w:val="12"/>
                <w:color w:val="auto"/>
              </w:rPr>
              <w:t>(1)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10,795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9,125</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9,125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5,860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5,860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4,700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4,700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7,223</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7,223</w:t>
            </w:r>
          </w:p>
        </w:tc>
      </w:tr>
      <w:tr>
        <w:trPr>
          <w:trHeight w:val="234"/>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20"/>
                <w:szCs w:val="20"/>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5,108</w:t>
            </w:r>
          </w:p>
        </w:tc>
        <w:tc>
          <w:tcPr>
            <w:tcW w:w="420" w:type="dxa"/>
            <w:vAlign w:val="bottom"/>
            <w:tcBorders>
              <w:bottom w:val="single" w:sz="8" w:color="B6B6B6"/>
            </w:tcBorders>
          </w:tcPr>
          <w:p>
            <w:pPr>
              <w:spacing w:after="0"/>
              <w:rPr>
                <w:sz w:val="20"/>
                <w:szCs w:val="20"/>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360" w:type="dxa"/>
            <w:vAlign w:val="bottom"/>
            <w:tcBorders>
              <w:bottom w:val="single" w:sz="8" w:color="B6B6B6"/>
            </w:tcBorders>
          </w:tcPr>
          <w:p>
            <w:pPr>
              <w:spacing w:after="0"/>
              <w:rPr>
                <w:sz w:val="20"/>
                <w:szCs w:val="20"/>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3,463</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43,759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(2,593)</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41,166</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00" w:type="dxa"/>
            <w:vAlign w:val="bottom"/>
            <w:tcBorders>
              <w:bottom w:val="single" w:sz="8" w:color="B6B6B6"/>
            </w:tcBorders>
            <w:gridSpan w:val="4"/>
          </w:tcPr>
          <w:p>
            <w:pPr>
              <w:jc w:val="right"/>
              <w:ind w:right="148"/>
              <w:spacing w:after="0"/>
              <w:rPr>
                <w:sz w:val="20"/>
                <w:szCs w:val="20"/>
                <w:color w:val="auto"/>
              </w:rPr>
            </w:pPr>
            <w:r>
              <w:rPr>
                <w:rFonts w:ascii="Arial" w:cs="Arial" w:eastAsia="Arial" w:hAnsi="Arial"/>
                <w:sz w:val="14"/>
                <w:szCs w:val="14"/>
                <w:b w:val="1"/>
                <w:bCs w:val="1"/>
                <w:color w:val="503C64"/>
              </w:rPr>
              <w:t>Three Months Ended June 30, 2023</w:t>
            </w: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36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8,737</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(840) </w:t>
            </w:r>
            <w:r>
              <w:rPr>
                <w:rFonts w:ascii="Arial" w:cs="Arial" w:eastAsia="Arial" w:hAnsi="Arial"/>
                <w:sz w:val="12"/>
                <w:szCs w:val="12"/>
                <w:color w:val="auto"/>
              </w:rPr>
              <w:t>(1)</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7,897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9,293</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9,293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6,678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6,678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4,726</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4,726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5,796</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5,796</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3,639</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36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1,994</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38,869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(2,485)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36,384</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spacing w:after="0"/>
              <w:rPr>
                <w:sz w:val="17"/>
                <w:szCs w:val="17"/>
                <w:color w:val="auto"/>
              </w:rPr>
            </w:pPr>
          </w:p>
        </w:tc>
        <w:tc>
          <w:tcPr>
            <w:tcW w:w="2280" w:type="dxa"/>
            <w:vAlign w:val="bottom"/>
            <w:tcBorders>
              <w:bottom w:val="single" w:sz="8" w:color="B6B6B6"/>
            </w:tcBorders>
            <w:gridSpan w:val="2"/>
          </w:tcPr>
          <w:p>
            <w:pPr>
              <w:jc w:val="center"/>
              <w:spacing w:after="0"/>
              <w:rPr>
                <w:sz w:val="20"/>
                <w:szCs w:val="20"/>
                <w:color w:val="auto"/>
              </w:rPr>
            </w:pPr>
            <w:r>
              <w:rPr>
                <w:rFonts w:ascii="Arial" w:cs="Arial" w:eastAsia="Arial" w:hAnsi="Arial"/>
                <w:sz w:val="14"/>
                <w:szCs w:val="14"/>
                <w:b w:val="1"/>
                <w:bCs w:val="1"/>
                <w:color w:val="503C64"/>
              </w:rPr>
              <w:t>Six Months Ended June 30, 2024</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500" w:type="dxa"/>
            <w:vAlign w:val="bottom"/>
            <w:tcBorders>
              <w:bottom w:val="single" w:sz="8" w:color="B6B6B6"/>
            </w:tcBorders>
          </w:tcPr>
          <w:p>
            <w:pPr>
              <w:spacing w:after="0"/>
              <w:rPr>
                <w:sz w:val="17"/>
                <w:szCs w:val="17"/>
                <w:color w:val="auto"/>
              </w:rPr>
            </w:pP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right="488"/>
              <w:spacing w:after="0"/>
              <w:rPr>
                <w:sz w:val="20"/>
                <w:szCs w:val="20"/>
                <w:color w:val="auto"/>
              </w:rPr>
            </w:pPr>
            <w:r>
              <w:rPr>
                <w:rFonts w:ascii="Arial" w:cs="Arial" w:eastAsia="Arial" w:hAnsi="Arial"/>
                <w:sz w:val="14"/>
                <w:szCs w:val="14"/>
                <w:b w:val="1"/>
                <w:bCs w:val="1"/>
                <w:color w:val="503C64"/>
              </w:rPr>
              <w:t>Adjustments</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22,803</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668"/>
              <w:spacing w:after="0"/>
              <w:rPr>
                <w:sz w:val="20"/>
                <w:szCs w:val="20"/>
                <w:color w:val="auto"/>
              </w:rPr>
            </w:pPr>
            <w:r>
              <w:rPr>
                <w:rFonts w:ascii="Arial" w:cs="Arial" w:eastAsia="Arial" w:hAnsi="Arial"/>
                <w:sz w:val="14"/>
                <w:szCs w:val="14"/>
                <w:color w:val="auto"/>
              </w:rPr>
              <w:t xml:space="preserve">(2,570) </w:t>
            </w:r>
            <w:r>
              <w:rPr>
                <w:rFonts w:ascii="Arial" w:cs="Arial" w:eastAsia="Arial" w:hAnsi="Arial"/>
                <w:sz w:val="12"/>
                <w:szCs w:val="12"/>
                <w:color w:val="auto"/>
              </w:rPr>
              <w:t>(1)</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20,233</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17,897</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17,897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12,137</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12,137</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9,285</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9,285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11,742</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11,742</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B6B6B6"/>
            </w:tcBorders>
          </w:tcPr>
          <w:p>
            <w:pPr>
              <w:spacing w:after="0"/>
              <w:rPr>
                <w:sz w:val="17"/>
                <w:szCs w:val="17"/>
                <w:color w:val="auto"/>
              </w:rPr>
            </w:pP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10,188</w:t>
            </w: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left="668"/>
              <w:spacing w:after="0"/>
              <w:rPr>
                <w:sz w:val="20"/>
                <w:szCs w:val="20"/>
                <w:color w:val="auto"/>
              </w:rPr>
            </w:pPr>
            <w:r>
              <w:rPr>
                <w:rFonts w:ascii="Arial" w:cs="Arial" w:eastAsia="Arial" w:hAnsi="Arial"/>
                <w:sz w:val="14"/>
                <w:szCs w:val="14"/>
                <w:color w:val="auto"/>
              </w:rPr>
              <w:t xml:space="preserve">(3,290) </w:t>
            </w:r>
            <w:r>
              <w:rPr>
                <w:rFonts w:ascii="Arial" w:cs="Arial" w:eastAsia="Arial" w:hAnsi="Arial"/>
                <w:sz w:val="12"/>
                <w:szCs w:val="12"/>
                <w:color w:val="auto"/>
              </w:rPr>
              <w:t>(2)</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6,898</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84,052</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(5,860)</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78,192</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spacing w:after="0"/>
              <w:rPr>
                <w:sz w:val="17"/>
                <w:szCs w:val="17"/>
                <w:color w:val="auto"/>
              </w:rPr>
            </w:pPr>
          </w:p>
        </w:tc>
        <w:tc>
          <w:tcPr>
            <w:tcW w:w="2280" w:type="dxa"/>
            <w:vAlign w:val="bottom"/>
            <w:tcBorders>
              <w:bottom w:val="single" w:sz="8" w:color="B6B6B6"/>
            </w:tcBorders>
            <w:gridSpan w:val="2"/>
          </w:tcPr>
          <w:p>
            <w:pPr>
              <w:jc w:val="center"/>
              <w:spacing w:after="0"/>
              <w:rPr>
                <w:sz w:val="20"/>
                <w:szCs w:val="20"/>
                <w:color w:val="auto"/>
              </w:rPr>
            </w:pPr>
            <w:r>
              <w:rPr>
                <w:rFonts w:ascii="Arial" w:cs="Arial" w:eastAsia="Arial" w:hAnsi="Arial"/>
                <w:sz w:val="14"/>
                <w:szCs w:val="14"/>
                <w:b w:val="1"/>
                <w:bCs w:val="1"/>
                <w:color w:val="503C64"/>
              </w:rPr>
              <w:t>Six Months Ended June 30, 2023</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520" w:type="dxa"/>
            <w:vAlign w:val="bottom"/>
            <w:tcBorders>
              <w:bottom w:val="single" w:sz="8" w:color="B6B6B6"/>
            </w:tcBorders>
          </w:tcPr>
          <w:p>
            <w:pPr>
              <w:spacing w:after="0"/>
              <w:rPr>
                <w:sz w:val="17"/>
                <w:szCs w:val="17"/>
                <w:color w:val="auto"/>
              </w:rPr>
            </w:pP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right="488"/>
              <w:spacing w:after="0"/>
              <w:rPr>
                <w:sz w:val="20"/>
                <w:szCs w:val="20"/>
                <w:color w:val="auto"/>
              </w:rPr>
            </w:pPr>
            <w:r>
              <w:rPr>
                <w:rFonts w:ascii="Arial" w:cs="Arial" w:eastAsia="Arial" w:hAnsi="Arial"/>
                <w:sz w:val="14"/>
                <w:szCs w:val="14"/>
                <w:b w:val="1"/>
                <w:bCs w:val="1"/>
                <w:color w:val="503C64"/>
              </w:rPr>
              <w:t>Adjustments</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16,290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center"/>
              <w:ind w:left="668"/>
              <w:spacing w:after="0"/>
              <w:rPr>
                <w:sz w:val="20"/>
                <w:szCs w:val="20"/>
                <w:color w:val="auto"/>
              </w:rPr>
            </w:pPr>
            <w:r>
              <w:rPr>
                <w:rFonts w:ascii="Arial" w:cs="Arial" w:eastAsia="Arial" w:hAnsi="Arial"/>
                <w:sz w:val="14"/>
                <w:szCs w:val="14"/>
                <w:color w:val="auto"/>
              </w:rPr>
              <w:t xml:space="preserve">(1,165) </w:t>
            </w:r>
            <w:r>
              <w:rPr>
                <w:rFonts w:ascii="Arial" w:cs="Arial" w:eastAsia="Arial" w:hAnsi="Arial"/>
                <w:sz w:val="12"/>
                <w:szCs w:val="12"/>
                <w:color w:val="auto"/>
              </w:rPr>
              <w:t>(1)</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15,125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17,805</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17,805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14,092</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14,092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9,500</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9,500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11,190</w:t>
            </w:r>
          </w:p>
        </w:tc>
        <w:tc>
          <w:tcPr>
            <w:tcW w:w="600" w:type="dxa"/>
            <w:vAlign w:val="bottom"/>
          </w:tcPr>
          <w:p>
            <w:pPr>
              <w:spacing w:after="0"/>
              <w:rPr>
                <w:sz w:val="17"/>
                <w:szCs w:val="17"/>
                <w:color w:val="auto"/>
              </w:rPr>
            </w:pPr>
          </w:p>
        </w:tc>
        <w:tc>
          <w:tcPr>
            <w:tcW w:w="1680" w:type="dxa"/>
            <w:vAlign w:val="bottom"/>
          </w:tcPr>
          <w:p>
            <w:pPr>
              <w:jc w:val="center"/>
              <w:ind w:left="70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11,190</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5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6,474</w:t>
            </w:r>
          </w:p>
        </w:tc>
        <w:tc>
          <w:tcPr>
            <w:tcW w:w="600" w:type="dxa"/>
            <w:vAlign w:val="bottom"/>
            <w:tcBorders>
              <w:bottom w:val="single" w:sz="8" w:color="B6B6B6"/>
            </w:tcBorders>
          </w:tcPr>
          <w:p>
            <w:pPr>
              <w:spacing w:after="0"/>
              <w:rPr>
                <w:sz w:val="17"/>
                <w:szCs w:val="17"/>
                <w:color w:val="auto"/>
              </w:rPr>
            </w:pPr>
          </w:p>
        </w:tc>
        <w:tc>
          <w:tcPr>
            <w:tcW w:w="1680" w:type="dxa"/>
            <w:vAlign w:val="bottom"/>
            <w:tcBorders>
              <w:bottom w:val="single" w:sz="8" w:color="B6B6B6"/>
            </w:tcBorders>
          </w:tcPr>
          <w:p>
            <w:pPr>
              <w:jc w:val="center"/>
              <w:ind w:left="668"/>
              <w:spacing w:after="0"/>
              <w:rPr>
                <w:sz w:val="20"/>
                <w:szCs w:val="20"/>
                <w:color w:val="auto"/>
              </w:rPr>
            </w:pPr>
            <w:r>
              <w:rPr>
                <w:rFonts w:ascii="Arial" w:cs="Arial" w:eastAsia="Arial" w:hAnsi="Arial"/>
                <w:sz w:val="14"/>
                <w:szCs w:val="14"/>
                <w:color w:val="auto"/>
              </w:rPr>
              <w:t xml:space="preserve">(3,290) </w:t>
            </w:r>
            <w:r>
              <w:rPr>
                <w:rFonts w:ascii="Arial" w:cs="Arial" w:eastAsia="Arial" w:hAnsi="Arial"/>
                <w:sz w:val="12"/>
                <w:szCs w:val="12"/>
                <w:color w:val="auto"/>
              </w:rPr>
              <w:t>(2)</w:t>
            </w:r>
          </w:p>
        </w:tc>
        <w:tc>
          <w:tcPr>
            <w:tcW w:w="300" w:type="dxa"/>
            <w:vAlign w:val="bottom"/>
            <w:tcBorders>
              <w:bottom w:val="single" w:sz="8" w:color="B6B6B6"/>
            </w:tcBorders>
          </w:tcPr>
          <w:p>
            <w:pPr>
              <w:spacing w:after="0"/>
              <w:rPr>
                <w:sz w:val="17"/>
                <w:szCs w:val="17"/>
                <w:color w:val="auto"/>
              </w:rPr>
            </w:pPr>
          </w:p>
        </w:tc>
        <w:tc>
          <w:tcPr>
            <w:tcW w:w="13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3,184</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75,351</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(4,455)</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70,896</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Reflects an adjustment to exclude transaction costs associated with the Business Combination.</w:t>
      </w:r>
    </w:p>
    <w:p>
      <w:pPr>
        <w:spacing w:after="0" w:line="95" w:lineRule="exact"/>
        <w:rPr>
          <w:rFonts w:ascii="Arial" w:cs="Arial" w:eastAsia="Arial" w:hAnsi="Arial"/>
          <w:sz w:val="14"/>
          <w:szCs w:val="14"/>
          <w:color w:val="auto"/>
        </w:rPr>
      </w:pPr>
    </w:p>
    <w:p>
      <w:pPr>
        <w:ind w:left="880" w:hanging="382"/>
        <w:spacing w:after="0"/>
        <w:tabs>
          <w:tab w:leader="none" w:pos="88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5"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6"/>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2024-08-02T06:52:26Z</dcterms:created>
  <dcterms:modified xsi:type="dcterms:W3CDTF">2024-08-02T06:52:26Z</dcterms:modified>
</cp:coreProperties>
</file>