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6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Proxy Statement Pursuant to Section 14(a)</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of the Securities Exchange Act of 1934</w:t>
      </w:r>
    </w:p>
    <w:p>
      <w:pPr>
        <w:spacing w:after="0" w:line="4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9"/>
          <w:szCs w:val="29"/>
          <w:b w:val="1"/>
          <w:bCs w:val="1"/>
          <w:color w:val="auto"/>
        </w:rPr>
        <w:t>(Amendment No. )</w:t>
      </w:r>
    </w:p>
    <w:p>
      <w:pPr>
        <w:spacing w:after="0" w:line="31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112"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1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107"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Confidential, for Use of the Commission Only (as permitted by Rule 14a-6(e)(2))</w:t>
      </w:r>
    </w:p>
    <w:p>
      <w:pPr>
        <w:spacing w:after="0" w:line="81" w:lineRule="exact"/>
        <w:rPr>
          <w:rFonts w:ascii="MS PGothic" w:cs="MS PGothic" w:eastAsia="MS PGothic" w:hAnsi="MS PGothic"/>
          <w:sz w:val="22"/>
          <w:szCs w:val="22"/>
          <w:color w:val="auto"/>
        </w:rPr>
      </w:pPr>
    </w:p>
    <w:p>
      <w:pPr>
        <w:spacing w:after="0" w:line="253" w:lineRule="exact"/>
        <w:rPr>
          <w:rFonts w:ascii="MS PGothic" w:cs="MS PGothic" w:eastAsia="MS PGothic" w:hAnsi="MS PGothic"/>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Definitive Proxy Statement</w:t>
      </w:r>
    </w:p>
    <w:p>
      <w:pPr>
        <w:spacing w:after="0" w:line="145"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11"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86"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9"/>
          <w:szCs w:val="29"/>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98"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112"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111" w:lineRule="exact"/>
        <w:rPr>
          <w:rFonts w:ascii="MS PGothic" w:cs="MS PGothic" w:eastAsia="MS PGothic" w:hAnsi="MS PGothic"/>
          <w:sz w:val="22"/>
          <w:szCs w:val="22"/>
          <w:color w:val="auto"/>
        </w:rPr>
      </w:pPr>
    </w:p>
    <w:p>
      <w:pPr>
        <w:ind w:left="420" w:hanging="412"/>
        <w:spacing w:after="0"/>
        <w:tabs>
          <w:tab w:leader="none" w:pos="420" w:val="left"/>
        </w:tabs>
        <w:numPr>
          <w:ilvl w:val="0"/>
          <w:numId w:val="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ectPr>
          <w:pgSz w:w="11900" w:h="16838" w:orient="portrait"/>
          <w:cols w:equalWidth="0" w:num="1">
            <w:col w:w="10139"/>
          </w:cols>
          <w:pgMar w:left="320" w:top="101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171450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3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12,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cordially invite you to attend our 2022 Annual Meeting of Stockholders, to be held on Tuesday, May 24, 2022, at 10:00 a.m. (Eastern Time) at http://www.virtualshareholdermeeting.com/PWP2022.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Annual Meeting of Stockholders and the proxy statement that follow describe the business to be conducted at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We encourage you to submit your votes in advance of the meeting, whether or not you plan to attend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92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A. Weinberg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171450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3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Meeting Date:</w:t>
      </w:r>
      <w:r>
        <w:rPr>
          <w:sz w:val="20"/>
          <w:szCs w:val="20"/>
          <w:color w:val="auto"/>
        </w:rPr>
        <w:tab/>
      </w:r>
      <w:r>
        <w:rPr>
          <w:rFonts w:ascii="Times New Roman" w:cs="Times New Roman" w:eastAsia="Times New Roman" w:hAnsi="Times New Roman"/>
          <w:sz w:val="17"/>
          <w:szCs w:val="17"/>
          <w:color w:val="auto"/>
        </w:rPr>
        <w:t>Tuesday, May 24, 2022</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Time:</w:t>
      </w:r>
      <w:r>
        <w:rPr>
          <w:sz w:val="20"/>
          <w:szCs w:val="20"/>
          <w:color w:val="auto"/>
        </w:rPr>
        <w:tab/>
      </w:r>
      <w:r>
        <w:rPr>
          <w:rFonts w:ascii="Times New Roman" w:cs="Times New Roman" w:eastAsia="Times New Roman" w:hAnsi="Times New Roman"/>
          <w:sz w:val="17"/>
          <w:szCs w:val="17"/>
          <w:color w:val="auto"/>
        </w:rPr>
        <w:t>10:00 a.m. (Eastern Time)</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Place:</w:t>
      </w:r>
      <w:r>
        <w:rPr>
          <w:sz w:val="20"/>
          <w:szCs w:val="20"/>
          <w:color w:val="auto"/>
        </w:rPr>
        <w:tab/>
      </w:r>
      <w:r>
        <w:rPr>
          <w:rFonts w:ascii="Times New Roman" w:cs="Times New Roman" w:eastAsia="Times New Roman" w:hAnsi="Times New Roman"/>
          <w:sz w:val="17"/>
          <w:szCs w:val="17"/>
          <w:color w:val="auto"/>
        </w:rPr>
        <w:t>http://www.virtualshareholdermeeting.com/PWP2022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holding our 2022 annual meeting of stockholders for the following purposes, which are described in more detail in the proxy statement: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our board of directors;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meeting or any adjournment or postponement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stockholders of record as of the close of business on March 30, 2022, will be entitled to attend and vote at the annual meeting.</w:t>
      </w:r>
    </w:p>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12, 2022.</w:t>
      </w:r>
    </w:p>
    <w:p>
      <w:pPr>
        <w:spacing w:after="0" w:line="14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Saski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Saski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24, 2022.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Company’s Proxy Statement and 2021 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 also available at www.proxyvote.com.</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80" w:type="dxa"/>
            <w:vAlign w:val="bottom"/>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2120" w:type="dxa"/>
            <w:vAlign w:val="bottom"/>
            <w:tcBorders>
              <w:bottom w:val="single" w:sz="8" w:color="0E32E1"/>
            </w:tcBorders>
          </w:tcPr>
          <w:p>
            <w:pPr>
              <w:spacing w:after="0"/>
              <w:rPr>
                <w:rFonts w:ascii="Times New Roman" w:cs="Times New Roman" w:eastAsia="Times New Roman" w:hAnsi="Times New Roman"/>
                <w:sz w:val="18"/>
                <w:szCs w:val="18"/>
                <w:color w:val="0E32E1"/>
                <w:w w:val="97"/>
              </w:rPr>
            </w:pPr>
            <w:hyperlink w:anchor="page4">
              <w:r>
                <w:rPr>
                  <w:rFonts w:ascii="Times New Roman" w:cs="Times New Roman" w:eastAsia="Times New Roman" w:hAnsi="Times New Roman"/>
                  <w:sz w:val="18"/>
                  <w:szCs w:val="18"/>
                  <w:color w:val="0E32E1"/>
                  <w:w w:val="97"/>
                </w:rPr>
                <w:t>GENERAL INFORMATION</w:t>
              </w:r>
            </w:hyperlink>
          </w:p>
        </w:tc>
        <w:tc>
          <w:tcPr>
            <w:tcW w:w="88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E32E1"/>
            </w:tcBorders>
          </w:tcPr>
          <w:p>
            <w:pPr>
              <w:jc w:val="right"/>
              <w:spacing w:after="0"/>
              <w:rPr>
                <w:rFonts w:ascii="Times New Roman" w:cs="Times New Roman" w:eastAsia="Times New Roman" w:hAnsi="Times New Roman"/>
                <w:sz w:val="18"/>
                <w:szCs w:val="18"/>
                <w:color w:val="0E32E1"/>
                <w:w w:val="88"/>
              </w:rPr>
            </w:pPr>
            <w:hyperlink w:anchor="page4">
              <w:r>
                <w:rPr>
                  <w:rFonts w:ascii="Times New Roman" w:cs="Times New Roman" w:eastAsia="Times New Roman" w:hAnsi="Times New Roman"/>
                  <w:sz w:val="18"/>
                  <w:szCs w:val="18"/>
                  <w:color w:val="0E32E1"/>
                  <w:w w:val="88"/>
                </w:rPr>
                <w:t>1</w:t>
              </w:r>
            </w:hyperlink>
          </w:p>
        </w:tc>
      </w:tr>
      <w:tr>
        <w:trPr>
          <w:trHeight w:val="209"/>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9">
              <w:r>
                <w:rPr>
                  <w:rFonts w:ascii="Times New Roman" w:cs="Times New Roman" w:eastAsia="Times New Roman" w:hAnsi="Times New Roman"/>
                  <w:sz w:val="18"/>
                  <w:szCs w:val="18"/>
                  <w:color w:val="0E32E1"/>
                </w:rPr>
                <w:t>PROPOSAL 1: ELECTION OF DIRECTORS</w:t>
              </w:r>
            </w:hyperlink>
          </w:p>
        </w:tc>
        <w:tc>
          <w:tcPr>
            <w:tcW w:w="180" w:type="dxa"/>
            <w:vAlign w:val="bottom"/>
            <w:gridSpan w:val="2"/>
          </w:tcPr>
          <w:p>
            <w:pPr>
              <w:jc w:val="right"/>
              <w:spacing w:after="0"/>
              <w:rPr>
                <w:rFonts w:ascii="Times New Roman" w:cs="Times New Roman" w:eastAsia="Times New Roman" w:hAnsi="Times New Roman"/>
                <w:sz w:val="18"/>
                <w:szCs w:val="18"/>
                <w:color w:val="0E32E1"/>
              </w:rPr>
            </w:pPr>
            <w:hyperlink w:anchor="page9">
              <w:r>
                <w:rPr>
                  <w:rFonts w:ascii="Times New Roman" w:cs="Times New Roman" w:eastAsia="Times New Roman" w:hAnsi="Times New Roman"/>
                  <w:sz w:val="18"/>
                  <w:szCs w:val="18"/>
                  <w:color w:val="0E32E1"/>
                </w:rPr>
                <w:t>6</w:t>
              </w:r>
            </w:hyperlink>
          </w:p>
        </w:tc>
      </w:tr>
      <w:tr>
        <w:trPr>
          <w:trHeight w:val="209"/>
        </w:trPr>
        <w:tc>
          <w:tcPr>
            <w:tcW w:w="2340" w:type="dxa"/>
            <w:vAlign w:val="bottom"/>
            <w:tcBorders>
              <w:top w:val="single" w:sz="8" w:color="0E32E1"/>
              <w:bottom w:val="single" w:sz="8" w:color="0E32E1"/>
            </w:tcBorders>
            <w:gridSpan w:val="3"/>
          </w:tcPr>
          <w:p>
            <w:pPr>
              <w:spacing w:after="0"/>
              <w:rPr>
                <w:rFonts w:ascii="Times New Roman" w:cs="Times New Roman" w:eastAsia="Times New Roman" w:hAnsi="Times New Roman"/>
                <w:sz w:val="18"/>
                <w:szCs w:val="18"/>
                <w:color w:val="0E32E1"/>
                <w:w w:val="98"/>
              </w:rPr>
            </w:pPr>
            <w:hyperlink w:anchor="page10">
              <w:r>
                <w:rPr>
                  <w:rFonts w:ascii="Times New Roman" w:cs="Times New Roman" w:eastAsia="Times New Roman" w:hAnsi="Times New Roman"/>
                  <w:sz w:val="18"/>
                  <w:szCs w:val="18"/>
                  <w:color w:val="0E32E1"/>
                  <w:w w:val="98"/>
                </w:rPr>
                <w:t>CORPORATE GOVERNANCE</w:t>
              </w:r>
            </w:hyperlink>
          </w:p>
        </w:tc>
        <w:tc>
          <w:tcPr>
            <w:tcW w:w="1000" w:type="dxa"/>
            <w:vAlign w:val="bottom"/>
            <w:tcBorders>
              <w:top w:val="single" w:sz="8" w:color="0E32E1"/>
            </w:tcBorders>
            <w:gridSpan w:val="4"/>
          </w:tcPr>
          <w:p>
            <w:pPr>
              <w:spacing w:after="0"/>
              <w:rPr>
                <w:sz w:val="18"/>
                <w:szCs w:val="18"/>
                <w:color w:val="auto"/>
              </w:rPr>
            </w:pPr>
          </w:p>
        </w:tc>
        <w:tc>
          <w:tcPr>
            <w:tcW w:w="75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E32E1"/>
              <w:bottom w:val="single" w:sz="8" w:color="0E32E1"/>
            </w:tcBorders>
          </w:tcPr>
          <w:p>
            <w:pPr>
              <w:jc w:val="right"/>
              <w:spacing w:after="0"/>
              <w:rPr>
                <w:rFonts w:ascii="Times New Roman" w:cs="Times New Roman" w:eastAsia="Times New Roman" w:hAnsi="Times New Roman"/>
                <w:sz w:val="18"/>
                <w:szCs w:val="18"/>
                <w:color w:val="0E32E1"/>
                <w:w w:val="88"/>
              </w:rPr>
            </w:pPr>
            <w:hyperlink w:anchor="page10">
              <w:r>
                <w:rPr>
                  <w:rFonts w:ascii="Times New Roman" w:cs="Times New Roman" w:eastAsia="Times New Roman" w:hAnsi="Times New Roman"/>
                  <w:sz w:val="18"/>
                  <w:szCs w:val="18"/>
                  <w:color w:val="0E32E1"/>
                  <w:w w:val="88"/>
                </w:rPr>
                <w:t>7</w:t>
              </w:r>
            </w:hyperlink>
          </w:p>
        </w:tc>
      </w:tr>
      <w:tr>
        <w:trPr>
          <w:trHeight w:val="210"/>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20">
              <w:r>
                <w:rPr>
                  <w:rFonts w:ascii="Times New Roman" w:cs="Times New Roman" w:eastAsia="Times New Roman" w:hAnsi="Times New Roman"/>
                  <w:sz w:val="18"/>
                  <w:szCs w:val="18"/>
                  <w:color w:val="0E32E1"/>
                </w:rPr>
                <w:t>DIRECTOR COMPENSATION</w:t>
              </w:r>
            </w:hyperlink>
          </w:p>
        </w:tc>
        <w:tc>
          <w:tcPr>
            <w:tcW w:w="180" w:type="dxa"/>
            <w:vAlign w:val="bottom"/>
            <w:gridSpan w:val="2"/>
          </w:tcPr>
          <w:p>
            <w:pPr>
              <w:jc w:val="right"/>
              <w:spacing w:after="0"/>
              <w:rPr>
                <w:rFonts w:ascii="Times New Roman" w:cs="Times New Roman" w:eastAsia="Times New Roman" w:hAnsi="Times New Roman"/>
                <w:sz w:val="18"/>
                <w:szCs w:val="18"/>
                <w:color w:val="0E32E1"/>
                <w:w w:val="88"/>
              </w:rPr>
            </w:pPr>
            <w:hyperlink w:anchor="page20">
              <w:r>
                <w:rPr>
                  <w:rFonts w:ascii="Times New Roman" w:cs="Times New Roman" w:eastAsia="Times New Roman" w:hAnsi="Times New Roman"/>
                  <w:sz w:val="18"/>
                  <w:szCs w:val="18"/>
                  <w:color w:val="0E32E1"/>
                  <w:w w:val="88"/>
                </w:rPr>
                <w:t>17</w:t>
              </w:r>
            </w:hyperlink>
          </w:p>
        </w:tc>
      </w:tr>
      <w:tr>
        <w:trPr>
          <w:trHeight w:val="20"/>
        </w:trPr>
        <w:tc>
          <w:tcPr>
            <w:tcW w:w="2320" w:type="dxa"/>
            <w:vAlign w:val="bottom"/>
            <w:gridSpan w:val="2"/>
            <w:shd w:val="clear" w:color="auto" w:fill="0E32E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r>
      <w:tr>
        <w:trPr>
          <w:trHeight w:val="209"/>
        </w:trPr>
        <w:tc>
          <w:tcPr>
            <w:tcW w:w="2440" w:type="dxa"/>
            <w:vAlign w:val="bottom"/>
            <w:tcBorders>
              <w:bottom w:val="single" w:sz="8" w:color="0E32E1"/>
            </w:tcBorders>
            <w:gridSpan w:val="5"/>
          </w:tcPr>
          <w:p>
            <w:pPr>
              <w:spacing w:after="0"/>
              <w:rPr>
                <w:rFonts w:ascii="Times New Roman" w:cs="Times New Roman" w:eastAsia="Times New Roman" w:hAnsi="Times New Roman"/>
                <w:sz w:val="18"/>
                <w:szCs w:val="18"/>
                <w:color w:val="0E32E1"/>
                <w:w w:val="98"/>
              </w:rPr>
            </w:pPr>
            <w:hyperlink w:anchor="page21">
              <w:r>
                <w:rPr>
                  <w:rFonts w:ascii="Times New Roman" w:cs="Times New Roman" w:eastAsia="Times New Roman" w:hAnsi="Times New Roman"/>
                  <w:sz w:val="18"/>
                  <w:szCs w:val="18"/>
                  <w:color w:val="0E32E1"/>
                  <w:w w:val="98"/>
                </w:rPr>
                <w:t>EXECUTIVE COMPENSATION</w:t>
              </w:r>
            </w:hyperlink>
          </w:p>
        </w:tc>
        <w:tc>
          <w:tcPr>
            <w:tcW w:w="8480" w:type="dxa"/>
            <w:vAlign w:val="bottom"/>
            <w:gridSpan w:val="6"/>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21">
              <w:r>
                <w:rPr>
                  <w:rFonts w:ascii="Times New Roman" w:cs="Times New Roman" w:eastAsia="Times New Roman" w:hAnsi="Times New Roman"/>
                  <w:sz w:val="18"/>
                  <w:szCs w:val="18"/>
                  <w:color w:val="0E32E1"/>
                  <w:w w:val="88"/>
                </w:rPr>
                <w:t>18</w:t>
              </w:r>
            </w:hyperlink>
          </w:p>
        </w:tc>
      </w:tr>
      <w:tr>
        <w:trPr>
          <w:trHeight w:val="209"/>
        </w:trPr>
        <w:tc>
          <w:tcPr>
            <w:tcW w:w="10920" w:type="dxa"/>
            <w:vAlign w:val="bottom"/>
            <w:gridSpan w:val="11"/>
          </w:tcPr>
          <w:p>
            <w:pPr>
              <w:spacing w:after="0"/>
              <w:rPr>
                <w:rFonts w:ascii="Times New Roman" w:cs="Times New Roman" w:eastAsia="Times New Roman" w:hAnsi="Times New Roman"/>
                <w:sz w:val="18"/>
                <w:szCs w:val="18"/>
                <w:color w:val="0E32E1"/>
              </w:rPr>
            </w:pPr>
            <w:hyperlink w:anchor="page30">
              <w:r>
                <w:rPr>
                  <w:rFonts w:ascii="Times New Roman" w:cs="Times New Roman" w:eastAsia="Times New Roman" w:hAnsi="Times New Roman"/>
                  <w:sz w:val="18"/>
                  <w:szCs w:val="18"/>
                  <w:color w:val="0E32E1"/>
                </w:rPr>
                <w:t>STOCK OWNERSHIP OF CERTAIN BENEFICIAL OWNERS AND MANAGEMENT</w:t>
              </w:r>
            </w:hyperlink>
          </w:p>
        </w:tc>
        <w:tc>
          <w:tcPr>
            <w:tcW w:w="180" w:type="dxa"/>
            <w:vAlign w:val="bottom"/>
            <w:gridSpan w:val="2"/>
          </w:tcPr>
          <w:p>
            <w:pPr>
              <w:jc w:val="right"/>
              <w:spacing w:after="0"/>
              <w:rPr>
                <w:rFonts w:ascii="Times New Roman" w:cs="Times New Roman" w:eastAsia="Times New Roman" w:hAnsi="Times New Roman"/>
                <w:sz w:val="18"/>
                <w:szCs w:val="18"/>
                <w:color w:val="0E32E1"/>
                <w:w w:val="88"/>
              </w:rPr>
            </w:pPr>
            <w:hyperlink w:anchor="page30">
              <w:r>
                <w:rPr>
                  <w:rFonts w:ascii="Times New Roman" w:cs="Times New Roman" w:eastAsia="Times New Roman" w:hAnsi="Times New Roman"/>
                  <w:sz w:val="18"/>
                  <w:szCs w:val="18"/>
                  <w:color w:val="0E32E1"/>
                  <w:w w:val="88"/>
                </w:rPr>
                <w:t>27</w:t>
              </w:r>
            </w:hyperlink>
          </w:p>
        </w:tc>
      </w:tr>
      <w:tr>
        <w:trPr>
          <w:trHeight w:val="210"/>
        </w:trPr>
        <w:tc>
          <w:tcPr>
            <w:tcW w:w="6420" w:type="dxa"/>
            <w:vAlign w:val="bottom"/>
            <w:tcBorders>
              <w:top w:val="single" w:sz="8" w:color="0E32E1"/>
            </w:tcBorders>
            <w:gridSpan w:val="10"/>
          </w:tcPr>
          <w:p>
            <w:pPr>
              <w:spacing w:after="0"/>
              <w:rPr>
                <w:rFonts w:ascii="Times New Roman" w:cs="Times New Roman" w:eastAsia="Times New Roman" w:hAnsi="Times New Roman"/>
                <w:sz w:val="18"/>
                <w:szCs w:val="18"/>
                <w:color w:val="0E32E1"/>
              </w:rPr>
            </w:pPr>
            <w:hyperlink w:anchor="page35">
              <w:r>
                <w:rPr>
                  <w:rFonts w:ascii="Times New Roman" w:cs="Times New Roman" w:eastAsia="Times New Roman" w:hAnsi="Times New Roman"/>
                  <w:sz w:val="18"/>
                  <w:szCs w:val="18"/>
                  <w:color w:val="0E32E1"/>
                </w:rPr>
                <w:t>DELINQUENT SECTION 16(A) REPORTS</w:t>
              </w:r>
            </w:hyperlink>
          </w:p>
        </w:tc>
        <w:tc>
          <w:tcPr>
            <w:tcW w:w="4500" w:type="dxa"/>
            <w:vAlign w:val="bottom"/>
          </w:tcPr>
          <w:p>
            <w:pPr>
              <w:spacing w:after="0"/>
              <w:rPr>
                <w:sz w:val="18"/>
                <w:szCs w:val="18"/>
                <w:color w:val="auto"/>
              </w:rPr>
            </w:pPr>
          </w:p>
        </w:tc>
        <w:tc>
          <w:tcPr>
            <w:tcW w:w="180" w:type="dxa"/>
            <w:vAlign w:val="bottom"/>
            <w:tcBorders>
              <w:top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35">
              <w:r>
                <w:rPr>
                  <w:rFonts w:ascii="Times New Roman" w:cs="Times New Roman" w:eastAsia="Times New Roman" w:hAnsi="Times New Roman"/>
                  <w:sz w:val="18"/>
                  <w:szCs w:val="18"/>
                  <w:color w:val="0E32E1"/>
                  <w:w w:val="88"/>
                </w:rPr>
                <w:t>32</w:t>
              </w:r>
            </w:hyperlink>
          </w:p>
        </w:tc>
      </w:tr>
      <w:tr>
        <w:trPr>
          <w:trHeight w:val="20"/>
        </w:trPr>
        <w:tc>
          <w:tcPr>
            <w:tcW w:w="2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r>
      <w:tr>
        <w:trPr>
          <w:trHeight w:val="209"/>
        </w:trPr>
        <w:tc>
          <w:tcPr>
            <w:tcW w:w="5600" w:type="dxa"/>
            <w:vAlign w:val="bottom"/>
            <w:tcBorders>
              <w:bottom w:val="single" w:sz="8" w:color="0E32E1"/>
            </w:tcBorders>
            <w:gridSpan w:val="8"/>
          </w:tcPr>
          <w:p>
            <w:pPr>
              <w:spacing w:after="0"/>
              <w:rPr>
                <w:rFonts w:ascii="Times New Roman" w:cs="Times New Roman" w:eastAsia="Times New Roman" w:hAnsi="Times New Roman"/>
                <w:sz w:val="18"/>
                <w:szCs w:val="18"/>
                <w:color w:val="0E32E1"/>
                <w:w w:val="98"/>
              </w:rPr>
            </w:pPr>
            <w:hyperlink w:anchor="page36">
              <w:r>
                <w:rPr>
                  <w:rFonts w:ascii="Times New Roman" w:cs="Times New Roman" w:eastAsia="Times New Roman" w:hAnsi="Times New Roman"/>
                  <w:sz w:val="18"/>
                  <w:szCs w:val="18"/>
                  <w:color w:val="0E32E1"/>
                  <w:w w:val="98"/>
                </w:rPr>
                <w:t>CERTAIN RELATIONSHIPS AND RELATED PERSON TRANSACTIONS</w:t>
              </w:r>
            </w:hyperlink>
          </w:p>
        </w:tc>
        <w:tc>
          <w:tcPr>
            <w:tcW w:w="5320" w:type="dxa"/>
            <w:vAlign w:val="bottom"/>
            <w:gridSpan w:val="3"/>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36">
              <w:r>
                <w:rPr>
                  <w:rFonts w:ascii="Times New Roman" w:cs="Times New Roman" w:eastAsia="Times New Roman" w:hAnsi="Times New Roman"/>
                  <w:sz w:val="18"/>
                  <w:szCs w:val="18"/>
                  <w:color w:val="0E32E1"/>
                  <w:w w:val="88"/>
                </w:rPr>
                <w:t>33</w:t>
              </w:r>
            </w:hyperlink>
          </w:p>
        </w:tc>
      </w:tr>
      <w:tr>
        <w:trPr>
          <w:trHeight w:val="210"/>
        </w:trPr>
        <w:tc>
          <w:tcPr>
            <w:tcW w:w="6100" w:type="dxa"/>
            <w:vAlign w:val="bottom"/>
            <w:tcBorders>
              <w:bottom w:val="single" w:sz="8" w:color="0E32E1"/>
            </w:tcBorders>
            <w:gridSpan w:val="9"/>
          </w:tcPr>
          <w:p>
            <w:pPr>
              <w:spacing w:after="0"/>
              <w:rPr>
                <w:rFonts w:ascii="Times New Roman" w:cs="Times New Roman" w:eastAsia="Times New Roman" w:hAnsi="Times New Roman"/>
                <w:sz w:val="18"/>
                <w:szCs w:val="18"/>
                <w:color w:val="0E32E1"/>
                <w:w w:val="98"/>
              </w:rPr>
            </w:pPr>
            <w:hyperlink w:anchor="page47">
              <w:r>
                <w:rPr>
                  <w:rFonts w:ascii="Times New Roman" w:cs="Times New Roman" w:eastAsia="Times New Roman" w:hAnsi="Times New Roman"/>
                  <w:sz w:val="18"/>
                  <w:szCs w:val="18"/>
                  <w:color w:val="0E32E1"/>
                  <w:w w:val="98"/>
                </w:rPr>
                <w:t>PROPOSAL 2: RATIFICATION OF INDEPENDENT AUDITOR APPOINTMENT</w:t>
              </w:r>
            </w:hyperlink>
          </w:p>
        </w:tc>
        <w:tc>
          <w:tcPr>
            <w:tcW w:w="4820" w:type="dxa"/>
            <w:vAlign w:val="bottom"/>
            <w:gridSpan w:val="2"/>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7">
              <w:r>
                <w:rPr>
                  <w:rFonts w:ascii="Times New Roman" w:cs="Times New Roman" w:eastAsia="Times New Roman" w:hAnsi="Times New Roman"/>
                  <w:sz w:val="18"/>
                  <w:szCs w:val="18"/>
                  <w:color w:val="0E32E1"/>
                  <w:w w:val="88"/>
                </w:rPr>
                <w:t>44</w:t>
              </w:r>
            </w:hyperlink>
          </w:p>
        </w:tc>
      </w:tr>
      <w:tr>
        <w:trPr>
          <w:trHeight w:val="209"/>
        </w:trPr>
        <w:tc>
          <w:tcPr>
            <w:tcW w:w="2400" w:type="dxa"/>
            <w:vAlign w:val="bottom"/>
            <w:tcBorders>
              <w:bottom w:val="single" w:sz="8" w:color="0E32E1"/>
            </w:tcBorders>
            <w:gridSpan w:val="4"/>
          </w:tcPr>
          <w:p>
            <w:pPr>
              <w:spacing w:after="0"/>
              <w:rPr>
                <w:rFonts w:ascii="Times New Roman" w:cs="Times New Roman" w:eastAsia="Times New Roman" w:hAnsi="Times New Roman"/>
                <w:sz w:val="18"/>
                <w:szCs w:val="18"/>
                <w:color w:val="0E32E1"/>
                <w:w w:val="98"/>
              </w:rPr>
            </w:pPr>
            <w:hyperlink w:anchor="page48">
              <w:r>
                <w:rPr>
                  <w:rFonts w:ascii="Times New Roman" w:cs="Times New Roman" w:eastAsia="Times New Roman" w:hAnsi="Times New Roman"/>
                  <w:sz w:val="18"/>
                  <w:szCs w:val="18"/>
                  <w:color w:val="0E32E1"/>
                  <w:w w:val="98"/>
                </w:rPr>
                <w:t>AUDIT COMMITTEE REPORT</w:t>
              </w:r>
            </w:hyperlink>
          </w:p>
        </w:tc>
        <w:tc>
          <w:tcPr>
            <w:tcW w:w="8520" w:type="dxa"/>
            <w:vAlign w:val="bottom"/>
            <w:gridSpan w:val="7"/>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8">
              <w:r>
                <w:rPr>
                  <w:rFonts w:ascii="Times New Roman" w:cs="Times New Roman" w:eastAsia="Times New Roman" w:hAnsi="Times New Roman"/>
                  <w:sz w:val="18"/>
                  <w:szCs w:val="18"/>
                  <w:color w:val="0E32E1"/>
                  <w:w w:val="88"/>
                </w:rPr>
                <w:t>45</w:t>
              </w:r>
            </w:hyperlink>
          </w:p>
        </w:tc>
      </w:tr>
      <w:tr>
        <w:trPr>
          <w:trHeight w:val="209"/>
        </w:trPr>
        <w:tc>
          <w:tcPr>
            <w:tcW w:w="2400" w:type="dxa"/>
            <w:vAlign w:val="bottom"/>
            <w:tcBorders>
              <w:bottom w:val="single" w:sz="8" w:color="0E32E1"/>
            </w:tcBorders>
            <w:gridSpan w:val="4"/>
          </w:tcPr>
          <w:p>
            <w:pPr>
              <w:spacing w:after="0"/>
              <w:rPr>
                <w:rFonts w:ascii="Times New Roman" w:cs="Times New Roman" w:eastAsia="Times New Roman" w:hAnsi="Times New Roman"/>
                <w:sz w:val="18"/>
                <w:szCs w:val="18"/>
                <w:color w:val="0E32E1"/>
                <w:w w:val="98"/>
              </w:rPr>
            </w:pPr>
            <w:hyperlink w:anchor="page49">
              <w:r>
                <w:rPr>
                  <w:rFonts w:ascii="Times New Roman" w:cs="Times New Roman" w:eastAsia="Times New Roman" w:hAnsi="Times New Roman"/>
                  <w:sz w:val="18"/>
                  <w:szCs w:val="18"/>
                  <w:color w:val="0E32E1"/>
                  <w:w w:val="98"/>
                </w:rPr>
                <w:t>ADDITIONAL INFORMATION</w:t>
              </w:r>
            </w:hyperlink>
          </w:p>
        </w:tc>
        <w:tc>
          <w:tcPr>
            <w:tcW w:w="8520" w:type="dxa"/>
            <w:vAlign w:val="bottom"/>
            <w:gridSpan w:val="7"/>
          </w:tcPr>
          <w:p>
            <w:pPr>
              <w:spacing w:after="0"/>
              <w:rPr>
                <w:sz w:val="18"/>
                <w:szCs w:val="18"/>
                <w:color w:val="auto"/>
              </w:rPr>
            </w:pPr>
          </w:p>
        </w:tc>
        <w:tc>
          <w:tcPr>
            <w:tcW w:w="180" w:type="dxa"/>
            <w:vAlign w:val="bottom"/>
            <w:tcBorders>
              <w:bottom w:val="single" w:sz="8" w:color="0E32E1"/>
            </w:tcBorders>
            <w:gridSpan w:val="2"/>
          </w:tcPr>
          <w:p>
            <w:pPr>
              <w:jc w:val="right"/>
              <w:spacing w:after="0"/>
              <w:rPr>
                <w:rFonts w:ascii="Times New Roman" w:cs="Times New Roman" w:eastAsia="Times New Roman" w:hAnsi="Times New Roman"/>
                <w:sz w:val="18"/>
                <w:szCs w:val="18"/>
                <w:color w:val="0E32E1"/>
                <w:w w:val="88"/>
              </w:rPr>
            </w:pPr>
            <w:hyperlink w:anchor="page49">
              <w:r>
                <w:rPr>
                  <w:rFonts w:ascii="Times New Roman" w:cs="Times New Roman" w:eastAsia="Times New Roman" w:hAnsi="Times New Roman"/>
                  <w:sz w:val="18"/>
                  <w:szCs w:val="18"/>
                  <w:color w:val="0E32E1"/>
                  <w:w w:val="88"/>
                </w:rPr>
                <w:t>46</w:t>
              </w:r>
            </w:hyperlink>
          </w:p>
        </w:tc>
      </w:tr>
    </w:tbl>
    <w:p>
      <w:pPr>
        <w:spacing w:after="0" w:line="3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1023620</wp:posOffset>
            </wp:positionV>
            <wp:extent cx="171450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24, 2022</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Perella Weinberg Partners is providing this proxy statement to you in connection with the solicitation of proxies by the board of directors for our 2022 Annual Meeting of Stockholders to be held on Tuesday, May 24, 2022, at 10:00 a.m. (Eastern Time) at http://www.virtualshareholdermeeting.com/PWP2022, and any adjournment or postponement of that meeting (the “Annual Meeting”). As a stockholder, you are invited to attend the Annual Meeting and are entitled and encouraged to vote on the proposals described in this proxy statement. On or about April 12, 2022, we mailed our stockholders a Notice of Internet Availability of Proxy Materials containing instructions on how to access our proxy statement and our 2021 Annual Report on Form 10-K.</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PWP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this proxy statement, unless the context requires otherwise, any of the “Company,” “PWP,” “we,” “us” and “our” refers to Perella Weinberg Partners and its subsidiaries, and for periods prior to the reorganization in connection with our business combination (the “Business Combination”) refers to the advisory business of our predecessor company, PWP OpCo. In connection with the closing of our Business Combination, we acquired interests in PWP OpCo, which is jointly-owned by PWP, PWP Professional Partners LP (“Professional Partners”) and certain existing partners of PWP OpCo. PWP OpCo serves as the Company’s operating partnership.</w:t>
      </w:r>
    </w:p>
    <w:p>
      <w:pPr>
        <w:spacing w:after="0" w:line="1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Perella Weinberg Partners was formed in June 2006 and completed our Business Combination in June 2021. Our Class A common stock trades on the Nasdaq Global Select Market (“Nasdaq”) under the symbol “PWP.”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answers to common questions stockholders may have about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Notice of Internet Availability of Proxy Materials instead of a full set of proxy materials?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 printed copies of the proxy materials unless you request them. Instead, the notice will contain instructions on how to access and review the proxy materials online, including this proxy statement and our annual report on Form 10-K for the fiscal year ended December 31, 2021, as well as the proxy card to vote online. If you would like printed copies of the proxy materials, please follow the instructions on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Annual Meeting?</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Only stockholders of record of PWP Class A common stock and Class B common stock as of the close of business on March 30, 2022 (the “Record Date”) are entitled to receive notice and to vote their shares at the Annual Meeting. As of the close of business on the Record Date, there were 47,037,195 shares of Class A common stock, 44,354,908.737 shares of Class B-1 common stock and 1,964,044.000 shares of Class B-2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spacing w:after="0" w:line="1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beneficial owner?</w:t>
      </w:r>
    </w:p>
    <w:p>
      <w:pPr>
        <w:spacing w:after="0" w:line="187"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 American Stock Transfer &amp; Trust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a stockholder of record.</w:t>
      </w:r>
    </w:p>
    <w:p>
      <w:pPr>
        <w:spacing w:after="0" w:line="15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If your shares are held in a stock brokerage account or by a bank or other nominee, then you are a beneficial owner of shares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items will be voted on at the Annual Meeting?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two proposals to be voted on at the Annual Meeting: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to our board of directors; and</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 ending December 31, 2022.</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you vote “FOR” each of the nominees in Proposal 1;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you vote “FOR” the ratification of the appointment of Ernst &amp; Young LLP as our independent registered public accounting firm for 2022 in Proposal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 I need to do if I want to attend the meeting?</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may attend the Annual Meeting, as well as vote during the Annual Meeting, by visiting http://www.virtualshareholdermeeting.com/PWP2022. You will need your 16-digit control number, which appears in the notice, the proxy card or voting instructions that accompanied the proxy materials. In the event that you do not have a control number, please contact your broker, bank or other nominee as soon as possible so that you can be provided with a control number and gain access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40" w:right="39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 at the Annual Meeting?</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presence, in person or represented by proxy, of holders of a majority in voting power of the Company’s capital stock entitled to vote constitutes a quorum. A quorum is required in order to hold and conduct business at the Annual Meeting.</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brokerage firm, bank, broker-dealer or other similar organization, please follow their instructions. If you are a stockholder of record, you can vote through the following methods:</w:t>
      </w:r>
    </w:p>
    <w:p>
      <w:pPr>
        <w:spacing w:after="0" w:line="160" w:lineRule="exact"/>
        <w:rPr>
          <w:sz w:val="20"/>
          <w:szCs w:val="20"/>
          <w:color w:val="auto"/>
        </w:rPr>
      </w:pPr>
    </w:p>
    <w:p>
      <w:pPr>
        <w:ind w:left="660" w:right="3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vote via the Internet by visiting http://www.proxyvote.com and entering the 16-digit control number for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on the Notice of Internet Availability of Proxy Materials or proxy card.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vote by telephone by calling the telephone number and following the instructions provided on your proxy card.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If you requested that proxy materials be mailed to you, you will receive a proxy card with your proxy materials. You may vote by filling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and signing the proxy card and returning it in the envelope provided. The proxy card must be received by the close of business on the day before the Annual Meeting.</w:t>
      </w:r>
    </w:p>
    <w:p>
      <w:pPr>
        <w:spacing w:after="0" w:line="173"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meeting. </w:t>
      </w:r>
      <w:r>
        <w:rPr>
          <w:rFonts w:ascii="Times New Roman" w:cs="Times New Roman" w:eastAsia="Times New Roman" w:hAnsi="Times New Roman"/>
          <w:sz w:val="18"/>
          <w:szCs w:val="18"/>
          <w:color w:val="auto"/>
        </w:rPr>
        <w:t>You can vote at the Annual Meeting online at http://www.virtualshareholdermeeting.com/PWP2022 by using the 16-digit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included on your notice, on your proxy card, or in the voting instructions that accompanied your proxy materials.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for each proposal?</w:t>
      </w:r>
    </w:p>
    <w:p>
      <w:pPr>
        <w:spacing w:after="0" w:line="18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election of directors, each director must be elected by a plurality of the votes cast. This means that the five nominees receiving the largest number of “for” votes will be elected as directors. We do not have cumulative voting.</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spacing w:after="0" w:line="13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the Record Date, Professional Partners owned all of our outstanding Class B-1 common stock. Professional Partners is controlled by Professionals GP. As the result of our stockholders agreement (the “Stockholders Agreement”) with Professional Partners, Professional Partners or its limited partners as of the date of the closing of our Business Combination or its or their respective successors or assigns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After the Class B Condition ceases to be satisfied, for so long as Professional Partners or its limited partners as of the date of closing or its or their respective successors or assigns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certain approval rights (including, among others, certain amendments to our second amended and restated certificate of incorporation (“certificate of incorporation”) and the Amended and Restated Agreement of Limited Partnership of PWP OpCo, as amended, restated, modified or supplemented from time to time (the “LP Agreement”)) and our board of directors will nominate individuals designated by Professional Partners equal to one third of the board of directors. See “Certain Relationships and Related Person Transactions—PWP Related Party Transactions—Right of Professional Partners and Stockholders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abstentions and broker non-votes counted?</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Abstentions and broker non-votes are counted for the purpose of establishing the presence of a quorum, but are not counted as votes cast. If you hold your shares in street name and you do not vote, the broker or other organization holding your shares can vote on certain “routine” proposals but cannot vote on other proposals. Proposal 1 is not considered a “routine” proposal. If you hold shares in street name and do not vote on Proposal 1, your uninstructed shares will be counted as “broker non-votes.” Proposal 2 is a “routine” proposal, and therefore brokers have discretion to vote uninstructed shares on Proposal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do not specify how I want my shares voted?</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and submit your proxy without specifying how your shares are to be voted, your shares will be voted as follows:</w:t>
      </w:r>
    </w:p>
    <w:p>
      <w:pPr>
        <w:spacing w:after="0" w:line="1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five nominees for directors; and</w:t>
      </w:r>
    </w:p>
    <w:p>
      <w:pPr>
        <w:spacing w:after="0" w:line="19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submitting a proxy?</w:t>
      </w:r>
    </w:p>
    <w:p>
      <w:pPr>
        <w:spacing w:after="0" w:line="20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Street name stockholders who wish to change their votes should contact the organization that holds their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solicitation?</w:t>
      </w:r>
    </w:p>
    <w:p>
      <w:pPr>
        <w:spacing w:after="0" w:line="18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will file a Current Report on Form 8-K with the SEC announcing the final voting results from the Annual Meeting within four business days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 an address with another stockholder. Why did we receive only one set of proxy materials?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spacing w:after="0" w:line="13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you would like to receive separate copies of our proxy materials in the future, or if you are receiving multiple copies and would like to receive only one copy per household, you should contact your bank, broker or other holder of record, or you may contact the Investor Relations at investors@pwpartners.com or 767 Fifth Avenue, New York, NY 10153.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a list of stockholders available?</w:t>
      </w:r>
    </w:p>
    <w:p>
      <w:pPr>
        <w:spacing w:after="0" w:line="18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www.virtualshareholdermeeting.com/PWP2022 during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should I contact if I have additional questions?</w:t>
      </w:r>
    </w:p>
    <w:p>
      <w:pPr>
        <w:spacing w:after="0" w:line="20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currently composed of nine directors, and are divided into three classes, designated Class I, Class II and Class III. At the Annual Meeting, stockholders will vote to elect as directors of the Company the three Class I directors and two new director nominees as Class II and III directors. Each of the Class I directors and the Class II and III nominees elected at the Annual Meeting will hold office until the 2025, 2023 and 2024 Annual Meeting of Stockholders, respectively, and until his or her respective successor has been duly elected and qualified.</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nominated Joseph R. Perella, Daniel G. Cohen and Ivan G. Seidenberg for re-election as Class I directors and Kristin W. Mugford and Elizabeth (Beth) Cogan Fascitelli for election as first-time Class II and III directors, respectively at the Annual Meeting. Each of Kristin W. Mugford and Elizabeth (Beth) Cogan Fascitelli was recommended to the board of directors for consideration as a nominee by our Chairman and Chief Executive Officer. The persons named as proxy holders will vote to elect each of these nominees unless a stockholder indicates that his or her shares should be withheld with respect to one or more of such nominees.</w:t>
      </w:r>
    </w:p>
    <w:p>
      <w:pPr>
        <w:spacing w:after="0" w:line="14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 we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3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After the Class B Condition ceases to be satisfied, for so long as the Secondary Class B Condition is satisfied, Professional Partners will have certain approval rights (including, among others, certain amendments to our certificate of incorporation and the PWP OpCo LP Agreement) and our board of directors will nominate individuals designated by Professional Partners equal to one third of the board of directors.</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See “Certain Relationships and Transactions—PWP Related Party Transactions—Right of Professional Partners and Stockholders Agreement” for additional information regarding the Stockholders Agreement.</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each of the director nominees in this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Director Nominees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list of our directors and director nominees and their respective ages and a brief account of the business experience of each of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23"/>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R. Perella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K. Steel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Dietrich Becker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30"/>
        </w:trPr>
        <w:tc>
          <w:tcPr>
            <w:tcW w:w="58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Andrew Bednar</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CFF"/>
          </w:tcPr>
          <w:p>
            <w:pPr>
              <w:spacing w:after="0"/>
              <w:rPr>
                <w:sz w:val="19"/>
                <w:szCs w:val="19"/>
                <w:color w:val="auto"/>
              </w:rPr>
            </w:pPr>
          </w:p>
        </w:tc>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Jorma Ollila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Ivan G. Seidenberg</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3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Jane C. Sherburne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G. Cohen</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r>
      <w:tr>
        <w:trPr>
          <w:trHeight w:val="25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(Beth) Cogan Fascitelli</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w:t>
            </w:r>
          </w:p>
        </w:tc>
      </w:tr>
      <w:tr>
        <w:trPr>
          <w:trHeight w:val="25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Kristin W. Mugford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21"/>
                <w:szCs w:val="21"/>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Nominees for Election – Term Expiring 2025</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current term of the Class I directors will expire at the Annual Meeting. Our board of directors nominated each of Joseph R. Perella, Daniel G. Cohen and Ivan G. Seidenberg for re-election at the Annual Meeting as a Class I director to hold office until the annual meeting of stockholders to be held in 2025 and until his successor is duly elected and qualified, or his earlier death, resignation, or removal.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biography of each of the Class I directors standing for re-election at the Annual Meeting:</w:t>
      </w:r>
    </w:p>
    <w:p>
      <w:pPr>
        <w:spacing w:after="0" w:line="1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Perella </w:t>
      </w:r>
      <w:r>
        <w:rPr>
          <w:rFonts w:ascii="Times New Roman" w:cs="Times New Roman" w:eastAsia="Times New Roman" w:hAnsi="Times New Roman"/>
          <w:sz w:val="18"/>
          <w:szCs w:val="18"/>
          <w:color w:val="auto"/>
        </w:rPr>
        <w:t>has served as our Chairman Emeritus since the closing of the Business Combination in June 2021. Mr. Perella is a Founding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PWP and 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Daniel G. Cohen </w:t>
      </w:r>
      <w:r>
        <w:rPr>
          <w:rFonts w:ascii="Times New Roman" w:cs="Times New Roman" w:eastAsia="Times New Roman" w:hAnsi="Times New Roman"/>
          <w:sz w:val="18"/>
          <w:szCs w:val="18"/>
          <w:color w:val="auto"/>
        </w:rPr>
        <w:t>has served as a member of our board of directors since the closing of the Business Combination in June 2021. Mr. Cohen served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FTIV’s Chief Executive Officer from May 2019 until the closing of the Business Combination, Chief Executive Officer of FinTech III since March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 of FTIV from December 2018 until the closing of the Business Combination and as 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FTIV II since January 2019. Mr. Cohen served as a director and Chief Executive Officer of FinTech II from May 2015 until July 2018. He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as a director of FinTech I from November 2013 until July 2016, as FinTech I’s President and Chief Executive Officer from August 2014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2016, and as FinTech I’s Executive Vice President from July 2014 through August 2014. Mr. Cohen has been the Chairman of Bancorp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Executive Committee of Bancorp’s Board of Directors since its inception in 1999. Mr. Cohen is Vice-Chairman of Bancorp Bank’s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Chairman of its Executive Committee. Mr. Cohen had previously been Chairman of Bancorp Bank’s Board of Directors from</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 We believe that Mr. Cohen is qualified to serve on our board of directors due to his knowledge of and extensive experience with finance, banking and investments, in addition to his years of experience and expertise as a senior corporate executive.</w:t>
      </w:r>
    </w:p>
    <w:p>
      <w:pPr>
        <w:spacing w:after="0" w:line="163" w:lineRule="exact"/>
        <w:rPr>
          <w:sz w:val="20"/>
          <w:szCs w:val="20"/>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Ivan G. Seidenberg </w:t>
      </w:r>
      <w:r>
        <w:rPr>
          <w:rFonts w:ascii="Times New Roman" w:cs="Times New Roman" w:eastAsia="Times New Roman" w:hAnsi="Times New Roman"/>
          <w:sz w:val="18"/>
          <w:szCs w:val="18"/>
          <w:color w:val="auto"/>
        </w:rPr>
        <w:t>has served as a member of our board of directors since the closing of the Business Combination in June 2021. Mr. Seidenberg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on the board of 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Mr. Seidenberg earned a Bachelor of Arts from Lehman College and a Master’s in Business Administration from Pace University. Through his extensive experience on the boards of public companies, Mr. Seidenberg has developed an in-depth understanding of business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New Director Nominees for Election – Terms Expiring 2023 and 2024</w:t>
      </w:r>
    </w:p>
    <w:p>
      <w:pPr>
        <w:spacing w:after="0" w:line="229"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Our board of directors nominated each of Kristin W. Mugford and Elizabeth (Beth) Cogan Fascitelli for election at the Annual Meeting as a Class II and III director to hold office until the annual meeting of stockholders to be held in 2023 and 2024, respectively, and until her successor is duly elected and qualified, or her earlier death, resignation, or removal.</w:t>
      </w:r>
    </w:p>
    <w:p>
      <w:pPr>
        <w:spacing w:after="0" w:line="195" w:lineRule="exact"/>
        <w:rPr>
          <w:sz w:val="20"/>
          <w:szCs w:val="20"/>
          <w:color w:val="auto"/>
        </w:rPr>
      </w:pPr>
    </w:p>
    <w:p>
      <w:pPr>
        <w:ind w:firstLine="324"/>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 W. Mugford </w:t>
      </w:r>
      <w:r>
        <w:rPr>
          <w:rFonts w:ascii="Times New Roman" w:cs="Times New Roman" w:eastAsia="Times New Roman" w:hAnsi="Times New Roman"/>
          <w:sz w:val="18"/>
          <w:szCs w:val="18"/>
          <w:color w:val="auto"/>
        </w:rPr>
        <w:t>currently serves as the Melvin Tukman Senior Lecturer of Business Administration in the Finance Unit at the Harvard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spacing w:after="0" w:line="209"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(Beth) Cogan Fascitelli </w:t>
      </w:r>
      <w:r>
        <w:rPr>
          <w:rFonts w:ascii="Times New Roman" w:cs="Times New Roman" w:eastAsia="Times New Roman" w:hAnsi="Times New Roman"/>
          <w:sz w:val="18"/>
          <w:szCs w:val="18"/>
          <w:color w:val="auto"/>
        </w:rPr>
        <w:t>worked for Goldman Sachs Group, Inc. from 1984 to 2020, most recently serving as a Partner and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Chief Operating Officer of the Merchant Banking Division. Ms. Fascitelli is a former director of Carmike Cinemas, Cosmetics Plus Group, Globe Manufacturing, Neuromedical Systems and Whole Foods Market. Ms. Fascitelli is a trustee of the nonprofit Partnership for Inner-City Education and Child Mind Institute and serves as a member of the Board of Trustees for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and Class III Directors Continuing in Office</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A. Weinberg </w:t>
      </w:r>
      <w:r>
        <w:rPr>
          <w:rFonts w:ascii="Times New Roman" w:cs="Times New Roman" w:eastAsia="Times New Roman" w:hAnsi="Times New Roman"/>
          <w:sz w:val="18"/>
          <w:szCs w:val="18"/>
          <w:color w:val="auto"/>
        </w:rPr>
        <w:t>has served as our Chairman and Chief Executive Officer since the closing of the Business Combination in June 2021. Mr. Weinberg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Founding 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p>
    <w:p>
      <w:pPr>
        <w:spacing w:after="0" w:line="14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K. Steel </w:t>
      </w:r>
      <w:r>
        <w:rPr>
          <w:rFonts w:ascii="Times New Roman" w:cs="Times New Roman" w:eastAsia="Times New Roman" w:hAnsi="Times New Roman"/>
          <w:sz w:val="18"/>
          <w:szCs w:val="18"/>
          <w:color w:val="auto"/>
        </w:rPr>
        <w:t>has served as our Vice Chairman since the closing of the Business Combination in June 2021. Mr. Steel is a Partner of PWP and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PWP’s Chief 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 We believe that Mr. Steel is qualified to serve on our board of directors due to his extensive finance industry and financial regulatory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0" w:right="339" w:bottom="1440" w:gutter="0" w:footer="0" w:header="0"/>
        </w:sectPr>
      </w:pPr>
    </w:p>
    <w:bookmarkStart w:id="13" w:name="page14"/>
    <w:bookmarkEnd w:id="13"/>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Dietrich Becker </w:t>
      </w:r>
      <w:r>
        <w:rPr>
          <w:rFonts w:ascii="Times New Roman" w:cs="Times New Roman" w:eastAsia="Times New Roman" w:hAnsi="Times New Roman"/>
          <w:sz w:val="18"/>
          <w:szCs w:val="18"/>
          <w:color w:val="auto"/>
        </w:rPr>
        <w:t>has served as our Co-President and a member of our board of directors since the closing of the Business Combination in June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Becker is a 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investment banking and investment advisory experience.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Bednar </w:t>
      </w:r>
      <w:r>
        <w:rPr>
          <w:rFonts w:ascii="Times New Roman" w:cs="Times New Roman" w:eastAsia="Times New Roman" w:hAnsi="Times New Roman"/>
          <w:sz w:val="18"/>
          <w:szCs w:val="18"/>
          <w:color w:val="auto"/>
        </w:rPr>
        <w:t>has served as our Co-President and a member of our board of directors since the closing of the Business Combination in June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Bednar is a 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We believe that Mr. Bednar is qualified to serve on our board of directors due to his extensive investment banking and investment advisory experience.</w:t>
      </w:r>
    </w:p>
    <w:p>
      <w:pPr>
        <w:spacing w:after="0" w:line="14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Jorma Ollila </w:t>
      </w:r>
      <w:r>
        <w:rPr>
          <w:rFonts w:ascii="Times New Roman" w:cs="Times New Roman" w:eastAsia="Times New Roman" w:hAnsi="Times New Roman"/>
          <w:sz w:val="18"/>
          <w:szCs w:val="18"/>
          <w:color w:val="auto"/>
        </w:rPr>
        <w:t>has served as a member of our board of directors since the closing of the Business Combination in June 2021. Mr. Ollila is the 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 We believe that Mr. Ollila is qualified to serve on our board of directors due to his extensive business management and financial industry experience.</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 C. Sherburne </w:t>
      </w:r>
      <w:r>
        <w:rPr>
          <w:rFonts w:ascii="Times New Roman" w:cs="Times New Roman" w:eastAsia="Times New Roman" w:hAnsi="Times New Roman"/>
          <w:sz w:val="18"/>
          <w:szCs w:val="18"/>
          <w:color w:val="auto"/>
        </w:rPr>
        <w:t>has served as a member of our board of directors since the closing of the Business Combination in June 2021. Ms. Sherburne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until his or her successor has been duly elected and qualified or until his or her earlier death, resignation or removal.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 There are no family relationships among any of our directors or executive officers.</w:t>
      </w:r>
    </w:p>
    <w:p>
      <w:pPr>
        <w:spacing w:after="0" w:line="14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“Certain Relationships and Related Person Transactions—PWP Related Party Transactions—Right of Professional Partners and Stockholders Agreement.”</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“controlled” by the Limited Partners who manage Professional Partners,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4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currently utilize some of these exemptions. As a result, we do 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In addition, Nasdaq rules require that, subject to specified exceptions, each member of a listed company’s audit, compensation and nominations committees must be independent. As discussed above, we have availed ourselves of the “controlled company” exemption and, as a result, although we have an independent audit committee, we do not have a majority of independent directors on our board. Under Nasdaq rules, a director is 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Mr. Seidenberg, Ms. Sherburne and Mr. Cohen are “independent directors” as that term is defined under Nasdaq rules and that Ms. Fascitelli and Ms. Mugford would be independent directors if elected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 best for the Company at any given point in time. Our Chief Executive Officer, Peter A. Weinberg, currently serves as the Chairman of our board of directors. The board of directors believes that this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and may make changes in the future. The Company does not have a lead independent director; however, an independent director presides over the executive sessions.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http://www.pwpartners.com.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1440" w:right="39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62" w:lineRule="exact"/>
        <w:rPr>
          <w:sz w:val="20"/>
          <w:szCs w:val="20"/>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engagements of the independent registered public accounting firm to render any audit or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and independence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related disclosures and reviewing our critical accounting policies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 and auditing related complaints and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 advance any proposed related person transactions.</w:t>
      </w:r>
    </w:p>
    <w:p>
      <w:pPr>
        <w:spacing w:after="0" w:line="19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Ivan G. Seidenberg, Jorma Ollila and Jane C. Sherburne. Jorma Ollila is the chairman of the audit committee. Our board of directors has determined that Jane C. Sherburne is an audit committee financial expert. The board of directors has determined that Ivan G. Seidenberg, Jorma Ollila and Jane C. Sherburne qualify as independent directors pursuant to Nasdaq rules and additional independence criteria set forth in Rule 10A-3. The audit committee held three meetings between the closing of the Business Combination and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oversees our compensation policies, plans and programs. The compensation committee is responsible for, among other things: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plans and programs relating to compensation and benefits of our directors, officers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the corporate goals and objectives relevant to compensation of our Chief Executive Officer;</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corporate goals and objectives relevant to compensation for executive officers other than our Chief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other executive officers in light of established goals and objectives;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our employees and directors.</w:t>
      </w:r>
    </w:p>
    <w:p>
      <w:pPr>
        <w:spacing w:after="0" w:line="18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Ivan G. Seidenberg, Jorma Ollila, Jane C. Sherburne and Daniel G. Cohen. Jane C. Sherburne is the chairman of the compensation committee. The compensation committee held four meetings between the closing of the Business Combination and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0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Annual Meeting Attendance</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Since the closing of the Business Combination through December 31, 2021, our board of directors held two meetings, our audit committee held three meetings and our compensation committee held four meetings. During 2021,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our corporate governance guidelines, directors are expected to attend the Company’s annual meetings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0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have a nominations committee. Our full board of directors participates in the consideration of nominees to our board of directors other than as set forth below. The board of directors believes that input from all directors in the nominating process enhances the Company’s ability to identify, evaluate and select director nominees. In addition, our Stockholders Agreement provides that our board of directors will nominate individuals designated by Professional Partners equal to a majority of the board of directors, for so long as the Class B Condition is satisfied and, thereafter, one quarter of the candidates for so long as the Secondary Class B condition is satisfied. See “Certain Relationships and Related Person Transactions—PWP Related Party Transactions—Right of Professional Partners and Stockholders Agreement” below.</w:t>
      </w:r>
    </w:p>
    <w:p>
      <w:pPr>
        <w:spacing w:after="0" w:line="14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spacing w:after="0" w:line="14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will consider a candidate nominated by a stockholder in a manner consistent with its evaluation of potential nominees, so long as the nomination meets the requirements of our bylaws,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of nomination should include the information required by PWP’s bylaws,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record address, and name and principal place of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residence address, and principal occupation or employment of the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all shares of the Company’s stock owned beneficially or of record by the stockholder or the nominee,</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derivative or other instrument, transaction, agreement, or arrangement has been entered into by the stockholder or the nominee with respect to the Company’s stock,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or arrangements to which the stockholder or the nominee is a party with respect to the nomination, the Company or the Company’s stock,</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agreements or arrangements entered into by the stockholder or the nominee with the intent to mitigate loss, manage risk or benefit from changes in the stock price or increase or decrease the stockholder’s voting power,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will attend the meeting in person or by proxy to nominate the persons named in its notice,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related to the stockholder or the nominee required to be disclosed in the solicitation of proxies for election of directors under federal securities laws.</w:t>
      </w:r>
    </w:p>
    <w:p>
      <w:pPr>
        <w:spacing w:after="0" w:line="1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notice must be accompanied by the nominee’s consent to be elected and to serve as a director and include certain representations and agreements by the nominee set forth in our bylaws.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notice must be updated, if necessary, so that the information is true and correct as of the record date for the meeting.</w:t>
      </w:r>
    </w:p>
    <w:p>
      <w:pPr>
        <w:spacing w:after="0" w:line="18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under “Additional Information—Procedures for Submitting Stockholder Proposals.”</w:t>
      </w:r>
    </w:p>
    <w:p>
      <w:pPr>
        <w:spacing w:after="0" w:line="1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1440" w:right="439" w:bottom="1440" w:gutter="0" w:footer="0" w:header="0"/>
        </w:sectPr>
      </w:pPr>
    </w:p>
    <w:bookmarkStart w:id="20" w:name="page21"/>
    <w:bookmarkEnd w:id="2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2021, our non-employee directors were entitled to the following compensation for their service on our board of directors: (i) an annual base retainer in the amount of $180,000, 50% of which is paid in the form of restricted stock units (“RSUs”) and 50% of which is paid in cash; (ii) a one-time grant of RSUs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will be granted on or about the date of our general annual stockholder meeting and will vest on the date of the next general annual stockholder meeting; provided that the first annual grant of RSUs was pro-rated for the period between the closing of the Business Combination and the date of our 2022 Annual Meeting of Stockholders and will vest on the date of our 2022 Annual Meeting of Stockholders.</w:t>
      </w:r>
    </w:p>
    <w:p>
      <w:pPr>
        <w:spacing w:after="0" w:line="16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addition, each of Ivan G. Seidenberg, Jorma Ollila and Jane C. Sherburne, received payments in the amount of $75,000 in connection with their consultant services in 2021 provided prior to the closing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2021</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total 2021 compensation of our non-employee directors is shown in the following table. We do not separately compensate our affiliated directors for their service on our board of directors.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260" w:type="dxa"/>
            <w:vAlign w:val="bottom"/>
          </w:tcPr>
          <w:p>
            <w:pPr>
              <w:spacing w:after="0"/>
              <w:rPr>
                <w:sz w:val="16"/>
                <w:szCs w:val="16"/>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6"/>
                <w:szCs w:val="16"/>
                <w:color w:val="auto"/>
              </w:rPr>
            </w:pPr>
          </w:p>
        </w:tc>
        <w:tc>
          <w:tcPr>
            <w:tcW w:w="1960" w:type="dxa"/>
            <w:vAlign w:val="bottom"/>
            <w:gridSpan w:val="3"/>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30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539"/>
              <w:spacing w:after="0" w:line="216"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center"/>
              <w:ind w:right="559"/>
              <w:spacing w:after="0" w:line="216" w:lineRule="exact"/>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color w:val="auto"/>
                <w:w w:val="97"/>
                <w:vertAlign w:val="superscript"/>
              </w:rPr>
              <w:t>(3)</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G. Cohen</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45,000</w:t>
            </w:r>
          </w:p>
        </w:tc>
        <w:tc>
          <w:tcPr>
            <w:tcW w:w="2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171,708</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Ivan G. Seidenberg</w:t>
            </w:r>
          </w:p>
        </w:tc>
        <w:tc>
          <w:tcPr>
            <w:tcW w:w="36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43,833</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245,541</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Jane C. Sherburne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r>
        <w:trPr>
          <w:trHeight w:val="21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Jorma Ollila</w:t>
            </w:r>
          </w:p>
        </w:tc>
        <w:tc>
          <w:tcPr>
            <w:tcW w:w="36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cash annual base retainer fees and committee fees earned for 2021.</w:t>
      </w:r>
    </w:p>
    <w:p>
      <w:pPr>
        <w:spacing w:after="0" w:line="95" w:lineRule="exact"/>
        <w:rPr>
          <w:rFonts w:ascii="Times New Roman" w:cs="Times New Roman" w:eastAsia="Times New Roman" w:hAnsi="Times New Roman"/>
          <w:sz w:val="14"/>
          <w:szCs w:val="14"/>
          <w:color w:val="auto"/>
        </w:rPr>
      </w:pPr>
    </w:p>
    <w:p>
      <w:pPr>
        <w:jc w:val="both"/>
        <w:ind w:left="340" w:right="10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grant date fair value, calculated in accordance with FASB ASC Topic 718, of the time-based RSUs granted to our non-employee directors. For a summary of the assumptions used in the valuation of these awards, please see Note 13 “Equity-Based Compensation” to the consolidated financial statements in our 2021 Form 10-K. As of December 31, 2021, each of our non-employee directors held 9,070 outstanding RSUs.</w:t>
      </w:r>
    </w:p>
    <w:p>
      <w:pPr>
        <w:spacing w:after="0" w:line="41"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compensation of our named executive officers (“NEOs”) for the periods presented below based on the reduced executive compensation disclosure requirements applicable to emerging growth companies.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NEOs for the fiscal year ended December 31, 2021 are: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A. Weinberg,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Dietrich Becker, Co-President;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Bednar, Co-President.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compensation paid to or earned by each of our NEOs in the applicable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Stock</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9"/>
                <w:szCs w:val="9"/>
                <w:color w:val="auto"/>
              </w:rPr>
              <w:t>(1)</w:t>
            </w:r>
          </w:p>
        </w:tc>
        <w:tc>
          <w:tcPr>
            <w:tcW w:w="20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9"/>
                <w:szCs w:val="9"/>
                <w:color w:val="auto"/>
              </w:rPr>
              <w:t>(2)</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Partners Equity</w:t>
            </w:r>
            <w:r>
              <w:rPr>
                <w:rFonts w:ascii="Times New Roman" w:cs="Times New Roman" w:eastAsia="Times New Roman" w:hAnsi="Times New Roman"/>
                <w:sz w:val="9"/>
                <w:szCs w:val="9"/>
                <w:color w:val="auto"/>
              </w:rPr>
              <w:t>(3)</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color w:val="auto"/>
              </w:rPr>
              <w:t>(4)</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color w:val="auto"/>
              </w:rPr>
              <w:t>(5)</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9"/>
                <w:szCs w:val="9"/>
                <w:color w:val="auto"/>
              </w:rPr>
              <w:t>(6)</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Peter A. Weinberg,</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15,698,000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26,298,703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29,252,272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55,550,975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71,759,475</w:t>
            </w:r>
          </w:p>
        </w:tc>
        <w:tc>
          <w:tcPr>
            <w:tcW w:w="0" w:type="dxa"/>
            <w:vAlign w:val="bottom"/>
          </w:tcPr>
          <w:p>
            <w:pPr>
              <w:spacing w:after="0"/>
              <w:rPr>
                <w:sz w:val="1"/>
                <w:szCs w:val="1"/>
                <w:color w:val="auto"/>
              </w:rPr>
            </w:pPr>
          </w:p>
        </w:tc>
      </w:tr>
      <w:tr>
        <w:trPr>
          <w:trHeight w:val="19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5,522,278</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Dietrich Becker,</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12,466,103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20,396,958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20,831,164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41,228,122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54,244,884</w:t>
            </w:r>
          </w:p>
        </w:tc>
        <w:tc>
          <w:tcPr>
            <w:tcW w:w="0" w:type="dxa"/>
            <w:vAlign w:val="bottom"/>
          </w:tcPr>
          <w:p>
            <w:pPr>
              <w:spacing w:after="0"/>
              <w:rPr>
                <w:sz w:val="1"/>
                <w:szCs w:val="1"/>
                <w:color w:val="auto"/>
              </w:rPr>
            </w:pPr>
          </w:p>
        </w:tc>
      </w:tr>
      <w:tr>
        <w:trPr>
          <w:trHeight w:val="37"/>
        </w:trPr>
        <w:tc>
          <w:tcPr>
            <w:tcW w:w="1900" w:type="dxa"/>
            <w:vAlign w:val="bottom"/>
            <w:vMerge w:val="continue"/>
          </w:tcPr>
          <w:p>
            <w:pPr>
              <w:spacing w:after="0"/>
              <w:rPr>
                <w:sz w:val="3"/>
                <w:szCs w:val="3"/>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493,696</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5,506,304</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256,864</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256,864</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19,747</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6,276,611</w:t>
            </w:r>
          </w:p>
        </w:tc>
        <w:tc>
          <w:tcPr>
            <w:tcW w:w="0" w:type="dxa"/>
            <w:vAlign w:val="bottom"/>
          </w:tcPr>
          <w:p>
            <w:pPr>
              <w:spacing w:after="0" w:line="20" w:lineRule="exact"/>
              <w:rPr>
                <w:sz w:val="1"/>
                <w:szCs w:val="1"/>
                <w:color w:val="auto"/>
              </w:rPr>
            </w:pPr>
          </w:p>
        </w:tc>
      </w:tr>
      <w:tr>
        <w:trPr>
          <w:trHeight w:val="189"/>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Co-President</w:t>
            </w:r>
            <w:r>
              <w:rPr>
                <w:rFonts w:ascii="Times New Roman" w:cs="Times New Roman" w:eastAsia="Times New Roman" w:hAnsi="Times New Roman"/>
                <w:sz w:val="9"/>
                <w:szCs w:val="9"/>
                <w:color w:val="auto"/>
              </w:rPr>
              <w:t>(7)</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Andrew Bednar,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18,584,975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20,831,164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39,416,139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52,424,639</w:t>
            </w:r>
          </w:p>
        </w:tc>
        <w:tc>
          <w:tcPr>
            <w:tcW w:w="0" w:type="dxa"/>
            <w:vAlign w:val="bottom"/>
          </w:tcPr>
          <w:p>
            <w:pPr>
              <w:spacing w:after="0"/>
              <w:rPr>
                <w:sz w:val="1"/>
                <w:szCs w:val="1"/>
                <w:color w:val="auto"/>
              </w:rPr>
            </w:pPr>
          </w:p>
        </w:tc>
      </w:tr>
      <w:tr>
        <w:trPr>
          <w:trHeight w:val="37"/>
        </w:trPr>
        <w:tc>
          <w:tcPr>
            <w:tcW w:w="190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349,335</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3"/>
                <w:szCs w:val="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349,335</w:t>
            </w: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8,357,885</w:t>
            </w:r>
          </w:p>
        </w:tc>
        <w:tc>
          <w:tcPr>
            <w:tcW w:w="0" w:type="dxa"/>
            <w:vAlign w:val="bottom"/>
          </w:tcPr>
          <w:p>
            <w:pPr>
              <w:spacing w:after="0" w:line="20" w:lineRule="exact"/>
              <w:rPr>
                <w:sz w:val="1"/>
                <w:szCs w:val="1"/>
                <w:color w:val="auto"/>
              </w:rPr>
            </w:pPr>
          </w:p>
        </w:tc>
      </w:tr>
      <w:tr>
        <w:trPr>
          <w:trHeight w:val="18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Co-President</w:t>
            </w: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annual base salary earned by each of our NEOs during the applicable calendar year.</w:t>
      </w:r>
    </w:p>
    <w:p>
      <w:pPr>
        <w:spacing w:after="0" w:line="95" w:lineRule="exact"/>
        <w:rPr>
          <w:rFonts w:ascii="Times New Roman" w:cs="Times New Roman" w:eastAsia="Times New Roman" w:hAnsi="Times New Roman"/>
          <w:sz w:val="14"/>
          <w:szCs w:val="14"/>
          <w:color w:val="auto"/>
        </w:rPr>
      </w:pPr>
    </w:p>
    <w:p>
      <w:pPr>
        <w:ind w:left="340" w:hanging="332"/>
        <w:spacing w:after="0" w:line="248"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bonuses paid to or earned by each of our NEOs in respect of performance during the applicable calendar year. Our annual incentive bonuses are described in greater detail in the section entitled “—2021 Executive Compensation Elements—Annual Incentive Bonuses” below. For 2021, our annual incentive bonuses were paid partly in cash and partly in RSUs granted under the Perella Weinberg Partners 2021 Omnibus Incentive Plan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spacing w:after="0" w:line="50" w:lineRule="exact"/>
        <w:rPr>
          <w:rFonts w:ascii="Times New Roman" w:cs="Times New Roman" w:eastAsia="Times New Roman" w:hAnsi="Times New Roman"/>
          <w:sz w:val="14"/>
          <w:szCs w:val="14"/>
          <w:color w:val="auto"/>
        </w:rPr>
      </w:pPr>
    </w:p>
    <w:p>
      <w:pPr>
        <w:ind w:left="340" w:right="20" w:hanging="332"/>
        <w:spacing w:after="0" w:line="22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2021, as previously reported, amounts shown in this column represent the fair value, calculated in accordance with FASB ASC Topic 718, of equity in Professional Partners delivered to our NEOs in connection with the reorganization of Professional Partners in June 2021 prior to the Business Combination (which will have no economic impact on PWP or PWP OpCo), pursuant to which their legacy equity in Professional Partners was cancelled and replaced with a combination of original capital units (“OCUs”), which are fully vested, and value capital units (“VCUs”) and alignment capital units (“ACUs”), which are subject to vesting conditions as set forth below. Such amounts represent receipt by Mr. Weinberg of 1,980,324 VCUs and ACUs, by Mr. Becker of 1,535,916 VCUs and ACUs, and by Mr. Bednar of 1,399,471 VCUs and ACUs, and are based on the closing price of PWP Class A common stock on the date of grant of $13.28 per share. The cancellation of approximately 50% of our NEO’s legacy equity in Professional Partners (which had been fully vested) and the replacement of such equity with a combination of OCUs, VCUs and ACUs in connection with the reorganization of Professional Partners is described in greater detail in the section entitled “—2021 Executive Compensation Elements —Reorganization of Professional Partners” below. For 2020, amounts shown in this column represent the grant date fair value (or, to the extent of any modification, the incremental fair value), calculated in accordance with FASB ASC Topic 718, of the equity-based awards deemed to be granted to our NEOs during 2020.</w:t>
      </w:r>
    </w:p>
    <w:p>
      <w:pPr>
        <w:spacing w:after="0" w:line="209"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reported, amounts shown in this column represent the grant date fair value, calculated in accordance with FASB ASC Topic 718, of the performance-based RSUs (the “Long-Term Incentive Awards”) granted to each of our NEOs in August 2021 in connection with the Business Combination, which are subject to vesting conditions as set forth below. The Long-Term Incentive Awards granted to our NEOs are described in greater detail in the section entitled “—2021 Executive Compensation Elements—Long-Term Incentive Awards”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ind w:left="340" w:right="40" w:hanging="332"/>
        <w:spacing w:after="0" w:line="236"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sum of the values set forth in the “Professional Partners Equity” and “Long-Term Incentive Awards” columns. For the beneficial ownership of shares of the Company's common stock for each of Messrs. Weinberg, Becker and Bednar, see the section entitled "Stock Ownership of Certain Beneficial Owners and Management" below. For a summary of the assumptions used in the valuation of the reorganization-based equity and Long-Term Incentive Awards, please see Note 13 “Equity-Based Compensation” to the consolidated financial statements in our 2021 Form 10-K.</w:t>
      </w:r>
    </w:p>
    <w:p>
      <w:pPr>
        <w:spacing w:after="0" w:line="203"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spacing w:after="0" w:line="55" w:lineRule="exact"/>
        <w:rPr>
          <w:rFonts w:ascii="Times New Roman" w:cs="Times New Roman" w:eastAsia="Times New Roman" w:hAnsi="Times New Roman"/>
          <w:sz w:val="14"/>
          <w:szCs w:val="14"/>
          <w:color w:val="auto"/>
        </w:rPr>
      </w:pPr>
    </w:p>
    <w:p>
      <w:pPr>
        <w:ind w:left="340" w:right="12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Executive Compensation Elements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NEOs was provided with the following material elements of compensation in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6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2021, the annual incentive bonuses are payable partly in cash and partly in restricted stock units granted under the Incentive Plan. In December 2021, Messrs. Weinberg, Becker and Bednar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related to their separation from the Company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3"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Arrangements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of Professional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Long-Term Incentive Awards, as described in “—Long-Term Incentive Awards” below. Either party is permitted to terminate the employment agreement at any time by providing 90 days’ advance written notice; provided that a NEO’s employment may be terminated immediately in the event of a termination for cause.</w:t>
      </w:r>
    </w:p>
    <w:p>
      <w:pPr>
        <w:spacing w:after="0" w:line="16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Pool Awards</w:t>
      </w:r>
    </w:p>
    <w:p>
      <w:pPr>
        <w:spacing w:after="0" w:line="243" w:lineRule="exact"/>
        <w:rPr>
          <w:sz w:val="20"/>
          <w:szCs w:val="20"/>
          <w:color w:val="auto"/>
        </w:rPr>
      </w:pPr>
    </w:p>
    <w:p>
      <w:pPr>
        <w:ind w:firstLine="324"/>
        <w:spacing w:after="0" w:line="227"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 transaction pool of RSUs (the “Transaction Pool”) was created under the Incentive Plan and allocated to certain working partners of Professional Partners who were working partners as of November 1, 2020 (“Working Partners”), non-partner employees and certain other eligible recipients. The Transaction Pool was comprised of 10.2 million shares of our Class A common stock (the “Transaction Pool Share Reserve”). Pursuant to the approval of our Compensation Committee, in August 2021, approximately 7.0 million shares were granted subject solely to a time-based vesting schedule, and approximately 3.2 million shares were granted subject to a time-based and performance-based vesting schedule. Our NEOs did not receive any grant of RSUs under the Transaction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Awards</w:t>
      </w:r>
    </w:p>
    <w:p>
      <w:pPr>
        <w:spacing w:after="0" w:line="18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Shortly before the parties entered into the Business Combination agreement (the “Business Combination Agreement”) the parties discussed, among other things, the structure for proposed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PWP through the next phase of its development as a publicly-traded company. Mr. Weinberg was not involved in these preliminary discussions with FTIV and the Sponsor. Based on these discussions, FTIV and the Sponsor made a preliminary proposal for a performance-based RSU award (the “Long-Term Incentive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Beginning in February 2021, the individuals who currently serve as our “independent directors” and as the members of our compensation committee (Jane C. Sherburne, Daniel G. Cohen, Jorma Ollila and Ivan G. Seidenberg), engaged Exequity LLP, an independent third-party compensation consultant (“Exequity”), and engaged in more than two months of work and held multiple working group and committee meetings to develop the expected terms of the Long-Term Incentive Awards described in greater detail below. With assistance from Exequity, including alternatives prepared by Exequity based on market practice and peer group company analyses, Ms. Sherburne (chairperson of our compensation committee) and the other members of our compensation committee engaged in extensive discussions covering the various considerations involved in granting the Long-Term Incentive Awards, including: demonstrating a commitment to pay for performance through the use of at-risk performance-based incentives; the most effective way to structure an award that would align the interests of our NEO’s with other stockholders; and peer group company incentive structures, including peer group company examples of price-vesting stock awards.</w:t>
      </w:r>
    </w:p>
    <w:p>
      <w:pPr>
        <w:spacing w:after="0" w:line="14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being presented with the outline of a proposal for the Long-Term Incentive Awards being considered by the members of our compensation committee, Mr. Weinberg recommended, among other things, extending the scope of the program to include a small number of other partners who are identified as key to our continued growth. The compensation committee incorporated this recommendation into the terms of the Long-Term Incentive Awards described in greater detail below. In addition, in light of the Long-Term Incentive Awards being contemplated by the compensation committee, each of Messrs. Weinberg, Becker and Bednar reallocated the transaction pool awards they would have otherwise been granted pursuant to the Transaction Pool to other partners, as described in greater detail below.</w:t>
      </w:r>
    </w:p>
    <w:p>
      <w:pPr>
        <w:spacing w:after="0" w:line="1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determined by the compensation committee, the primary objective of the Long-Term Incentive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stockholder value. Specifically, the Long-Term Incentive Awards are intended to:</w:t>
      </w:r>
    </w:p>
    <w:p>
      <w:pPr>
        <w:spacing w:after="0" w:line="180" w:lineRule="exact"/>
        <w:rPr>
          <w:sz w:val="20"/>
          <w:szCs w:val="20"/>
          <w:color w:val="auto"/>
        </w:rPr>
      </w:pPr>
    </w:p>
    <w:p>
      <w:pPr>
        <w:ind w:left="660" w:right="9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meaningful equity-based ownership levels and realizable pay opportunities, while keeping the program simple to understand, communicate and administer;</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PWP’s commitment to performance through a long-term incentive program that is entirely at-risk if aggressive performance objectives are not met;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substantive service-based vesting requirements to ensure long-term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the foregoing considerations, in connection with the closing of the Business Combination and in respect of their ongoing participation in the leadership and management of PWP following the closing of the Business Combination, Messrs. Weinberg, Becker and Bednar, as well as a small number of other partners as recommended by Mr. Weinberg in consultation with the compensation committee, received one-time grants of 9.5 million Long-Term Incentive Awards in August 2021. The Long-Term Incentive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7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Long-Term Incentive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of Professional Partners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(including increases and decreases in value) and allocates income/distributions with respect to the advisory business on a pro-rata basis to all holders of such partnership units in accordance with their ownership interests.</w:t>
      </w:r>
    </w:p>
    <w:p>
      <w:pPr>
        <w:spacing w:after="0" w:line="13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(including for PWP's NEOs) will be recorded as equity-based compensation expense at PWP OpCo for accounting purposes, though they will have no economic impact on investors in PWP or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 of Professional Partners will cause distributions that Professional Partners receives from PWP OpCo to be distributed to the partners pro-rata in accordance with such limited partners’ respective ownership of each class of Professional Partners units, including any VCUs and ACUs.</w:t>
      </w:r>
    </w:p>
    <w:p>
      <w:pPr>
        <w:spacing w:after="0" w:line="16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LP Agreement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14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5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for 2021</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outstanding equity-based awards held by each of our NEOs as of December 31,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or</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 Value of Shares or</w:t>
            </w:r>
          </w:p>
        </w:tc>
        <w:tc>
          <w:tcPr>
            <w:tcW w:w="0" w:type="dxa"/>
            <w:vAlign w:val="bottom"/>
          </w:tcPr>
          <w:p>
            <w:pPr>
              <w:spacing w:after="0"/>
              <w:rPr>
                <w:sz w:val="1"/>
                <w:szCs w:val="1"/>
                <w:color w:val="auto"/>
              </w:rPr>
            </w:pPr>
          </w:p>
        </w:tc>
      </w:tr>
      <w:tr>
        <w:trPr>
          <w:trHeight w:val="162"/>
        </w:trPr>
        <w:tc>
          <w:tcPr>
            <w:tcW w:w="6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8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w:t>
            </w:r>
          </w:p>
        </w:tc>
        <w:tc>
          <w:tcPr>
            <w:tcW w:w="540" w:type="dxa"/>
            <w:vAlign w:val="bottom"/>
          </w:tcPr>
          <w:p>
            <w:pPr>
              <w:spacing w:after="0"/>
              <w:rPr>
                <w:sz w:val="14"/>
                <w:szCs w:val="14"/>
                <w:color w:val="auto"/>
              </w:rPr>
            </w:pPr>
          </w:p>
        </w:tc>
        <w:tc>
          <w:tcPr>
            <w:tcW w:w="2320" w:type="dxa"/>
            <w:vAlign w:val="bottom"/>
            <w:gridSpan w:val="2"/>
          </w:tcPr>
          <w:p>
            <w:pPr>
              <w:jc w:val="right"/>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 Not</w:t>
            </w:r>
          </w:p>
        </w:tc>
        <w:tc>
          <w:tcPr>
            <w:tcW w:w="0" w:type="dxa"/>
            <w:vAlign w:val="bottom"/>
          </w:tcPr>
          <w:p>
            <w:pPr>
              <w:spacing w:after="0"/>
              <w:rPr>
                <w:sz w:val="1"/>
                <w:szCs w:val="1"/>
                <w:color w:val="auto"/>
              </w:rPr>
            </w:pPr>
          </w:p>
        </w:tc>
      </w:tr>
      <w:tr>
        <w:trPr>
          <w:trHeight w:val="216"/>
        </w:trPr>
        <w:tc>
          <w:tcPr>
            <w:tcW w:w="6300" w:type="dxa"/>
            <w:vAlign w:val="bottom"/>
            <w:gridSpan w:val="2"/>
            <w:vMerge w:val="continue"/>
          </w:tcPr>
          <w:p>
            <w:pPr>
              <w:spacing w:after="0"/>
              <w:rPr>
                <w:sz w:val="18"/>
                <w:szCs w:val="18"/>
                <w:color w:val="auto"/>
              </w:rPr>
            </w:pPr>
          </w:p>
        </w:tc>
        <w:tc>
          <w:tcPr>
            <w:tcW w:w="2080" w:type="dxa"/>
            <w:vAlign w:val="bottom"/>
          </w:tcPr>
          <w:p>
            <w:pPr>
              <w:jc w:val="right"/>
              <w:ind w:right="51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Not Vested </w:t>
            </w:r>
            <w:r>
              <w:rPr>
                <w:rFonts w:ascii="Times New Roman" w:cs="Times New Roman" w:eastAsia="Times New Roman" w:hAnsi="Times New Roman"/>
                <w:sz w:val="21"/>
                <w:szCs w:val="21"/>
                <w:b w:val="1"/>
                <w:bCs w:val="1"/>
                <w:color w:val="auto"/>
                <w:vertAlign w:val="superscript"/>
              </w:rPr>
              <w:t>(1)</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ind w:right="79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Vested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Peter A. Weinberg</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5,280,324</w:t>
            </w:r>
          </w:p>
        </w:tc>
        <w:tc>
          <w:tcPr>
            <w:tcW w:w="5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67,904,967</w:t>
            </w:r>
          </w:p>
        </w:tc>
        <w:tc>
          <w:tcPr>
            <w:tcW w:w="0" w:type="dxa"/>
            <w:vAlign w:val="bottom"/>
          </w:tcPr>
          <w:p>
            <w:pPr>
              <w:spacing w:after="0"/>
              <w:rPr>
                <w:sz w:val="1"/>
                <w:szCs w:val="1"/>
                <w:color w:val="auto"/>
              </w:rPr>
            </w:pPr>
          </w:p>
        </w:tc>
      </w:tr>
      <w:tr>
        <w:trPr>
          <w:trHeight w:val="213"/>
        </w:trPr>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Dietrich Becker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3,885,916</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(4)</w:t>
            </w: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49,972,880</w:t>
            </w: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Andrew Bednar</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3,749,471</w:t>
            </w:r>
          </w:p>
        </w:tc>
        <w:tc>
          <w:tcPr>
            <w:tcW w:w="5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48,218,197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40" w:right="20" w:hanging="332"/>
        <w:spacing w:after="0" w:line="246"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(i) Long-Term Incentive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50% of the amount earned based on achievement of the performance-based vesting conditions prior to the first vesting date will remain outstanding and will vest on the second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The vesting of VCUs and ACUs will be recorded as equity-based compensation expense at PWP OpCo for accounting purposes, though they will have no economic impact on investors in PWP or PWP OpCo. The amounts shown do not include OCUs, which are fully-vested.</w:t>
      </w:r>
    </w:p>
    <w:p>
      <w:pPr>
        <w:spacing w:after="0" w:line="53"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shown is based on the closing stock price per share of our Class A common stock on December 31, 2021 ($12.86 ). The market value of the Long-Term Incentive Awards is based on the number of shares of our Class A common stock that our NEOs would receive upon settlement of the Long-Term Incentive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in the section entitled “—2021 Executive Compensation Elements —Reorganization of Professional Partners” above.</w:t>
      </w:r>
    </w:p>
    <w:p>
      <w:pPr>
        <w:spacing w:after="0" w:line="6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3,300,000 Long-Term Incentive Awards and (ii) 1,980,324 VCUs and ACUs.</w:t>
      </w:r>
    </w:p>
    <w:p>
      <w:pPr>
        <w:spacing w:after="0" w:line="9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Long-Term Incentive Awards and (ii) 1,535,916 VCUs and ACUs.</w:t>
      </w:r>
    </w:p>
    <w:p>
      <w:pPr>
        <w:spacing w:after="0" w:line="8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Long-Term Incentive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Long-Term Incentive Awards are subject to the achievement of time-based and performance-based vesting conditions, both of which must be satisfied for the awards to vest. Upon a termination of employment without cause or resignation for good reason, a pro-rata portion of the Long-Term Incentive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Long-Term Incentive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Long-Term Incentive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Long-Term Incentive Awards will remain outstanding and eligible to vest subject to the achievement of the applicable time-based and performance-based vesting conditions based on the executive’s continued employment as a Working Partner.</w:t>
      </w:r>
    </w:p>
    <w:p>
      <w:pPr>
        <w:spacing w:after="0" w:line="17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of the Business Combination.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fully-vested.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the Incentive Plan as of December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00" w:type="dxa"/>
            <w:vAlign w:val="bottom"/>
            <w:gridSpan w:val="2"/>
            <w:vMerge w:val="restart"/>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 Issued</w:t>
            </w:r>
          </w:p>
        </w:tc>
        <w:tc>
          <w:tcPr>
            <w:tcW w:w="190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(Excluding Securities</w:t>
            </w:r>
          </w:p>
        </w:tc>
        <w:tc>
          <w:tcPr>
            <w:tcW w:w="0" w:type="dxa"/>
            <w:vAlign w:val="bottom"/>
          </w:tcPr>
          <w:p>
            <w:pPr>
              <w:spacing w:after="0"/>
              <w:rPr>
                <w:sz w:val="1"/>
                <w:szCs w:val="1"/>
                <w:color w:val="auto"/>
              </w:rPr>
            </w:pPr>
          </w:p>
        </w:tc>
      </w:tr>
      <w:tr>
        <w:trPr>
          <w:trHeight w:val="162"/>
        </w:trPr>
        <w:tc>
          <w:tcPr>
            <w:tcW w:w="55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1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Warrants and Rights</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 Column(a))</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90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85"/>
              </w:rPr>
              <w:t>(a)</w:t>
            </w:r>
            <w:r>
              <w:rPr>
                <w:rFonts w:ascii="Times New Roman" w:cs="Times New Roman" w:eastAsia="Times New Roman" w:hAnsi="Times New Roman"/>
                <w:sz w:val="21"/>
                <w:szCs w:val="21"/>
                <w:b w:val="1"/>
                <w:bCs w:val="1"/>
                <w:color w:val="auto"/>
                <w:w w:val="85"/>
                <w:vertAlign w:val="superscript"/>
              </w:rPr>
              <w:t>(2)</w:t>
            </w:r>
          </w:p>
        </w:tc>
        <w:tc>
          <w:tcPr>
            <w:tcW w:w="190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(b)</w:t>
            </w:r>
          </w:p>
        </w:tc>
        <w:tc>
          <w:tcPr>
            <w:tcW w:w="19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4"/>
        </w:trPr>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Equity compensation plans approved by security holders:</w:t>
            </w: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860"/>
              <w:spacing w:after="0" w:line="218" w:lineRule="exact"/>
              <w:rPr>
                <w:sz w:val="20"/>
                <w:szCs w:val="20"/>
                <w:color w:val="auto"/>
              </w:rPr>
            </w:pPr>
            <w:r>
              <w:rPr>
                <w:rFonts w:ascii="Times New Roman" w:cs="Times New Roman" w:eastAsia="Times New Roman" w:hAnsi="Times New Roman"/>
                <w:sz w:val="16"/>
                <w:szCs w:val="16"/>
                <w:color w:val="auto"/>
              </w:rPr>
              <w:t>2021 Omnibus Incentive Plan</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19,065,247</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3,574,786</w:t>
            </w:r>
          </w:p>
        </w:tc>
        <w:tc>
          <w:tcPr>
            <w:tcW w:w="0" w:type="dxa"/>
            <w:vAlign w:val="bottom"/>
          </w:tcPr>
          <w:p>
            <w:pPr>
              <w:spacing w:after="0"/>
              <w:rPr>
                <w:sz w:val="1"/>
                <w:szCs w:val="1"/>
                <w:color w:val="auto"/>
              </w:rPr>
            </w:pPr>
          </w:p>
        </w:tc>
      </w:tr>
      <w:tr>
        <w:trPr>
          <w:trHeight w:val="214"/>
        </w:trPr>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Equity compensation plans not approved by security holders: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None</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5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19,065,247</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3,574,786</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left="340" w:hanging="332"/>
        <w:spacing w:after="0" w:line="246"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Class A common stock reserved for issuance pursuant to the General Share Reserve under the Incentive Plan is 13,980,000, which amount will be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is comprised of 10,200,000 shares of Class A common stock, reserved for issuance through the one-year anniversary of the Business Combination, of which approximately 7,000,000 shares were granted subject solely to a time-based vesting schedule, and approximately 3,200,000 shares were granted subject to a time-based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w:t>
      </w:r>
    </w:p>
    <w:p>
      <w:pPr>
        <w:spacing w:after="0" w:line="232" w:lineRule="exact"/>
        <w:rPr>
          <w:rFonts w:ascii="Times New Roman" w:cs="Times New Roman" w:eastAsia="Times New Roman" w:hAnsi="Times New Roman"/>
          <w:sz w:val="14"/>
          <w:szCs w:val="14"/>
          <w:color w:val="auto"/>
        </w:rPr>
      </w:pPr>
    </w:p>
    <w:p>
      <w:pPr>
        <w:jc w:val="both"/>
        <w:ind w:left="340" w:right="20" w:hanging="332"/>
        <w:spacing w:after="0" w:line="26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time-based vesting RSUs and a time-based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30" w:name="page31"/>
    <w:bookmarkEnd w:id="30"/>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shares of the Company’s common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 by:</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any class of the Company’s outstanding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the Company common stock below is based on 47,037,195 shares of Class A common stock, 44,354,908.737 shares of Class B-1 common stock and 1,964,044.000 shares of Class B-2 common stock issued and outstanding as of March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40" w:right="359" w:bottom="1440" w:gutter="0" w:footer="0" w:header="0"/>
        </w:sectPr>
      </w:pPr>
    </w:p>
    <w:bookmarkStart w:id="31" w:name="page32"/>
    <w:bookmarkEnd w:id="31"/>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r>
        <w:rPr>
          <w:rFonts w:ascii="Times New Roman" w:cs="Times New Roman" w:eastAsia="Times New Roman" w:hAnsi="Times New Roman"/>
          <w:sz w:val="14"/>
          <w:szCs w:val="1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5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Greater than 5% Beneficial Owners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Wellington Management Group LLP</w:t>
      </w:r>
      <w:r>
        <w:rPr>
          <w:rFonts w:ascii="Times New Roman" w:cs="Times New Roman" w:eastAsia="Times New Roman" w:hAnsi="Times New Roman"/>
          <w:sz w:val="18"/>
          <w:szCs w:val="18"/>
          <w:color w:val="auto"/>
          <w:vertAlign w:val="superscript"/>
        </w:rPr>
        <w:t>(2)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Westwood Management Corp</w:t>
      </w:r>
      <w:r>
        <w:rPr>
          <w:rFonts w:ascii="Times New Roman" w:cs="Times New Roman" w:eastAsia="Times New Roman" w:hAnsi="Times New Roman"/>
          <w:sz w:val="18"/>
          <w:szCs w:val="18"/>
          <w:color w:val="auto"/>
          <w:vertAlign w:val="superscript"/>
        </w:rPr>
        <w:t>(3)</w:t>
      </w:r>
    </w:p>
    <w:p>
      <w:pPr>
        <w:spacing w:after="0" w:line="66"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Fidelity Management &amp; Research Company, LLC</w:t>
      </w:r>
      <w:r>
        <w:rPr>
          <w:rFonts w:ascii="Times New Roman" w:cs="Times New Roman" w:eastAsia="Times New Roman" w:hAnsi="Times New Roman"/>
          <w:sz w:val="18"/>
          <w:szCs w:val="18"/>
          <w:color w:val="auto"/>
          <w:vertAlign w:val="superscript"/>
        </w:rPr>
        <w:t>(4)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Samlyn Capital, LLC</w:t>
      </w:r>
      <w:r>
        <w:rPr>
          <w:rFonts w:ascii="Times New Roman" w:cs="Times New Roman" w:eastAsia="Times New Roman" w:hAnsi="Times New Roman"/>
          <w:sz w:val="18"/>
          <w:szCs w:val="18"/>
          <w:color w:val="auto"/>
          <w:vertAlign w:val="superscript"/>
        </w:rPr>
        <w:t>(5)</w:t>
      </w:r>
    </w:p>
    <w:p>
      <w:pPr>
        <w:spacing w:after="0" w:line="66"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 xml:space="preserve">Schroder Investment Management North America Inc </w:t>
      </w:r>
      <w:r>
        <w:rPr>
          <w:rFonts w:ascii="Times New Roman" w:cs="Times New Roman" w:eastAsia="Times New Roman" w:hAnsi="Times New Roman"/>
          <w:sz w:val="18"/>
          <w:szCs w:val="18"/>
          <w:color w:val="auto"/>
          <w:vertAlign w:val="superscript"/>
        </w:rPr>
        <w:t>(6)</w:t>
      </w:r>
    </w:p>
    <w:p>
      <w:pPr>
        <w:spacing w:after="0" w:line="17" w:lineRule="exact"/>
        <w:rPr>
          <w:sz w:val="20"/>
          <w:szCs w:val="20"/>
          <w:color w:val="auto"/>
        </w:rPr>
      </w:pPr>
    </w:p>
    <w:p>
      <w:pPr>
        <w:ind w:left="20" w:right="540"/>
        <w:spacing w:after="0" w:line="331" w:lineRule="auto"/>
        <w:rPr>
          <w:sz w:val="20"/>
          <w:szCs w:val="20"/>
          <w:color w:val="auto"/>
        </w:rPr>
      </w:pPr>
      <w:r>
        <w:rPr>
          <w:rFonts w:ascii="Times New Roman" w:cs="Times New Roman" w:eastAsia="Times New Roman" w:hAnsi="Times New Roman"/>
          <w:sz w:val="14"/>
          <w:szCs w:val="14"/>
          <w:color w:val="auto"/>
        </w:rPr>
        <w:t>Basswood Capital Management L.L.C.</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Adage Capital Partners GP, L.L.C.</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 xml:space="preserve"> Bay Bond Partners, L.P.</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4"/>
          <w:szCs w:val="14"/>
          <w:color w:val="auto"/>
        </w:rPr>
        <w:t xml:space="preserve"> PWP Professional Partners LP</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TWCL US Inc.</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Red Hook Capital LLC</w:t>
      </w:r>
    </w:p>
    <w:p>
      <w:pPr>
        <w:spacing w:after="0" w:line="107" w:lineRule="exact"/>
        <w:rPr>
          <w:sz w:val="20"/>
          <w:szCs w:val="20"/>
          <w:color w:val="auto"/>
        </w:rPr>
      </w:pPr>
    </w:p>
    <w:p>
      <w:pPr>
        <w:ind w:left="180" w:right="300" w:hanging="161"/>
        <w:spacing w:after="0" w:line="244" w:lineRule="auto"/>
        <w:rPr>
          <w:sz w:val="20"/>
          <w:szCs w:val="20"/>
          <w:color w:val="auto"/>
        </w:rPr>
      </w:pPr>
      <w:r>
        <w:rPr>
          <w:rFonts w:ascii="Times New Roman" w:cs="Times New Roman" w:eastAsia="Times New Roman" w:hAnsi="Times New Roman"/>
          <w:sz w:val="14"/>
          <w:szCs w:val="14"/>
          <w:b w:val="1"/>
          <w:bCs w:val="1"/>
          <w:color w:val="auto"/>
        </w:rPr>
        <w:t>Executive Officers, Directors and Director Nominees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Peter A. Weinberg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Joseph R. Perella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K. Steel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Gary S. Barancik</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Dietrich Becker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Andrew Bednar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Vladimir Shendelman</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Jorma Ollila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Ivan G. Seidenberg</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Jane C. Sherburne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Daniel G. Cohen</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Elizabeth (Beth) Cogan Fascitelli</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Kristin W. Mugford</w:t>
      </w:r>
    </w:p>
    <w:p>
      <w:pPr>
        <w:spacing w:after="0" w:line="109"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4"/>
          <w:szCs w:val="14"/>
          <w:color w:val="auto"/>
        </w:rPr>
        <w:t>All company's directors and executive officers as a group (11 persons)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7"/>
              </w:rPr>
              <w:t>Class B-1 Common Stock</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7"/>
              </w:rPr>
              <w:t>Class B-2 Common Stock</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56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8"/>
                <w:szCs w:val="8"/>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520" w:type="dxa"/>
            <w:vAlign w:val="bottom"/>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Pr>
          <w:p>
            <w:pPr>
              <w:spacing w:after="0"/>
              <w:rPr>
                <w:sz w:val="8"/>
                <w:szCs w:val="8"/>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52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100" w:type="dxa"/>
            <w:vAlign w:val="bottom"/>
          </w:tcPr>
          <w:p>
            <w:pPr>
              <w:spacing w:after="0"/>
              <w:rPr>
                <w:sz w:val="8"/>
                <w:szCs w:val="8"/>
                <w:color w:val="auto"/>
              </w:rPr>
            </w:pP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 of Combined Voting</w:t>
            </w:r>
          </w:p>
        </w:tc>
        <w:tc>
          <w:tcPr>
            <w:tcW w:w="0" w:type="dxa"/>
            <w:vAlign w:val="bottom"/>
          </w:tcPr>
          <w:p>
            <w:pPr>
              <w:spacing w:after="0"/>
              <w:rPr>
                <w:sz w:val="1"/>
                <w:szCs w:val="1"/>
                <w:color w:val="auto"/>
              </w:rPr>
            </w:pPr>
          </w:p>
        </w:tc>
      </w:tr>
      <w:tr>
        <w:trPr>
          <w:trHeight w:val="156"/>
        </w:trPr>
        <w:tc>
          <w:tcPr>
            <w:tcW w:w="12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154305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5,670,939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11.97%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3,888,240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3,750,439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7.97%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2,993,365</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6.36%</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2,983,912</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6.34%</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2,857,118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6.07%</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2,538,768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5.40%</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2,419,407</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5.14%</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8"/>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w:t>
            </w:r>
          </w:p>
        </w:tc>
      </w:tr>
      <w:tr>
        <w:trPr>
          <w:trHeight w:val="338"/>
        </w:trPr>
        <w:tc>
          <w:tcPr>
            <w:tcW w:w="900" w:type="dxa"/>
            <w:vAlign w:val="bottom"/>
          </w:tcPr>
          <w:p>
            <w:pPr>
              <w:jc w:val="right"/>
              <w:ind w:right="231"/>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(11)</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1,122,264</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57.14%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7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(12)</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95"/>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(13)</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w:t>
            </w:r>
          </w:p>
        </w:tc>
      </w:tr>
      <w:tr>
        <w:trPr>
          <w:trHeight w:val="366"/>
        </w:trPr>
        <w:tc>
          <w:tcPr>
            <w:tcW w:w="900" w:type="dxa"/>
            <w:vAlign w:val="bottom"/>
          </w:tcPr>
          <w:p>
            <w:pPr>
              <w:jc w:val="right"/>
              <w:ind w:right="231"/>
              <w:spacing w:after="0" w:line="366"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(14)</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1"/>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(15)</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(16)</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(17)</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900" w:type="dxa"/>
            <w:vAlign w:val="bottom"/>
          </w:tcPr>
          <w:p>
            <w:pPr>
              <w:jc w:val="right"/>
              <w:ind w:right="231"/>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(18)</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900" w:type="dxa"/>
            <w:vAlign w:val="bottom"/>
          </w:tcPr>
          <w:p>
            <w:pPr>
              <w:jc w:val="right"/>
              <w:ind w:right="231"/>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2"/>
                <w:szCs w:val="12"/>
                <w:color w:val="auto"/>
              </w:rPr>
              <w:t>(19)</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900" w:type="dxa"/>
            <w:vAlign w:val="bottom"/>
          </w:tcPr>
          <w:p>
            <w:pPr>
              <w:jc w:val="right"/>
              <w:ind w:right="231"/>
              <w:spacing w:after="0" w:line="243" w:lineRule="exact"/>
              <w:rPr>
                <w:sz w:val="20"/>
                <w:szCs w:val="20"/>
                <w:color w:val="auto"/>
              </w:rPr>
            </w:pPr>
            <w:r>
              <w:rPr>
                <w:rFonts w:ascii="Times New Roman" w:cs="Times New Roman" w:eastAsia="Times New Roman" w:hAnsi="Times New Roman"/>
                <w:sz w:val="14"/>
                <w:szCs w:val="14"/>
                <w:color w:val="auto"/>
              </w:rPr>
              <w:t>5,490</w:t>
            </w:r>
            <w:r>
              <w:rPr>
                <w:rFonts w:ascii="Times New Roman" w:cs="Times New Roman" w:eastAsia="Times New Roman" w:hAnsi="Times New Roman"/>
                <w:sz w:val="23"/>
                <w:szCs w:val="23"/>
                <w:color w:val="auto"/>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0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90"/>
              </w:rPr>
              <w:t>63,413</w:t>
            </w:r>
            <w:r>
              <w:rPr>
                <w:rFonts w:ascii="Times New Roman" w:cs="Times New Roman" w:eastAsia="Times New Roman" w:hAnsi="Times New Roman"/>
                <w:sz w:val="23"/>
                <w:szCs w:val="23"/>
                <w:color w:val="auto"/>
                <w:w w:val="90"/>
                <w:vertAlign w:val="superscript"/>
              </w:rPr>
              <w:t>(20)</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23"/>
        </w:trPr>
        <w:tc>
          <w:tcPr>
            <w:tcW w:w="9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79,883</w:t>
            </w: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841,780</w:t>
            </w: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42.86%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-4700270</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-4271645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-3843020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-3500120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-3131185</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-2677160</wp:posOffset>
            </wp:positionV>
            <wp:extent cx="71323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-2282825</wp:posOffset>
            </wp:positionV>
            <wp:extent cx="71323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-1888490</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-1494155</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-1125220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-782320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-439420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2920" w:space="120"/>
            <w:col w:w="8200"/>
          </w:cols>
          <w:pgMar w:left="320" w:top="1440" w:right="339" w:bottom="1440" w:gutter="0" w:footer="0" w:header="0"/>
        </w:sect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767 Fifth Avenue, New York, New York 10153.</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type w:val="continuous"/>
        </w:sectPr>
      </w:pPr>
    </w:p>
    <w:bookmarkStart w:id="32" w:name="page33"/>
    <w:bookmarkEnd w:id="32"/>
    <w:p>
      <w:pPr>
        <w:ind w:left="340" w:right="140" w:hanging="332"/>
        <w:spacing w:after="0" w:line="253"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ind w:left="340" w:right="2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3"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proxy statement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Schroder Investment Management North America Inc. (“Schroder”) with the SEC on February 9, 2022. Schroder has sole voting power and sole dispositive power over all of the shares of Class A common stock. Schroder is a registered investment adviser with its respective home country regulator. Schroder is located in the United States at 7 Bryant Park, 19th Floor, New York, NY 10018.</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jc w:val="both"/>
        <w:ind w:left="340" w:hanging="332"/>
        <w:spacing w:after="0" w:line="241"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1,122,264 shares of our Class A common stock that may be issuable upon redemption of the 1,122,264 PWP OpCo Class A partnership units held by TWCL US Inc.</w:t>
      </w:r>
    </w:p>
    <w:p>
      <w:pPr>
        <w:spacing w:after="0" w:line="1" w:lineRule="exact"/>
        <w:rPr>
          <w:rFonts w:ascii="Times New Roman" w:cs="Times New Roman" w:eastAsia="Times New Roman" w:hAnsi="Times New Roman"/>
          <w:sz w:val="14"/>
          <w:szCs w:val="14"/>
          <w:color w:val="auto"/>
        </w:rPr>
      </w:pPr>
    </w:p>
    <w:p>
      <w:pPr>
        <w:ind w:left="340" w:hanging="332"/>
        <w:spacing w:after="0" w:line="249"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841,780 shares of our Class A common stock that may be issuable upon redemption of the 841,780 PWP OpCo Class A partnership units held by Red Hook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33" w:name="page34"/>
    <w:bookmarkEnd w:id="33"/>
    <w:p>
      <w:pPr>
        <w:jc w:val="both"/>
        <w:ind w:left="340" w:hanging="332"/>
        <w:spacing w:after="0" w:line="244"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6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4.3%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4" w:name="page35"/>
    <w:bookmarkEnd w:id="34"/>
    <w:p>
      <w:pPr>
        <w:jc w:val="both"/>
        <w:ind w:left="340" w:hanging="332"/>
        <w:spacing w:after="0" w:line="244"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40" w:hanging="332"/>
        <w:spacing w:after="0" w:line="241" w:lineRule="auto"/>
        <w:tabs>
          <w:tab w:leader="none" w:pos="33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that may be acquired within 60 days of March 30, 2022, upon vesting of shares underlying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5" w:name="page36"/>
    <w:bookmarkEnd w:id="3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(i) FinTech Masala Advisors IV, LLC, Cohen Sponsor Interests IV, LLC, FinTech Masala, LLC and FinTech Masala Holdings, LLC with respect to the shares of the Company’s Class A common stock repurchased by the Company from FinTech Masala Advisors IV, LLC on August 9, 2021; (ii) Cohen Sponsor Interests IV, LLC, FinTech Masala, LLC and FinTech Masala Holdings, LLC with respect to the shares of Class A common stock repurchased by the Company from FinTech Investor Holdings IV, LLC on August 9, 2021; (iii) Cohen Sponsor Interests IV, LLC, FinTech Masala, LLC and FinTech Masala Holdings, LLC with respect to the deemed acquisition of the warrants to purchase shares of Class A common stock on September 29, 2021; (iv) Mr. Robert Steel with respect to the grant of performance-based RSUs on August 31, 2021 (which was filed by the Company on Mr. Steel’s behalf); (v) Ms. Betsy Cohen and Cohen Sponsor Interests IV, LLC with respect to (A) the sale of the shares of the Company’s Class B common stock on each of October 26, 2020 and June 24, 2021, (B) the disposition of shares of Class B common stock on June 24, 2021 and (C) the conversion of shares of Class B common stock into shares of Class A common stock on June 24, 2021; (vi) Mr. Daniel Cohen and Cohen Sponsor Interests IV, LLC with respect to (A) the sale of shares of Class B common stock on October 26, 2020, (B) the disposition of shares of Class B common stock on June 24, 2021, (C) the conversion of shares of Class B common stock into shares of Class A common stock on June 24, 2021 and (D) the sale of shares of Class B common stock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and Procedures for Related Person Transactions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FTIV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Placement Units</w:t>
      </w:r>
    </w:p>
    <w:p>
      <w:pPr>
        <w:spacing w:after="0" w:line="20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November 2018, FinTech Investor Holdings IV, LLC (the “Sponsor”) purchased 7,382,500 founder shares (the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(as defined below) and the issued and outstanding public shares after the initial public offering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“—Sponsor Share Surrender and Share Restriction Agreement” below for a description of these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5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(the “Private Placement Warrants”) to purchase one share of Class A common stock exercisable at $11.50. We refer to the 610,000 shares of Class A common stock underlying the 610,000 units that were initially issued to the Sponsor in a private placement simultaneously with the closing of the IPO as the “Placement Shares.”</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identical to the warrants included in the units sold in the IPO (the “Public Warrants”), except that if held by the Sponsor or their permitted transferees, (i) they will not be redeemable by FTIV,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and Advance—Related Party</w:t>
      </w:r>
    </w:p>
    <w:p>
      <w:pPr>
        <w:spacing w:after="0" w:line="18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FTIV’s initial stockholders were entitled to registration rights pursuant to a registration rights agreement (the Registration Rights Agreement”), which was amended and restated in connection with the Business Combination. The Amended and Restated Registration Rights Agreement grants the Registration Rights Agreement parties certain registration rights with respect to their registrable securities. For additional information, see “—PWP Related Party Transactions—Amended and Restated Registration Rights Agreement”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certain individuals entered into the Stockholders Agreement. For additional information, see “—PWP Related Party Transactions —Right of Professional Partners and Stockholders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FTIV entered into a support agreement (the “Support Agreement”) with (i)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we entered into subscription agreements with the PIPE Investors (the “Subscription Agreements”),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4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issued in connection with the Subscription Agreements were not registered under the Securities Act, and were issued in reliance on the exemption from registration requirements thereof provided by Section 4(a)(2) of the Securities Act and/or Regulation D promulgated thereunder.</w:t>
      </w:r>
    </w:p>
    <w:p>
      <w:pPr>
        <w:spacing w:after="0" w:line="13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1440" w:right="39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of the Business Combination, forfeited an aggregate of 1,023,333 shares of Class B common stock for no consideration and agreed that the 610,000 Placement Shares and 6,846,667 Founder Shares held by it would be subject to transfer restrictions for six months following the closing of the Business Combination,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65" w:lineRule="exact"/>
        <w:rPr>
          <w:sz w:val="20"/>
          <w:szCs w:val="20"/>
          <w:color w:val="auto"/>
        </w:rPr>
      </w:pPr>
    </w:p>
    <w:p>
      <w:pPr>
        <w:ind w:left="660" w:right="2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of the Business Combination, or December 24, 2021 (the “6-Month Anniversary”);</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3"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25" w:lineRule="exact"/>
        <w:rPr>
          <w:rFonts w:ascii="Times New Roman" w:cs="Times New Roman" w:eastAsia="Times New Roman" w:hAnsi="Times New Roman"/>
          <w:sz w:val="17"/>
          <w:szCs w:val="17"/>
          <w:color w:val="auto"/>
        </w:rPr>
      </w:pPr>
    </w:p>
    <w:p>
      <w:pPr>
        <w:jc w:val="both"/>
        <w:ind w:left="660" w:right="1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3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24, 2021, the 6-Month Anniversary, all of the Placement Shares and 3,108,001 of the Founder Shares are no longer subject to the transfer restrictions set forth above.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spacing w:after="0" w:line="13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In addition, pursuant to the Sponsor Share Surrender and Share Restriction Agreement, if, prior to the fourth anniversary of the closing of the Business Combination,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PWP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0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limited partnership agreement of PWP OpCo,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Registration Rights Agreement parties, which Shelf Registration Statement became effective on July 26, 2021.</w:t>
      </w:r>
    </w:p>
    <w:p>
      <w:pPr>
        <w:spacing w:after="0" w:line="1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w:t>
      </w:r>
    </w:p>
    <w:p>
      <w:pPr>
        <w:spacing w:after="0" w:line="16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Professional Partners and Stockholders Agreement</w:t>
      </w:r>
    </w:p>
    <w:p>
      <w:pPr>
        <w:spacing w:after="0" w:line="20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of the Business Combination,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16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for so long as the Secondary Class B Condition is satisfied, Professional Partners will have approval rights over the following actions: (a) any amendment to the certificate of incorporation or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3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3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Agreement will terminate once the Secondary Class B Condition is no longer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Loan Guarantees</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6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309"/>
        </w:trPr>
        <w:tc>
          <w:tcPr>
            <w:tcW w:w="3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Gary Barancik</w:t>
            </w:r>
            <w:r>
              <w:rPr>
                <w:rFonts w:ascii="Times New Roman" w:cs="Times New Roman" w:eastAsia="Times New Roman" w:hAnsi="Times New Roman"/>
                <w:sz w:val="23"/>
                <w:szCs w:val="23"/>
                <w:color w:val="auto"/>
                <w:vertAlign w:val="superscript"/>
              </w:rPr>
              <w:t>(1)</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26, 2016</w:t>
            </w:r>
          </w:p>
        </w:tc>
        <w:tc>
          <w:tcPr>
            <w:tcW w:w="200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r>
      <w:tr>
        <w:trPr>
          <w:trHeight w:val="352"/>
        </w:trPr>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Vladimir Shendelman</w:t>
            </w:r>
            <w:r>
              <w:rPr>
                <w:rFonts w:ascii="Times New Roman" w:cs="Times New Roman" w:eastAsia="Times New Roman" w:hAnsi="Times New Roman"/>
                <w:sz w:val="23"/>
                <w:szCs w:val="23"/>
                <w:color w:val="auto"/>
                <w:vertAlign w:val="superscript"/>
              </w:rPr>
              <w:t>(2)</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 2016</w:t>
            </w:r>
          </w:p>
        </w:tc>
        <w:tc>
          <w:tcPr>
            <w:tcW w:w="20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206" w:lineRule="exact"/>
        <w:rPr>
          <w:sz w:val="20"/>
          <w:szCs w:val="20"/>
          <w:color w:val="auto"/>
        </w:rPr>
      </w:pPr>
    </w:p>
    <w:p>
      <w:pPr>
        <w:ind w:left="340" w:right="120" w:hanging="332"/>
        <w:spacing w:after="0" w:line="28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Loan issued to Mr. Barancik was fully repaid (including principal and all accrued interest) on October 11, 2018, prior to which there was $132,156 amount outstanding, with an annual interest rate of 4.75% calculated as the Wall Street Journal Prime Rate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0.50%.</w:t>
      </w:r>
    </w:p>
    <w:p>
      <w:pPr>
        <w:spacing w:after="0" w:line="40"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“Convertible Notes”).</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“2020 Letter Agreements”) with all of the holders of the Convertible Notes (which amended and restated their existing 2019 Letter Agreements), pursuant to which all of the holders (the “Redeeming Holders”) agreed to collectively tender for redemption $150 million aggregate principal amount of their Convertible Notes (such Convertible Notes, the “Redeemed Notes”)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0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of Professional Partner’s Limited Partners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Class A Common Stock</w:t>
      </w:r>
    </w:p>
    <w:p>
      <w:pPr>
        <w:spacing w:after="0" w:line="18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$12.00 per share for a total purchase price of $12.0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ACU Reimbursement Agreement</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PWP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PWP is party to the transition services agreement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of Division and Master Separation Agreement</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PWP separation of the advisory business from the asset management business of PWP OpCo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License Agreement</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8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Internal Restructuring Transaction</w:t>
      </w:r>
    </w:p>
    <w:p>
      <w:pPr>
        <w:spacing w:after="0" w:line="202"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 Agreement, PWP GP has agreed to cause PWP OpCo to consummate such merger. The merger is not expected to affect the respective rights or economic interests of us, PWP GP, any ILP or any limited partner of Professional Partners with respect to PWP OpCo.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a Tax Receivable Agreement with PWP OpCo, Professional Partners and certain other persons party thereto (the “TRA”).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of the Business Combination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w:t>
      </w:r>
    </w:p>
    <w:p>
      <w:pPr>
        <w:spacing w:after="0" w:line="16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440" w:right="379" w:bottom="1440" w:gutter="0" w:footer="0" w:header="0"/>
        </w:sectPr>
      </w:pPr>
    </w:p>
    <w:bookmarkStart w:id="46" w:name="page47"/>
    <w:bookmarkEnd w:id="46"/>
    <w:p>
      <w:pPr>
        <w:spacing w:after="0" w:line="15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 Compensation</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Ivan G. Seidenberg, Jorma Ollila and Jane C. Sherburne, three of PWP’s independent directors, received compensation in connection with their consultant services in 2020. See “Director Compensation” for additional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Paid to Directors</w:t>
      </w:r>
    </w:p>
    <w:p>
      <w:pPr>
        <w:spacing w:after="0" w:line="31" w:lineRule="exact"/>
        <w:rPr>
          <w:sz w:val="20"/>
          <w:szCs w:val="20"/>
          <w:color w:val="auto"/>
        </w:rPr>
      </w:pPr>
    </w:p>
    <w:p>
      <w:pPr>
        <w:ind w:right="160" w:firstLine="324"/>
        <w:spacing w:after="0" w:line="237" w:lineRule="auto"/>
        <w:rPr>
          <w:sz w:val="20"/>
          <w:szCs w:val="20"/>
          <w:color w:val="auto"/>
        </w:rPr>
      </w:pPr>
      <w:r>
        <w:rPr>
          <w:rFonts w:ascii="Times New Roman" w:cs="Times New Roman" w:eastAsia="Times New Roman" w:hAnsi="Times New Roman"/>
          <w:sz w:val="18"/>
          <w:szCs w:val="18"/>
          <w:color w:val="auto"/>
        </w:rPr>
        <w:t>Messrs. Perella and Steel, two of PWP’s employee directors who are not executive officers, received compensation in respect of their service as Working Partners in 2021 in amounts equal to $510,500 and $7,986,867, respectively. For Mr. Steel, (a) $3,467,983 of such reported compensation represents the fair value, calculated in accordance with FASB ASC Topic 718, of equity in Professional Partners delivered to Mr. Steel in connection with the reorganization of Professional Partners in June 2021 prior to the Business Combination, pursuant to which his legacy equity in Professional Partners was cancelled and replaced with a combination of OCUs, VCUs and ACUs, and (b) $1,910,385 of such reported compensation represents the fair value, calculated in accordance with FASB ASC Topic 718, of performance-based RSUs granted under the Transaction Pool to Mr. Steel.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AUDITOR APPOINTMENT</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2022.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are expected to attend the Annual Meeting, will have an opportunity to make a statement if they desire to do so and are expected to be available to respond to appropriate questions.</w:t>
      </w:r>
    </w:p>
    <w:p>
      <w:pPr>
        <w:spacing w:after="0" w:line="158"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our independent registered public accounting firm for the fiscal year ending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aggregate fees billed to the Company for services rendered by Ernst &amp; Young LLP during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351"/>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14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4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right="38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associated with period prior to the Business Combination.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Since our Business Combination, all services performed by Ernst &amp; Young LLP for the Company and its subsidiaries have been pre-approved by the audit committee.</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spacing w:after="0" w:line="1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47"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year ended December 31, 2021 with the Company’s management and Ernst &amp; Young LLP. The audit committee has discussed with the independent auditors the matters required to be discussed by the applicable requirements of the PCAOB and the Securities and Exchange Commission.</w:t>
      </w:r>
    </w:p>
    <w:p>
      <w:pPr>
        <w:spacing w:after="0" w:line="13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spacing w:after="0" w:line="11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such review and discussions, the audit committee recommended to the Company’s board of directors that the financial statements referred to above be included in the Annual Report on Form 10-K for the fiscal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Jorma Ollila (Chair)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Ivan G. Seidenberg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Jane C. Sherburne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80"/>
          </w:cols>
          <w:pgMar w:left="320" w:top="1440" w:right="399" w:bottom="1440" w:gutter="0" w:footer="0" w:header="0"/>
        </w:sectPr>
      </w:pPr>
    </w:p>
    <w:bookmarkStart w:id="49" w:name="page50"/>
    <w:bookmarkEnd w:id="4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Submitting Stockholder Proposals</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presented at the 2023 Annual Meeting of Stockholders (the “2023 Annual Meeting”), pursuant to Exchange Act Rule 14a-8 must be delivered to the Corporate Secretary at our principal executive offices no later than December 9, 2022, in order to be included in the our proxy materials for that meeting. Such proposals must also comply with all applicable provisions of Exchange Act Rule 14a-8 and our bylaws.</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bylaws, stockholder proposals submitted for consideration at any annual meeting of stockholders, but not submitted for inclusion in our proxy materials pursuant to Exchange Act Rule 14a-8, including nominations for candidates for election as directors, must be delivered to our Corporate Secretary at our principal executive offices not less than 90 days or more than 120 days prior to the anniversary of the immediately preceding annual meeting of stockholders. Accordingly, stockholder proposals and nominations under our bylaws must be delivered no earlier than January 24, 2023, and no later than February 23, 2023. However, if the annual meeting occurs more than 25 days before or after this anniversary date, proposals must be delivered no later than the close of business on the tenth day following the earlier of (i) 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spacing w:after="0" w:line="14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Stockholder proposals and nominations must include all required information concerning the stockholder and the proposal or nominee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1023620</wp:posOffset>
            </wp:positionV>
            <wp:extent cx="5572125" cy="7209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1023620</wp:posOffset>
            </wp:positionV>
            <wp:extent cx="5572125" cy="7209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5"/>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13"/>
    </w:lvl>
  </w:abstractNum>
  <w:abstractNum w:abstractNumId="24">
    <w:nsid w:val="189A769B"/>
    <w:multiLevelType w:val="hybridMultilevel"/>
    <w:lvl w:ilvl="0">
      <w:lvlJc w:val="left"/>
      <w:lvlText w:val="(%1)"/>
      <w:numFmt w:val="decimal"/>
      <w:start w:val="18"/>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2022-04-12T15:42:06Z</dcterms:created>
  <dcterms:modified xsi:type="dcterms:W3CDTF">2022-04-12T15:42:06Z</dcterms:modified>
</cp:coreProperties>
</file>