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260" w:type="dxa"/>
            <w:vAlign w:val="bottom"/>
            <w:gridSpan w:val="7"/>
          </w:tcPr>
          <w:p>
            <w:pPr>
              <w:spacing w:after="0"/>
              <w:rPr>
                <w:sz w:val="20"/>
                <w:szCs w:val="20"/>
                <w:color w:val="auto"/>
              </w:rPr>
            </w:pPr>
            <w:r>
              <w:rPr>
                <w:rFonts w:ascii="Arial" w:cs="Arial" w:eastAsia="Arial" w:hAnsi="Arial"/>
                <w:sz w:val="21"/>
                <w:szCs w:val="21"/>
                <w:color w:val="auto"/>
              </w:rPr>
              <w:t>SEC Form 5</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00" w:type="dxa"/>
            <w:vAlign w:val="bottom"/>
            <w:gridSpan w:val="2"/>
          </w:tcPr>
          <w:p>
            <w:pPr>
              <w:ind w:left="480"/>
              <w:spacing w:after="0"/>
              <w:rPr>
                <w:sz w:val="20"/>
                <w:szCs w:val="20"/>
                <w:color w:val="auto"/>
              </w:rPr>
            </w:pPr>
            <w:r>
              <w:rPr>
                <w:rFonts w:ascii="Arial" w:cs="Arial" w:eastAsia="Arial" w:hAnsi="Arial"/>
                <w:sz w:val="23"/>
                <w:szCs w:val="23"/>
                <w:b w:val="1"/>
                <w:bCs w:val="1"/>
                <w:color w:val="auto"/>
              </w:rPr>
              <w:t>FORM 5</w:t>
            </w:r>
          </w:p>
        </w:tc>
        <w:tc>
          <w:tcPr>
            <w:tcW w:w="6400" w:type="dxa"/>
            <w:vAlign w:val="bottom"/>
            <w:gridSpan w:val="11"/>
          </w:tcPr>
          <w:p>
            <w:pPr>
              <w:jc w:val="center"/>
              <w:ind w:right="360"/>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760" w:type="dxa"/>
            <w:vAlign w:val="bottom"/>
            <w:gridSpan w:val="2"/>
            <w:vMerge w:val="restart"/>
          </w:tcPr>
          <w:p>
            <w:pPr>
              <w:jc w:val="center"/>
              <w:ind w:right="400"/>
              <w:spacing w:after="0" w:line="134" w:lineRule="exact"/>
              <w:rPr>
                <w:sz w:val="20"/>
                <w:szCs w:val="20"/>
                <w:color w:val="auto"/>
              </w:rPr>
            </w:pPr>
            <w:r>
              <w:rPr>
                <w:rFonts w:ascii="Arial" w:cs="Arial" w:eastAsia="Arial" w:hAnsi="Arial"/>
                <w:sz w:val="13"/>
                <w:szCs w:val="13"/>
                <w:color w:val="auto"/>
                <w:w w:val="98"/>
              </w:rPr>
              <w:t>Washington, D.C. 20549</w:t>
            </w:r>
          </w:p>
        </w:tc>
        <w:tc>
          <w:tcPr>
            <w:tcW w:w="12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88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2"/>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80" w:type="dxa"/>
            <w:vAlign w:val="bottom"/>
            <w:tcBorders>
              <w:bottom w:val="single" w:sz="8" w:color="808080"/>
            </w:tcBorders>
            <w:gridSpan w:val="2"/>
            <w:vMerge w:val="continue"/>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Borders>
              <w:top w:val="single" w:sz="8" w:color="2C2C2C"/>
              <w:bottom w:val="single" w:sz="8" w:color="2C2C2C"/>
            </w:tcBorders>
            <w:vMerge w:val="restart"/>
          </w:tcPr>
          <w:p>
            <w:pPr>
              <w:spacing w:after="0" w:line="20" w:lineRule="exact"/>
              <w:rPr>
                <w:sz w:val="1"/>
                <w:szCs w:val="1"/>
                <w:color w:val="auto"/>
              </w:rPr>
            </w:pPr>
          </w:p>
        </w:tc>
        <w:tc>
          <w:tcPr>
            <w:tcW w:w="20" w:type="dxa"/>
            <w:vAlign w:val="bottom"/>
            <w:tcBorders>
              <w:top w:val="single" w:sz="8" w:color="2C2C2C"/>
              <w:bottom w:val="single" w:sz="8" w:color="2C2C2C"/>
            </w:tcBorders>
            <w:vMerge w:val="restart"/>
          </w:tcPr>
          <w:p>
            <w:pPr>
              <w:spacing w:after="0" w:line="20" w:lineRule="exact"/>
              <w:rPr>
                <w:sz w:val="1"/>
                <w:szCs w:val="1"/>
                <w:color w:val="auto"/>
              </w:rPr>
            </w:pPr>
          </w:p>
        </w:tc>
        <w:tc>
          <w:tcPr>
            <w:tcW w:w="120" w:type="dxa"/>
            <w:vAlign w:val="bottom"/>
            <w:tcBorders>
              <w:top w:val="single" w:sz="8" w:color="2C2C2C"/>
              <w:bottom w:val="single" w:sz="8" w:color="2C2C2C"/>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gridSpan w:val="2"/>
            <w:vMerge w:val="restart"/>
          </w:tcPr>
          <w:p>
            <w:pPr>
              <w:ind w:left="100"/>
              <w:spacing w:after="0" w:line="65" w:lineRule="exact"/>
              <w:rPr>
                <w:sz w:val="20"/>
                <w:szCs w:val="20"/>
                <w:color w:val="auto"/>
              </w:rPr>
            </w:pPr>
            <w:r>
              <w:rPr>
                <w:rFonts w:ascii="Arial" w:cs="Arial" w:eastAsia="Arial" w:hAnsi="Arial"/>
                <w:sz w:val="7"/>
                <w:szCs w:val="7"/>
                <w:color w:val="auto"/>
              </w:rPr>
              <w:t>Section 16. Form 4 or Form 5</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20" w:type="dxa"/>
            <w:vAlign w:val="bottom"/>
            <w:gridSpan w:val="9"/>
            <w:vMerge w:val="restart"/>
          </w:tcPr>
          <w:p>
            <w:pPr>
              <w:jc w:val="center"/>
              <w:ind w:right="740"/>
              <w:spacing w:after="0" w:line="154" w:lineRule="exact"/>
              <w:rPr>
                <w:sz w:val="20"/>
                <w:szCs w:val="20"/>
                <w:color w:val="auto"/>
              </w:rPr>
            </w:pPr>
            <w:r>
              <w:rPr>
                <w:rFonts w:ascii="Arial" w:cs="Arial" w:eastAsia="Arial" w:hAnsi="Arial"/>
                <w:sz w:val="17"/>
                <w:szCs w:val="17"/>
                <w:b w:val="1"/>
                <w:bCs w:val="1"/>
                <w:color w:val="auto"/>
              </w:rPr>
              <w:t>ANNUAL STATEMENT OF CHANGES IN BENEFICIAL</w:t>
            </w: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gridSpan w:val="6"/>
          </w:tcPr>
          <w:p>
            <w:pPr>
              <w:ind w:left="20"/>
              <w:spacing w:after="0" w:line="109" w:lineRule="exact"/>
              <w:rPr>
                <w:sz w:val="20"/>
                <w:szCs w:val="20"/>
                <w:color w:val="auto"/>
              </w:rPr>
            </w:pPr>
            <w:r>
              <w:rPr>
                <w:rFonts w:ascii="Arial" w:cs="Arial" w:eastAsia="Arial" w:hAnsi="Arial"/>
                <w:sz w:val="12"/>
                <w:szCs w:val="12"/>
                <w:color w:val="0000FF"/>
                <w:highlight w:val="white"/>
                <w:vertAlign w:val="superscript"/>
              </w:rPr>
              <w:t>X</w:t>
            </w:r>
            <w:r>
              <w:rPr>
                <w:rFonts w:ascii="Arial" w:cs="Arial" w:eastAsia="Arial" w:hAnsi="Arial"/>
                <w:sz w:val="7"/>
                <w:szCs w:val="7"/>
                <w:color w:val="auto"/>
              </w:rPr>
              <w:t xml:space="preserve">  obligations may continue. </w:t>
            </w:r>
            <w:r>
              <w:rPr>
                <w:rFonts w:ascii="Arial" w:cs="Arial" w:eastAsia="Arial" w:hAnsi="Arial"/>
                <w:sz w:val="7"/>
                <w:szCs w:val="7"/>
                <w:i w:val="1"/>
                <w:iCs w:val="1"/>
                <w:color w:val="auto"/>
              </w:rPr>
              <w:t>See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20" w:type="dxa"/>
            <w:vAlign w:val="bottom"/>
            <w:gridSpan w:val="9"/>
            <w:vMerge w:val="continue"/>
          </w:tcPr>
          <w:p>
            <w:pPr>
              <w:spacing w:after="0"/>
              <w:rPr>
                <w:sz w:val="11"/>
                <w:szCs w:val="11"/>
                <w:color w:val="auto"/>
              </w:rPr>
            </w:pPr>
          </w:p>
        </w:tc>
        <w:tc>
          <w:tcPr>
            <w:tcW w:w="800" w:type="dxa"/>
            <w:vAlign w:val="bottom"/>
          </w:tcPr>
          <w:p>
            <w:pPr>
              <w:spacing w:after="0" w:line="109" w:lineRule="exact"/>
              <w:rPr>
                <w:sz w:val="20"/>
                <w:szCs w:val="20"/>
                <w:color w:val="auto"/>
              </w:rPr>
            </w:pPr>
            <w:r>
              <w:rPr>
                <w:rFonts w:ascii="Arial" w:cs="Arial" w:eastAsia="Arial" w:hAnsi="Arial"/>
                <w:sz w:val="12"/>
                <w:szCs w:val="12"/>
                <w:color w:val="auto"/>
              </w:rPr>
              <w:t>OMB Number:</w:t>
            </w:r>
          </w:p>
        </w:tc>
        <w:tc>
          <w:tcPr>
            <w:tcW w:w="1120" w:type="dxa"/>
            <w:vAlign w:val="bottom"/>
            <w:gridSpan w:val="2"/>
          </w:tcPr>
          <w:p>
            <w:pPr>
              <w:jc w:val="right"/>
              <w:ind w:right="2"/>
              <w:spacing w:after="0" w:line="109" w:lineRule="exact"/>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Pr>
          <w:p>
            <w:pPr>
              <w:ind w:left="100"/>
              <w:spacing w:after="0" w:line="137" w:lineRule="exact"/>
              <w:rPr>
                <w:sz w:val="20"/>
                <w:szCs w:val="20"/>
                <w:color w:val="auto"/>
              </w:rPr>
            </w:pPr>
            <w:r>
              <w:rPr>
                <w:rFonts w:ascii="Arial" w:cs="Arial" w:eastAsia="Arial" w:hAnsi="Arial"/>
                <w:sz w:val="12"/>
                <w:szCs w:val="12"/>
                <w:color w:val="auto"/>
              </w:rPr>
              <w:t>Instruction 1(b).</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gridSpan w:val="2"/>
            <w:vMerge w:val="restart"/>
          </w:tcPr>
          <w:p>
            <w:pPr>
              <w:jc w:val="center"/>
              <w:ind w:right="400"/>
              <w:spacing w:after="0"/>
              <w:rPr>
                <w:sz w:val="20"/>
                <w:szCs w:val="20"/>
                <w:color w:val="auto"/>
              </w:rPr>
            </w:pPr>
            <w:r>
              <w:rPr>
                <w:rFonts w:ascii="Arial" w:cs="Arial" w:eastAsia="Arial" w:hAnsi="Arial"/>
                <w:sz w:val="21"/>
                <w:szCs w:val="21"/>
                <w:b w:val="1"/>
                <w:bCs w:val="1"/>
                <w:color w:val="auto"/>
                <w:w w:val="98"/>
              </w:rPr>
              <w:t>OWNERSHIP</w:t>
            </w: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gridSpan w:val="5"/>
            <w:vMerge w:val="restart"/>
          </w:tcPr>
          <w:p>
            <w:pPr>
              <w:jc w:val="center"/>
              <w:ind w:left="12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6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7"/>
                <w:szCs w:val="17"/>
                <w:color w:val="0000FF"/>
                <w:highlight w:val="white"/>
              </w:rPr>
              <w:t xml:space="preserve">X  </w:t>
            </w:r>
            <w:r>
              <w:rPr>
                <w:rFonts w:ascii="Arial" w:cs="Arial" w:eastAsia="Arial" w:hAnsi="Arial"/>
                <w:sz w:val="11"/>
                <w:szCs w:val="11"/>
                <w:color w:val="000000"/>
              </w:rPr>
              <w:t>Form 4 Transactions Reported.</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36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500" w:type="dxa"/>
            <w:vAlign w:val="bottom"/>
            <w:gridSpan w:val="6"/>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jc w:val="center"/>
              <w:ind w:right="400"/>
              <w:spacing w:after="0" w:line="96" w:lineRule="exact"/>
              <w:rPr>
                <w:sz w:val="20"/>
                <w:szCs w:val="20"/>
                <w:color w:val="auto"/>
              </w:rPr>
            </w:pPr>
            <w:r>
              <w:rPr>
                <w:rFonts w:ascii="Arial" w:cs="Arial" w:eastAsia="Arial" w:hAnsi="Arial"/>
                <w:sz w:val="11"/>
                <w:szCs w:val="11"/>
                <w:color w:val="auto"/>
              </w:rPr>
              <w:t>or Section 30(h) of the Investment Company Act of 1940</w:t>
            </w: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140" w:type="dxa"/>
            <w:vAlign w:val="bottom"/>
            <w:tcBorders>
              <w:top w:val="single" w:sz="8" w:color="2C2C2C"/>
              <w:bottom w:val="single" w:sz="8" w:color="2C2C2C"/>
            </w:tcBorders>
            <w:gridSpan w:val="2"/>
          </w:tcPr>
          <w:p>
            <w:pPr>
              <w:spacing w:after="0"/>
              <w:rPr>
                <w:sz w:val="6"/>
                <w:szCs w:val="6"/>
                <w:color w:val="auto"/>
              </w:rPr>
            </w:pPr>
          </w:p>
        </w:tc>
        <w:tc>
          <w:tcPr>
            <w:tcW w:w="230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gridSpan w:val="5"/>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6"/>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8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20" w:type="dxa"/>
            <w:vAlign w:val="bottom"/>
            <w:gridSpan w:val="6"/>
            <w:vMerge w:val="restart"/>
          </w:tcPr>
          <w:p>
            <w:pPr>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Cohen Sponsor Interests IV, LLC</w:t>
              </w:r>
            </w:hyperlink>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Perella Weinberg Partners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PWP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300" w:type="dxa"/>
            <w:vAlign w:val="bottom"/>
            <w:gridSpan w:val="3"/>
            <w:vMerge w:val="restart"/>
          </w:tcPr>
          <w:p>
            <w:pPr>
              <w:ind w:left="60"/>
              <w:spacing w:after="0"/>
              <w:rPr>
                <w:sz w:val="20"/>
                <w:szCs w:val="20"/>
                <w:color w:val="auto"/>
              </w:rPr>
            </w:pPr>
            <w:r>
              <w:rPr>
                <w:rFonts w:ascii="Arial" w:cs="Arial" w:eastAsia="Arial" w:hAnsi="Arial"/>
                <w:sz w:val="13"/>
                <w:szCs w:val="13"/>
                <w:color w:val="auto"/>
                <w:w w:val="98"/>
              </w:rPr>
              <w:t>(Check all applicable)</w:t>
            </w: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20" w:type="dxa"/>
            <w:vAlign w:val="bottom"/>
            <w:gridSpan w:val="6"/>
            <w:vMerge w:val="continue"/>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1300" w:type="dxa"/>
            <w:vAlign w:val="bottom"/>
            <w:gridSpan w:val="3"/>
            <w:vMerge w:val="restart"/>
          </w:tcPr>
          <w:p>
            <w:pPr>
              <w:ind w:left="580"/>
              <w:spacing w:after="0"/>
              <w:rPr>
                <w:sz w:val="20"/>
                <w:szCs w:val="20"/>
                <w:color w:val="auto"/>
              </w:rPr>
            </w:pPr>
            <w:r>
              <w:rPr>
                <w:rFonts w:ascii="Arial" w:cs="Arial" w:eastAsia="Arial" w:hAnsi="Arial"/>
                <w:sz w:val="13"/>
                <w:szCs w:val="13"/>
                <w:color w:val="auto"/>
              </w:rPr>
              <w:t>Director</w:t>
            </w:r>
          </w:p>
        </w:tc>
        <w:tc>
          <w:tcPr>
            <w:tcW w:w="800" w:type="dxa"/>
            <w:vAlign w:val="bottom"/>
            <w:vMerge w:val="restart"/>
          </w:tcPr>
          <w:p>
            <w:pPr>
              <w:ind w:left="540"/>
              <w:spacing w:after="0"/>
              <w:rPr>
                <w:sz w:val="20"/>
                <w:szCs w:val="20"/>
                <w:color w:val="auto"/>
              </w:rPr>
            </w:pPr>
            <w:r>
              <w:rPr>
                <w:rFonts w:ascii="Arial" w:cs="Arial" w:eastAsia="Arial" w:hAnsi="Arial"/>
                <w:sz w:val="17"/>
                <w:szCs w:val="17"/>
                <w:color w:val="0000FF"/>
              </w:rPr>
              <w:t>X</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3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100" w:type="dxa"/>
            <w:vAlign w:val="bottom"/>
            <w:gridSpan w:val="4"/>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w w:val="96"/>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2100" w:type="dxa"/>
            <w:vAlign w:val="bottom"/>
            <w:gridSpan w:val="4"/>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gridSpan w:val="3"/>
            <w:vMerge w:val="restart"/>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1300" w:type="dxa"/>
            <w:vAlign w:val="bottom"/>
            <w:gridSpan w:val="3"/>
            <w:vMerge w:val="restart"/>
          </w:tcPr>
          <w:p>
            <w:pPr>
              <w:ind w:left="58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7"/>
                <w:szCs w:val="7"/>
                <w:color w:val="auto"/>
              </w:rPr>
            </w:pP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740" w:type="dxa"/>
            <w:vAlign w:val="bottom"/>
            <w:gridSpan w:val="4"/>
            <w:vMerge w:val="restart"/>
          </w:tcPr>
          <w:p>
            <w:pPr>
              <w:ind w:left="600"/>
              <w:spacing w:after="0" w:line="181" w:lineRule="exact"/>
              <w:rPr>
                <w:sz w:val="20"/>
                <w:szCs w:val="20"/>
                <w:color w:val="auto"/>
              </w:rPr>
            </w:pPr>
            <w:r>
              <w:rPr>
                <w:rFonts w:ascii="Arial" w:cs="Arial" w:eastAsia="Arial" w:hAnsi="Arial"/>
                <w:sz w:val="17"/>
                <w:szCs w:val="17"/>
                <w:color w:val="0000FF"/>
              </w:rPr>
              <w:t>12/31/2021</w:t>
            </w:r>
          </w:p>
        </w:tc>
        <w:tc>
          <w:tcPr>
            <w:tcW w:w="16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740" w:type="dxa"/>
            <w:vAlign w:val="bottom"/>
            <w:gridSpan w:val="4"/>
            <w:vMerge w:val="continue"/>
          </w:tcPr>
          <w:p>
            <w:pPr>
              <w:spacing w:after="0"/>
              <w:rPr>
                <w:sz w:val="6"/>
                <w:szCs w:val="6"/>
                <w:color w:val="auto"/>
              </w:rPr>
            </w:pPr>
          </w:p>
        </w:tc>
        <w:tc>
          <w:tcPr>
            <w:tcW w:w="1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-1576070</wp:posOffset>
            </wp:positionV>
            <wp:extent cx="6993890" cy="10142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890" cy="101428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0000FF"/>
        </w:rPr>
        <w:t>2929 ARCH STREET, SUITE 1703</w:t>
      </w:r>
    </w:p>
    <w:p>
      <w:pPr>
        <w:sectPr>
          <w:pgSz w:w="11900" w:h="16838" w:orient="portrait"/>
          <w:cols w:equalWidth="0" w:num="1">
            <w:col w:w="11080"/>
          </w:cols>
          <w:pgMar w:left="460" w:top="221" w:right="359" w:bottom="0" w:gutter="0" w:footer="0" w:header="0"/>
        </w:sectPr>
      </w:pP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ind w:left="44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400" w:hanging="3820"/>
        <w:spacing w:after="0" w:line="23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ectPr>
          <w:pgSz w:w="11900" w:h="16838" w:orient="portrait"/>
          <w:cols w:equalWidth="0" w:num="2">
            <w:col w:w="7000" w:space="720"/>
            <w:col w:w="33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5"/>
          </w:tcPr>
          <w:p>
            <w:pPr>
              <w:ind w:left="120"/>
              <w:spacing w:after="0"/>
              <w:rPr>
                <w:sz w:val="20"/>
                <w:szCs w:val="20"/>
                <w:color w:val="auto"/>
              </w:rPr>
            </w:pPr>
            <w:r>
              <w:rPr>
                <w:rFonts w:ascii="Arial" w:cs="Arial" w:eastAsia="Arial" w:hAnsi="Arial"/>
                <w:sz w:val="12"/>
                <w:szCs w:val="12"/>
                <w:b w:val="1"/>
                <w:bCs w:val="1"/>
                <w:color w:val="auto"/>
                <w:w w:val="93"/>
              </w:rPr>
              <w:t>2A. Deemed</w:t>
            </w:r>
          </w:p>
        </w:tc>
        <w:tc>
          <w:tcPr>
            <w:tcW w:w="340" w:type="dxa"/>
            <w:vAlign w:val="bottom"/>
          </w:tcPr>
          <w:p>
            <w:pPr>
              <w:spacing w:after="0"/>
              <w:rPr>
                <w:sz w:val="12"/>
                <w:szCs w:val="12"/>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2"/>
                <w:szCs w:val="12"/>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w w:val="99"/>
              </w:rPr>
              <w:t>4. Securities Acquired (A) or Disposed Of</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6"/>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(D) (Instr. 3, 4 and 5)</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20" w:type="dxa"/>
            <w:vAlign w:val="bottom"/>
            <w:gridSpan w:val="6"/>
            <w:vMerge w:val="restart"/>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Owned at end of</w:t>
            </w:r>
          </w:p>
        </w:tc>
        <w:tc>
          <w:tcPr>
            <w:tcW w:w="8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gridSpan w:val="6"/>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Issuer's Fiscal</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2"/>
              </w:rPr>
              <w:t>Amount</w:t>
            </w:r>
          </w:p>
        </w:tc>
        <w:tc>
          <w:tcPr>
            <w:tcW w:w="1020" w:type="dxa"/>
            <w:vAlign w:val="bottom"/>
            <w:gridSpan w:val="2"/>
            <w:vMerge w:val="continue"/>
          </w:tcPr>
          <w:p>
            <w:pPr>
              <w:spacing w:after="0"/>
              <w:rPr>
                <w:sz w:val="5"/>
                <w:szCs w:val="5"/>
                <w:color w:val="auto"/>
              </w:rPr>
            </w:pPr>
          </w:p>
        </w:tc>
        <w:tc>
          <w:tcPr>
            <w:tcW w:w="90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rPr>
              <w:t>Price</w:t>
            </w: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Year (Instr. 3 and</w:t>
            </w: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2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By FinTech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08/09/2021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vMerge w:val="restart"/>
          </w:tcPr>
          <w:p>
            <w:pPr>
              <w:ind w:left="240"/>
              <w:spacing w:after="0" w:line="369" w:lineRule="exact"/>
              <w:rPr>
                <w:sz w:val="20"/>
                <w:szCs w:val="20"/>
                <w:color w:val="auto"/>
              </w:rPr>
            </w:pPr>
            <w:r>
              <w:rPr>
                <w:rFonts w:ascii="Arial" w:cs="Arial" w:eastAsia="Arial" w:hAnsi="Arial"/>
                <w:sz w:val="33"/>
                <w:szCs w:val="33"/>
                <w:color w:val="0000FF"/>
                <w:vertAlign w:val="subscript"/>
              </w:rPr>
              <w:t>D4</w:t>
            </w:r>
            <w:r>
              <w:rPr>
                <w:rFonts w:ascii="Arial" w:cs="Arial" w:eastAsia="Arial" w:hAnsi="Arial"/>
                <w:sz w:val="11"/>
                <w:szCs w:val="11"/>
                <w:color w:val="008000"/>
              </w:rPr>
              <w:t>(2)</w:t>
            </w:r>
          </w:p>
        </w:tc>
        <w:tc>
          <w:tcPr>
            <w:tcW w:w="1180" w:type="dxa"/>
            <w:vAlign w:val="bottom"/>
            <w:gridSpan w:val="2"/>
            <w:vMerge w:val="restart"/>
          </w:tcPr>
          <w:p>
            <w:pPr>
              <w:jc w:val="right"/>
              <w:ind w:right="341"/>
              <w:spacing w:after="0"/>
              <w:rPr>
                <w:sz w:val="20"/>
                <w:szCs w:val="20"/>
                <w:color w:val="auto"/>
              </w:rPr>
            </w:pPr>
            <w:r>
              <w:rPr>
                <w:rFonts w:ascii="Arial" w:cs="Arial" w:eastAsia="Arial" w:hAnsi="Arial"/>
                <w:sz w:val="17"/>
                <w:szCs w:val="17"/>
                <w:color w:val="0000FF"/>
              </w:rPr>
              <w:t>658,196</w:t>
            </w:r>
          </w:p>
        </w:tc>
        <w:tc>
          <w:tcPr>
            <w:tcW w:w="34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17"/>
                <w:szCs w:val="17"/>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60" w:type="dxa"/>
            <w:vAlign w:val="bottom"/>
          </w:tcPr>
          <w:p>
            <w:pPr>
              <w:spacing w:after="0"/>
              <w:rPr>
                <w:sz w:val="17"/>
                <w:szCs w:val="17"/>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3,848,250</w:t>
            </w:r>
          </w:p>
        </w:tc>
        <w:tc>
          <w:tcPr>
            <w:tcW w:w="36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IV, LLC</w:t>
            </w:r>
            <w:r>
              <w:rPr>
                <w:rFonts w:ascii="Arial" w:cs="Arial" w:eastAsia="Arial" w:hAnsi="Arial"/>
                <w:sz w:val="21"/>
                <w:szCs w:val="21"/>
                <w:color w:val="008000"/>
                <w:vertAlign w:val="superscript"/>
              </w:rPr>
              <w:t>(1)</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By FinTech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08/09/2021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vMerge w:val="restart"/>
          </w:tcPr>
          <w:p>
            <w:pPr>
              <w:ind w:left="240"/>
              <w:spacing w:after="0" w:line="369" w:lineRule="exact"/>
              <w:rPr>
                <w:sz w:val="20"/>
                <w:szCs w:val="20"/>
                <w:color w:val="auto"/>
              </w:rPr>
            </w:pPr>
            <w:r>
              <w:rPr>
                <w:rFonts w:ascii="Arial" w:cs="Arial" w:eastAsia="Arial" w:hAnsi="Arial"/>
                <w:sz w:val="33"/>
                <w:szCs w:val="33"/>
                <w:color w:val="0000FF"/>
                <w:vertAlign w:val="subscript"/>
              </w:rPr>
              <w:t>D4</w:t>
            </w:r>
            <w:r>
              <w:rPr>
                <w:rFonts w:ascii="Arial" w:cs="Arial" w:eastAsia="Arial" w:hAnsi="Arial"/>
                <w:sz w:val="11"/>
                <w:szCs w:val="11"/>
                <w:color w:val="008000"/>
              </w:rPr>
              <w:t>(2)</w:t>
            </w:r>
          </w:p>
        </w:tc>
        <w:tc>
          <w:tcPr>
            <w:tcW w:w="1180" w:type="dxa"/>
            <w:vAlign w:val="bottom"/>
            <w:gridSpan w:val="2"/>
            <w:vMerge w:val="restart"/>
          </w:tcPr>
          <w:p>
            <w:pPr>
              <w:jc w:val="right"/>
              <w:ind w:right="341"/>
              <w:spacing w:after="0"/>
              <w:rPr>
                <w:sz w:val="20"/>
                <w:szCs w:val="20"/>
                <w:color w:val="auto"/>
              </w:rPr>
            </w:pPr>
            <w:r>
              <w:rPr>
                <w:rFonts w:ascii="Arial" w:cs="Arial" w:eastAsia="Arial" w:hAnsi="Arial"/>
                <w:sz w:val="17"/>
                <w:szCs w:val="17"/>
                <w:color w:val="0000FF"/>
              </w:rPr>
              <w:t>341,804</w:t>
            </w:r>
          </w:p>
        </w:tc>
        <w:tc>
          <w:tcPr>
            <w:tcW w:w="34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17"/>
                <w:szCs w:val="17"/>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60" w:type="dxa"/>
            <w:vAlign w:val="bottom"/>
          </w:tcPr>
          <w:p>
            <w:pPr>
              <w:spacing w:after="0"/>
              <w:rPr>
                <w:sz w:val="17"/>
                <w:szCs w:val="17"/>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2,608,417</w:t>
            </w:r>
          </w:p>
        </w:tc>
        <w:tc>
          <w:tcPr>
            <w:tcW w:w="36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Investor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20" w:type="dxa"/>
            <w:vAlign w:val="bottom"/>
            <w:gridSpan w:val="18"/>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80" w:type="dxa"/>
            <w:vAlign w:val="bottom"/>
            <w:gridSpan w:val="15"/>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Date</w:t>
            </w:r>
          </w:p>
        </w:tc>
        <w:tc>
          <w:tcPr>
            <w:tcW w:w="50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gridSpan w:val="5"/>
            <w:vMerge w:val="restart"/>
          </w:tcPr>
          <w:p>
            <w:pPr>
              <w:ind w:left="220"/>
              <w:spacing w:after="0" w:line="218"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(3)</w:t>
            </w: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(3)</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60"/>
              <w:spacing w:after="0" w:line="142" w:lineRule="exact"/>
              <w:rPr>
                <w:sz w:val="20"/>
                <w:szCs w:val="20"/>
                <w:color w:val="auto"/>
              </w:rPr>
            </w:pPr>
            <w:r>
              <w:rPr>
                <w:rFonts w:ascii="Arial" w:cs="Arial" w:eastAsia="Arial" w:hAnsi="Arial"/>
                <w:sz w:val="13"/>
                <w:szCs w:val="13"/>
                <w:color w:val="0000FF"/>
              </w:rPr>
              <w:t>Investor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Warrants</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11.5</w:t>
            </w:r>
          </w:p>
        </w:tc>
        <w:tc>
          <w:tcPr>
            <w:tcW w:w="1120" w:type="dxa"/>
            <w:vAlign w:val="bottom"/>
            <w:gridSpan w:val="2"/>
            <w:vMerge w:val="restart"/>
          </w:tcPr>
          <w:p>
            <w:pPr>
              <w:ind w:left="260"/>
              <w:spacing w:after="0" w:line="142" w:lineRule="exact"/>
              <w:rPr>
                <w:sz w:val="20"/>
                <w:szCs w:val="20"/>
                <w:color w:val="auto"/>
              </w:rPr>
            </w:pPr>
            <w:r>
              <w:rPr>
                <w:rFonts w:ascii="Arial" w:cs="Arial" w:eastAsia="Arial" w:hAnsi="Arial"/>
                <w:sz w:val="13"/>
                <w:szCs w:val="13"/>
                <w:color w:val="0000FF"/>
              </w:rPr>
              <w:t>06/24/2021</w:t>
            </w: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5"/>
            <w:vMerge w:val="continue"/>
          </w:tcPr>
          <w:p>
            <w:pPr>
              <w:spacing w:after="0"/>
              <w:rPr>
                <w:sz w:val="5"/>
                <w:szCs w:val="5"/>
                <w:color w:val="auto"/>
              </w:rPr>
            </w:pPr>
          </w:p>
        </w:tc>
        <w:tc>
          <w:tcPr>
            <w:tcW w:w="80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rPr>
              <w:t>203,333</w:t>
            </w:r>
          </w:p>
        </w:tc>
        <w:tc>
          <w:tcPr>
            <w:tcW w:w="840" w:type="dxa"/>
            <w:vAlign w:val="bottom"/>
            <w:gridSpan w:val="2"/>
            <w:vMerge w:val="restart"/>
          </w:tcPr>
          <w:p>
            <w:pPr>
              <w:ind w:left="100"/>
              <w:spacing w:after="0" w:line="142" w:lineRule="exact"/>
              <w:rPr>
                <w:sz w:val="20"/>
                <w:szCs w:val="20"/>
                <w:color w:val="auto"/>
              </w:rPr>
            </w:pPr>
            <w:r>
              <w:rPr>
                <w:rFonts w:ascii="Arial" w:cs="Arial" w:eastAsia="Arial" w:hAnsi="Arial"/>
                <w:sz w:val="13"/>
                <w:szCs w:val="13"/>
                <w:color w:val="0000FF"/>
              </w:rPr>
              <w:t>09/29/2021</w:t>
            </w:r>
          </w:p>
        </w:tc>
        <w:tc>
          <w:tcPr>
            <w:tcW w:w="680" w:type="dxa"/>
            <w:vAlign w:val="bottom"/>
            <w:vMerge w:val="restart"/>
          </w:tcPr>
          <w:p>
            <w:pPr>
              <w:spacing w:after="0" w:line="142" w:lineRule="exact"/>
              <w:rPr>
                <w:sz w:val="20"/>
                <w:szCs w:val="20"/>
                <w:color w:val="auto"/>
              </w:rPr>
            </w:pPr>
            <w:r>
              <w:rPr>
                <w:rFonts w:ascii="Arial" w:cs="Arial" w:eastAsia="Arial" w:hAnsi="Arial"/>
                <w:sz w:val="13"/>
                <w:szCs w:val="13"/>
                <w:color w:val="0000FF"/>
              </w:rPr>
              <w:t>06/24/2026</w:t>
            </w:r>
          </w:p>
        </w:tc>
        <w:tc>
          <w:tcPr>
            <w:tcW w:w="6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203,333</w:t>
            </w: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restart"/>
          </w:tcPr>
          <w:p>
            <w:pPr>
              <w:ind w:left="180"/>
              <w:spacing w:after="0" w:line="142" w:lineRule="exact"/>
              <w:rPr>
                <w:sz w:val="20"/>
                <w:szCs w:val="20"/>
                <w:color w:val="auto"/>
              </w:rPr>
            </w:pPr>
            <w:r>
              <w:rPr>
                <w:rFonts w:ascii="Arial" w:cs="Arial" w:eastAsia="Arial" w:hAnsi="Arial"/>
                <w:sz w:val="13"/>
                <w:szCs w:val="13"/>
                <w:color w:val="0000FF"/>
              </w:rPr>
              <w:t>203,333</w:t>
            </w:r>
          </w:p>
        </w:tc>
        <w:tc>
          <w:tcPr>
            <w:tcW w:w="4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gridSpan w:val="5"/>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60"/>
              <w:spacing w:after="0" w:line="137" w:lineRule="exact"/>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60"/>
              <w:spacing w:after="0" w:line="232"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right w:val="single" w:sz="8" w:color="2C2C2C"/>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6"/>
          </w:tcPr>
          <w:p>
            <w:pPr>
              <w:ind w:left="60"/>
              <w:spacing w:after="0" w:line="235"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gridSpan w:val="6"/>
          </w:tcPr>
          <w:p>
            <w:pPr>
              <w:spacing w:after="0" w:line="214" w:lineRule="exact"/>
              <w:rPr>
                <w:rFonts w:ascii="Arial" w:cs="Arial" w:eastAsia="Arial" w:hAnsi="Arial"/>
                <w:sz w:val="21"/>
                <w:szCs w:val="21"/>
                <w:color w:val="0000EE"/>
              </w:rPr>
            </w:pPr>
            <w:hyperlink r:id="rId8">
              <w:r>
                <w:rPr>
                  <w:rFonts w:ascii="Arial" w:cs="Arial" w:eastAsia="Arial" w:hAnsi="Arial"/>
                  <w:sz w:val="21"/>
                  <w:szCs w:val="21"/>
                  <w:color w:val="0000EE"/>
                </w:rPr>
                <w:t>Cohen Sponsor Interests IV, LLC</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4"/>
          </w:tcPr>
          <w:p>
            <w:pPr>
              <w:spacing w:after="0"/>
              <w:rPr>
                <w:sz w:val="20"/>
                <w:szCs w:val="20"/>
                <w:color w:val="auto"/>
              </w:rPr>
            </w:pPr>
            <w:r>
              <w:rPr>
                <w:rFonts w:ascii="Arial" w:cs="Arial" w:eastAsia="Arial" w:hAnsi="Arial"/>
                <w:sz w:val="17"/>
                <w:szCs w:val="17"/>
                <w:color w:val="0000FF"/>
                <w:w w:val="92"/>
              </w:rPr>
              <w:t>2929 ARCH STREET, SUITE 1703</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0000FF"/>
              </w:rPr>
              <w:t>PHILADELPHIA</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PA</w:t>
            </w:r>
          </w:p>
        </w:tc>
        <w:tc>
          <w:tcPr>
            <w:tcW w:w="1120" w:type="dxa"/>
            <w:vAlign w:val="bottom"/>
            <w:gridSpan w:val="2"/>
          </w:tcPr>
          <w:p>
            <w:pPr>
              <w:ind w:left="340"/>
              <w:spacing w:after="0"/>
              <w:rPr>
                <w:sz w:val="20"/>
                <w:szCs w:val="20"/>
                <w:color w:val="auto"/>
              </w:rPr>
            </w:pPr>
            <w:r>
              <w:rPr>
                <w:rFonts w:ascii="Arial" w:cs="Arial" w:eastAsia="Arial" w:hAnsi="Arial"/>
                <w:sz w:val="17"/>
                <w:szCs w:val="17"/>
                <w:color w:val="0000FF"/>
              </w:rPr>
              <w:t>19104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4"/>
          </w:tcPr>
          <w:p>
            <w:pPr>
              <w:spacing w:after="0" w:line="214" w:lineRule="exact"/>
              <w:rPr>
                <w:rFonts w:ascii="Arial" w:cs="Arial" w:eastAsia="Arial" w:hAnsi="Arial"/>
                <w:sz w:val="21"/>
                <w:szCs w:val="21"/>
                <w:color w:val="0000EE"/>
              </w:rPr>
            </w:pPr>
            <w:hyperlink r:id="rId11">
              <w:r>
                <w:rPr>
                  <w:rFonts w:ascii="Arial" w:cs="Arial" w:eastAsia="Arial" w:hAnsi="Arial"/>
                  <w:sz w:val="21"/>
                  <w:szCs w:val="21"/>
                  <w:color w:val="0000EE"/>
                </w:rPr>
                <w:t>FinTech Masala, LLC</w:t>
              </w:r>
            </w:hyperlink>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4"/>
          </w:tcPr>
          <w:p>
            <w:pPr>
              <w:spacing w:after="0"/>
              <w:rPr>
                <w:sz w:val="20"/>
                <w:szCs w:val="20"/>
                <w:color w:val="auto"/>
              </w:rPr>
            </w:pPr>
            <w:r>
              <w:rPr>
                <w:rFonts w:ascii="Arial" w:cs="Arial" w:eastAsia="Arial" w:hAnsi="Arial"/>
                <w:sz w:val="17"/>
                <w:szCs w:val="17"/>
                <w:color w:val="0000FF"/>
                <w:w w:val="92"/>
              </w:rPr>
              <w:t>2929 ARCH STREET, SUITE 1703</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0000FF"/>
              </w:rPr>
              <w:t>PHILADELPHIA</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PA</w:t>
            </w:r>
          </w:p>
        </w:tc>
        <w:tc>
          <w:tcPr>
            <w:tcW w:w="1120" w:type="dxa"/>
            <w:vAlign w:val="bottom"/>
            <w:gridSpan w:val="2"/>
          </w:tcPr>
          <w:p>
            <w:pPr>
              <w:ind w:left="340"/>
              <w:spacing w:after="0"/>
              <w:rPr>
                <w:sz w:val="20"/>
                <w:szCs w:val="20"/>
                <w:color w:val="auto"/>
              </w:rPr>
            </w:pPr>
            <w:r>
              <w:rPr>
                <w:rFonts w:ascii="Arial" w:cs="Arial" w:eastAsia="Arial" w:hAnsi="Arial"/>
                <w:sz w:val="17"/>
                <w:szCs w:val="17"/>
                <w:color w:val="0000FF"/>
              </w:rPr>
              <w:t>19104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-5085080</wp:posOffset>
            </wp:positionV>
            <wp:extent cx="29210" cy="1953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29210" cy="1953260"/>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21" w:right="359" w:bottom="0" w:gutter="0" w:footer="0" w:header="0"/>
          <w:type w:val="continuous"/>
        </w:sectPr>
      </w:pPr>
    </w:p>
    <w:p>
      <w:pPr>
        <w:ind w:left="120"/>
        <w:spacing w:after="0"/>
        <w:rPr>
          <w:rFonts w:ascii="Arial" w:cs="Arial" w:eastAsia="Arial" w:hAnsi="Arial"/>
          <w:sz w:val="19"/>
          <w:szCs w:val="19"/>
          <w:u w:val="single" w:color="auto"/>
          <w:color w:val="0000EE"/>
        </w:rPr>
      </w:pPr>
      <w:hyperlink r:id="rId13">
        <w:r>
          <w:rPr>
            <w:rFonts w:ascii="Arial" w:cs="Arial" w:eastAsia="Arial" w:hAnsi="Arial"/>
            <w:sz w:val="19"/>
            <w:szCs w:val="19"/>
            <w:u w:val="single" w:color="auto"/>
            <w:color w:val="0000EE"/>
          </w:rPr>
          <w:t>FinTech Masala Holdings, LLC</w:t>
        </w:r>
      </w:hyperlink>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Arial" w:cs="Arial" w:eastAsia="Arial" w:hAnsi="Arial"/>
                <w:sz w:val="17"/>
                <w:szCs w:val="17"/>
                <w:color w:val="0000FF"/>
                <w:w w:val="97"/>
              </w:rPr>
              <w:t>2929 ARCH STREET, SUITE 1703</w:t>
            </w:r>
          </w:p>
        </w:tc>
        <w:tc>
          <w:tcPr>
            <w:tcW w:w="156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7"/>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Arial" w:cs="Arial" w:eastAsia="Arial" w:hAnsi="Arial"/>
                <w:sz w:val="17"/>
                <w:szCs w:val="17"/>
                <w:color w:val="0000FF"/>
              </w:rPr>
              <w:t>PHILADELPHIA</w:t>
            </w:r>
          </w:p>
        </w:tc>
        <w:tc>
          <w:tcPr>
            <w:tcW w:w="1300" w:type="dxa"/>
            <w:vAlign w:val="bottom"/>
          </w:tcPr>
          <w:p>
            <w:pPr>
              <w:ind w:left="100"/>
              <w:spacing w:after="0"/>
              <w:rPr>
                <w:sz w:val="20"/>
                <w:szCs w:val="20"/>
                <w:color w:val="auto"/>
              </w:rPr>
            </w:pPr>
            <w:r>
              <w:rPr>
                <w:rFonts w:ascii="Arial" w:cs="Arial" w:eastAsia="Arial" w:hAnsi="Arial"/>
                <w:sz w:val="17"/>
                <w:szCs w:val="17"/>
                <w:color w:val="0000FF"/>
              </w:rPr>
              <w:t>PA</w:t>
            </w:r>
          </w:p>
        </w:tc>
        <w:tc>
          <w:tcPr>
            <w:tcW w:w="1560" w:type="dxa"/>
            <w:vAlign w:val="bottom"/>
          </w:tcPr>
          <w:p>
            <w:pPr>
              <w:ind w:left="20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(City)</w:t>
            </w:r>
          </w:p>
        </w:tc>
        <w:tc>
          <w:tcPr>
            <w:tcW w:w="1300" w:type="dxa"/>
            <w:vAlign w:val="bottom"/>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1145" cy="1196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811145" cy="1196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right="380" w:firstLine="2"/>
        <w:spacing w:after="0" w:line="238" w:lineRule="auto"/>
        <w:tabs>
          <w:tab w:leader="none" w:pos="1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FinTech Masala Advisors IV, LLC ("Masala"), each of which is managed by Cohen Sponsor Interests IV, LLC ("Manager"). FinTech Masala, LLC ("Masala LLC") is the sole member of Manager. FinTech Masala Holdings, LLC ("Masala Holdings") is the sole member of Masala LLC. As a result, each of Manager, Masala LLC, and Masala Holdings shares voting and investment power over the shares held directly by Holdings and Masala.</w:t>
      </w:r>
    </w:p>
    <w:p>
      <w:pPr>
        <w:spacing w:after="0" w:line="31" w:lineRule="exact"/>
        <w:rPr>
          <w:rFonts w:ascii="Arial" w:cs="Arial" w:eastAsia="Arial" w:hAnsi="Arial"/>
          <w:sz w:val="13"/>
          <w:szCs w:val="13"/>
          <w:color w:val="008000"/>
        </w:rPr>
      </w:pPr>
    </w:p>
    <w:p>
      <w:pPr>
        <w:ind w:left="140" w:hanging="138"/>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August 9, 2021, the Issuer repurchased an aggregate of 1,000,000 shares of Class A common stock ("Shares"), including 658,196 Shares from Masala and 341,804 Shares from Holdings pursuant to Section</w:t>
      </w:r>
    </w:p>
    <w:p>
      <w:pPr>
        <w:spacing w:after="0" w:line="25" w:lineRule="exact"/>
        <w:rPr>
          <w:rFonts w:ascii="Arial" w:cs="Arial" w:eastAsia="Arial" w:hAnsi="Arial"/>
          <w:sz w:val="11"/>
          <w:szCs w:val="11"/>
          <w:color w:val="008000"/>
        </w:rPr>
      </w:pPr>
    </w:p>
    <w:p>
      <w:pPr>
        <w:ind w:right="40"/>
        <w:spacing w:after="0" w:line="236" w:lineRule="auto"/>
        <w:rPr>
          <w:rFonts w:ascii="Arial" w:cs="Arial" w:eastAsia="Arial" w:hAnsi="Arial"/>
          <w:sz w:val="11"/>
          <w:szCs w:val="11"/>
          <w:color w:val="008000"/>
        </w:rPr>
      </w:pPr>
      <w:r>
        <w:rPr>
          <w:rFonts w:ascii="Arial" w:cs="Arial" w:eastAsia="Arial" w:hAnsi="Arial"/>
          <w:sz w:val="13"/>
          <w:szCs w:val="13"/>
          <w:color w:val="008000"/>
        </w:rPr>
        <w:t>1.3(a) of that certain Sponsor Share Surrender and Share Restriction Agreement (the "Sponsor Share Surrender Agreement"), dated as of December 29, 2020 and amended as of May 4, 2021, by and among PWP Holdings LP, a Delaware limited partnership ("PWP"), the Issuer, Masala, Holdings and the other parties thereto.</w:t>
      </w:r>
    </w:p>
    <w:p>
      <w:pPr>
        <w:spacing w:after="0" w:line="30" w:lineRule="exact"/>
        <w:rPr>
          <w:rFonts w:ascii="Arial" w:cs="Arial" w:eastAsia="Arial" w:hAnsi="Arial"/>
          <w:sz w:val="11"/>
          <w:szCs w:val="11"/>
          <w:color w:val="008000"/>
        </w:rPr>
      </w:pPr>
    </w:p>
    <w:p>
      <w:pPr>
        <w:ind w:left="140" w:hanging="138"/>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to purchase shares of Class A Common Stock of the Issuer became exercisable on the one-year anniversary of the Issuer's initial public offering.</w:t>
      </w:r>
    </w:p>
    <w:p>
      <w:pPr>
        <w:spacing w:after="0" w:line="1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/s/ Amanda Abrams, Attorney-</w:t>
      </w:r>
      <w:r>
        <w:rPr>
          <w:sz w:val="20"/>
          <w:szCs w:val="20"/>
          <w:color w:val="auto"/>
        </w:rPr>
        <w:tab/>
      </w:r>
      <w:r>
        <w:rPr>
          <w:rFonts w:ascii="Arial" w:cs="Arial" w:eastAsia="Arial" w:hAnsi="Arial"/>
          <w:sz w:val="22"/>
          <w:szCs w:val="22"/>
          <w:color w:val="0000FF"/>
          <w:vertAlign w:val="subscript"/>
        </w:rPr>
        <w:t>01/11/2022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1315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-20955</wp:posOffset>
            </wp:positionV>
            <wp:extent cx="300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-86360</wp:posOffset>
            </wp:positionV>
            <wp:extent cx="480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2"/>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30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2"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8" Type="http://schemas.openxmlformats.org/officeDocument/2006/relationships/hyperlink" Target="http://www.sec.gov/cgi-bin/browse-edgar?action=getcompany&amp;CIK=0001777829" TargetMode="External"/><Relationship Id="rId9" Type="http://schemas.openxmlformats.org/officeDocument/2006/relationships/hyperlink" Target="http://www.sec.gov/cgi-bin/browse-edgar?action=getcompany&amp;CIK=0001777835" TargetMode="External"/><Relationship Id="rId11" Type="http://schemas.openxmlformats.org/officeDocument/2006/relationships/hyperlink" Target="http://www.sec.gov/cgi-bin/browse-edgar?action=getcompany&amp;CIK=0001768156" TargetMode="External"/><Relationship Id="rId13" Type="http://schemas.openxmlformats.org/officeDocument/2006/relationships/hyperlink" Target="http://www.sec.gov/cgi-bin/browse-edgar?action=getcompany&amp;CIK=00017681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2022-01-11T19:24:49Z</dcterms:created>
  <dcterms:modified xsi:type="dcterms:W3CDTF">2022-01-11T19:24:49Z</dcterms:modified>
</cp:coreProperties>
</file>