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69005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00545"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620395</wp:posOffset>
            </wp:positionV>
            <wp:extent cx="690054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00545" cy="17145"/>
                    </a:xfrm>
                    <a:prstGeom prst="rect">
                      <a:avLst/>
                    </a:prstGeom>
                    <a:noFill/>
                  </pic:spPr>
                </pic:pic>
              </a:graphicData>
            </a:graphic>
          </wp:anchor>
        </w:drawing>
        <w:t>UNITED STATES</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73025</wp:posOffset>
            </wp:positionV>
            <wp:extent cx="61804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121285</wp:posOffset>
            </wp:positionV>
            <wp:extent cx="61804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3"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3, 2022</w:t>
      </w:r>
    </w:p>
    <w:p>
      <w:pPr>
        <w:spacing w:after="0" w:line="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001-39558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136525</wp:posOffset>
            </wp:positionV>
            <wp:extent cx="61804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PERELLA WEINBERG PARTNERS</w:t>
      </w: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79375</wp:posOffset>
            </wp:positionV>
            <wp:extent cx="61804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tbl>
      <w:tblPr>
        <w:tblLayout w:type="fixed"/>
        <w:tblInd w:w="1020" w:type="dxa"/>
        <w:tblCellMar>
          <w:top w:w="0" w:type="dxa"/>
          <w:left w:w="0" w:type="dxa"/>
          <w:bottom w:w="0" w:type="dxa"/>
          <w:right w:w="0" w:type="dxa"/>
        </w:tblCellMar>
      </w:tblPr>
      <w:tr>
        <w:trPr>
          <w:trHeight w:val="232"/>
        </w:trPr>
        <w:tc>
          <w:tcPr>
            <w:tcW w:w="4800" w:type="dxa"/>
            <w:vAlign w:val="bottom"/>
          </w:tcPr>
          <w:p>
            <w:pPr>
              <w:jc w:val="center"/>
              <w:ind w:right="1421"/>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420" w:type="dxa"/>
            <w:vAlign w:val="bottom"/>
          </w:tcPr>
          <w:p>
            <w:pPr>
              <w:jc w:val="right"/>
              <w:ind w:right="444"/>
              <w:spacing w:after="0"/>
              <w:rPr>
                <w:sz w:val="20"/>
                <w:szCs w:val="20"/>
                <w:color w:val="auto"/>
              </w:rPr>
            </w:pPr>
            <w:r>
              <w:rPr>
                <w:rFonts w:ascii="Times New Roman" w:cs="Times New Roman" w:eastAsia="Times New Roman" w:hAnsi="Times New Roman"/>
                <w:sz w:val="18"/>
                <w:szCs w:val="18"/>
                <w:b w:val="1"/>
                <w:bCs w:val="1"/>
                <w:color w:val="auto"/>
              </w:rPr>
              <w:t>84-1770732</w:t>
            </w:r>
          </w:p>
        </w:tc>
        <w:tc>
          <w:tcPr>
            <w:tcW w:w="0" w:type="dxa"/>
            <w:vAlign w:val="bottom"/>
          </w:tcPr>
          <w:p>
            <w:pPr>
              <w:spacing w:after="0"/>
              <w:rPr>
                <w:sz w:val="1"/>
                <w:szCs w:val="1"/>
                <w:color w:val="auto"/>
              </w:rPr>
            </w:pPr>
          </w:p>
        </w:tc>
      </w:tr>
      <w:tr>
        <w:trPr>
          <w:trHeight w:val="180"/>
        </w:trPr>
        <w:tc>
          <w:tcPr>
            <w:tcW w:w="4800" w:type="dxa"/>
            <w:vAlign w:val="bottom"/>
          </w:tcPr>
          <w:p>
            <w:pPr>
              <w:jc w:val="center"/>
              <w:ind w:right="1441"/>
              <w:spacing w:after="0"/>
              <w:rPr>
                <w:sz w:val="20"/>
                <w:szCs w:val="20"/>
                <w:color w:val="auto"/>
              </w:rPr>
            </w:pPr>
            <w:r>
              <w:rPr>
                <w:rFonts w:ascii="Times New Roman" w:cs="Times New Roman" w:eastAsia="Times New Roman" w:hAnsi="Times New Roman"/>
                <w:sz w:val="13"/>
                <w:szCs w:val="13"/>
                <w:b w:val="1"/>
                <w:bCs w:val="1"/>
                <w:color w:val="auto"/>
                <w:w w:val="96"/>
              </w:rPr>
              <w:t>( State or other jurisdiction of incorporation or organization)</w:t>
            </w:r>
          </w:p>
        </w:tc>
        <w:tc>
          <w:tcPr>
            <w:tcW w:w="3420" w:type="dxa"/>
            <w:vAlign w:val="bottom"/>
          </w:tcPr>
          <w:p>
            <w:pPr>
              <w:jc w:val="center"/>
              <w:ind w:left="1424"/>
              <w:spacing w:after="0"/>
              <w:rPr>
                <w:sz w:val="20"/>
                <w:szCs w:val="20"/>
                <w:color w:val="auto"/>
              </w:rPr>
            </w:pPr>
            <w:r>
              <w:rPr>
                <w:rFonts w:ascii="Times New Roman" w:cs="Times New Roman" w:eastAsia="Times New Roman" w:hAnsi="Times New Roman"/>
                <w:sz w:val="13"/>
                <w:szCs w:val="13"/>
                <w:b w:val="1"/>
                <w:bCs w:val="1"/>
                <w:color w:val="auto"/>
                <w:w w:val="96"/>
              </w:rPr>
              <w:t>(I.R.S. Employer Identification No.)</w:t>
            </w:r>
          </w:p>
        </w:tc>
        <w:tc>
          <w:tcPr>
            <w:tcW w:w="0" w:type="dxa"/>
            <w:vAlign w:val="bottom"/>
          </w:tcPr>
          <w:p>
            <w:pPr>
              <w:spacing w:after="0"/>
              <w:rPr>
                <w:sz w:val="1"/>
                <w:szCs w:val="1"/>
                <w:color w:val="auto"/>
              </w:rPr>
            </w:pPr>
          </w:p>
        </w:tc>
      </w:tr>
      <w:tr>
        <w:trPr>
          <w:trHeight w:val="259"/>
        </w:trPr>
        <w:tc>
          <w:tcPr>
            <w:tcW w:w="4800" w:type="dxa"/>
            <w:vAlign w:val="bottom"/>
          </w:tcPr>
          <w:p>
            <w:pPr>
              <w:jc w:val="center"/>
              <w:ind w:right="1421"/>
              <w:spacing w:after="0"/>
              <w:rPr>
                <w:sz w:val="20"/>
                <w:szCs w:val="20"/>
                <w:color w:val="auto"/>
              </w:rPr>
            </w:pPr>
            <w:r>
              <w:rPr>
                <w:rFonts w:ascii="Times New Roman" w:cs="Times New Roman" w:eastAsia="Times New Roman" w:hAnsi="Times New Roman"/>
                <w:sz w:val="18"/>
                <w:szCs w:val="18"/>
                <w:b w:val="1"/>
                <w:bCs w:val="1"/>
                <w:color w:val="auto"/>
                <w:w w:val="98"/>
              </w:rPr>
              <w:t>767 Fifth Avenue</w:t>
            </w:r>
          </w:p>
        </w:tc>
        <w:tc>
          <w:tcPr>
            <w:tcW w:w="3420" w:type="dxa"/>
            <w:vAlign w:val="bottom"/>
            <w:vMerge w:val="restart"/>
          </w:tcPr>
          <w:p>
            <w:pPr>
              <w:jc w:val="right"/>
              <w:ind w:right="664"/>
              <w:spacing w:after="0"/>
              <w:rPr>
                <w:sz w:val="20"/>
                <w:szCs w:val="20"/>
                <w:color w:val="auto"/>
              </w:rPr>
            </w:pPr>
            <w:r>
              <w:rPr>
                <w:rFonts w:ascii="Times New Roman" w:cs="Times New Roman" w:eastAsia="Times New Roman" w:hAnsi="Times New Roman"/>
                <w:sz w:val="18"/>
                <w:szCs w:val="18"/>
                <w:b w:val="1"/>
                <w:bCs w:val="1"/>
                <w:color w:val="auto"/>
              </w:rPr>
              <w:t>10153</w:t>
            </w:r>
          </w:p>
        </w:tc>
        <w:tc>
          <w:tcPr>
            <w:tcW w:w="0" w:type="dxa"/>
            <w:vAlign w:val="bottom"/>
          </w:tcPr>
          <w:p>
            <w:pPr>
              <w:spacing w:after="0"/>
              <w:rPr>
                <w:sz w:val="1"/>
                <w:szCs w:val="1"/>
                <w:color w:val="auto"/>
              </w:rPr>
            </w:pPr>
          </w:p>
        </w:tc>
      </w:tr>
      <w:tr>
        <w:trPr>
          <w:trHeight w:val="236"/>
        </w:trPr>
        <w:tc>
          <w:tcPr>
            <w:tcW w:w="4800" w:type="dxa"/>
            <w:vAlign w:val="bottom"/>
          </w:tcPr>
          <w:p>
            <w:pPr>
              <w:jc w:val="center"/>
              <w:ind w:right="1421"/>
              <w:spacing w:after="0"/>
              <w:rPr>
                <w:sz w:val="20"/>
                <w:szCs w:val="20"/>
                <w:color w:val="auto"/>
              </w:rPr>
            </w:pPr>
            <w:r>
              <w:rPr>
                <w:rFonts w:ascii="Times New Roman" w:cs="Times New Roman" w:eastAsia="Times New Roman" w:hAnsi="Times New Roman"/>
                <w:sz w:val="18"/>
                <w:szCs w:val="18"/>
                <w:b w:val="1"/>
                <w:bCs w:val="1"/>
                <w:color w:val="auto"/>
                <w:w w:val="96"/>
              </w:rPr>
              <w:t>New York, NY</w:t>
            </w:r>
          </w:p>
        </w:tc>
        <w:tc>
          <w:tcPr>
            <w:tcW w:w="3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4800" w:type="dxa"/>
            <w:vAlign w:val="bottom"/>
          </w:tcPr>
          <w:p>
            <w:pPr>
              <w:jc w:val="center"/>
              <w:ind w:right="1441"/>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420" w:type="dxa"/>
            <w:vAlign w:val="bottom"/>
          </w:tcPr>
          <w:p>
            <w:pPr>
              <w:jc w:val="center"/>
              <w:ind w:left="1444"/>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bl>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287-3200</w:t>
      </w:r>
    </w:p>
    <w:p>
      <w:pPr>
        <w:spacing w:after="0" w:line="3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3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620" w:type="dxa"/>
            <w:vAlign w:val="bottom"/>
          </w:tcPr>
          <w:p>
            <w:pPr>
              <w:spacing w:after="0"/>
              <w:rPr>
                <w:sz w:val="18"/>
                <w:szCs w:val="18"/>
                <w:color w:val="auto"/>
              </w:rPr>
            </w:pPr>
          </w:p>
        </w:tc>
        <w:tc>
          <w:tcPr>
            <w:tcW w:w="402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600" w:type="dxa"/>
            <w:vAlign w:val="bottom"/>
          </w:tcPr>
          <w:p>
            <w:pPr>
              <w:spacing w:after="0"/>
              <w:rPr>
                <w:sz w:val="18"/>
                <w:szCs w:val="18"/>
                <w:color w:val="auto"/>
              </w:rPr>
            </w:pPr>
          </w:p>
        </w:tc>
      </w:tr>
      <w:tr>
        <w:trPr>
          <w:trHeight w:val="462"/>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Class A Common Stock, par value $0.0001 per share</w:t>
            </w:r>
          </w:p>
        </w:tc>
        <w:tc>
          <w:tcPr>
            <w:tcW w:w="18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PWP</w:t>
            </w:r>
          </w:p>
        </w:tc>
        <w:tc>
          <w:tcPr>
            <w:tcW w:w="140" w:type="dxa"/>
            <w:vAlign w:val="bottom"/>
          </w:tcPr>
          <w:p>
            <w:pPr>
              <w:spacing w:after="0"/>
              <w:rPr>
                <w:sz w:val="17"/>
                <w:szCs w:val="17"/>
                <w:color w:val="auto"/>
              </w:rPr>
            </w:pPr>
          </w:p>
        </w:tc>
        <w:tc>
          <w:tcPr>
            <w:tcW w:w="3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325" w:lineRule="exact"/>
        <w:rPr>
          <w:sz w:val="24"/>
          <w:szCs w:val="24"/>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7700"/>
        <w:spacing w:after="0" w:line="207" w:lineRule="exact"/>
        <w:tabs>
          <w:tab w:leader="none" w:pos="109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12"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746760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wp:posOffset>
            </wp:positionV>
            <wp:extent cx="69005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005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48260</wp:posOffset>
            </wp:positionV>
            <wp:extent cx="69005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00545" cy="8890"/>
                    </a:xfrm>
                    <a:prstGeom prst="rect">
                      <a:avLst/>
                    </a:prstGeom>
                    <a:noFill/>
                  </pic:spPr>
                </pic:pic>
              </a:graphicData>
            </a:graphic>
          </wp:anchor>
        </w:drawing>
      </w:r>
    </w:p>
    <w:p>
      <w:pPr>
        <w:sectPr>
          <w:pgSz w:w="11900" w:h="16838" w:orient="portrait"/>
          <w:cols w:equalWidth="0" w:num="1">
            <w:col w:w="11240"/>
          </w:cols>
          <w:pgMar w:left="320" w:top="1046" w:right="33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3, 2022, Perella Weinberg Partners (the “Company”) issued a press release announcing its financial results for the fiscal quarter ended September 30, 2022. A copy of the press release is attached as Exhibit 99.1 to this Current Report on Form 8-K. The press release may contain hypertext links to information on the Company’s website. The information on the Company’s website is not incorporated by reference into and does not constitute a part of this Current Report on Form 8-K.</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provided under this Item (including Exhibit 99.1)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This Form 8-K contains forward-looking statements within the meaning of the “safe harbor” provisions of the United States Private Securities Litigation Reform Act of 1995, which reflect the Company’s current views with respect to, among other things, statements about the share repurchase program. You can identify these forward-looking statements by the use of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Such forward-looking statements are subject to various risks and uncertainties. Accordingly, there are or will be important factors that could cause actual outcomes or results to differ materially from those indicated in these statements. We undertake no obligation to publicly update or review any forward-looking statement, whether as a result of new information, future developments or otherwise. A further list and description of these risks, uncertainties and other factors can be found in the Company’s filings with the U.S. Securities and Exchange Commission. These filings and subsequent filings are or will be available online at www.sec.gov or on request from the Company.</w:t>
      </w:r>
    </w:p>
    <w:p>
      <w:pPr>
        <w:spacing w:after="0" w:line="22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40" w:type="dxa"/>
            <w:vAlign w:val="bottom"/>
            <w:tcBorders>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9"/>
              </w:rPr>
              <w:t>Press Release Issued by the Company dated November 3, 2022</w:t>
            </w:r>
          </w:p>
        </w:tc>
        <w:tc>
          <w:tcPr>
            <w:tcW w:w="5320" w:type="dxa"/>
            <w:vAlign w:val="bottom"/>
            <w:gridSpan w:val="2"/>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vMerge w:val="continue"/>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540" w:type="dxa"/>
            <w:vAlign w:val="bottom"/>
          </w:tcPr>
          <w:p>
            <w:pPr>
              <w:spacing w:after="0"/>
              <w:rPr>
                <w:sz w:val="2"/>
                <w:szCs w:val="2"/>
                <w:color w:val="auto"/>
              </w:rPr>
            </w:pPr>
          </w:p>
        </w:tc>
        <w:tc>
          <w:tcPr>
            <w:tcW w:w="532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3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857"/>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540" w:type="dxa"/>
            <w:vAlign w:val="bottom"/>
            <w:tcBorders>
              <w:bottom w:val="single" w:sz="8" w:color="9A9A9A"/>
            </w:tcBorders>
          </w:tcPr>
          <w:p>
            <w:pPr>
              <w:spacing w:after="0"/>
              <w:rPr>
                <w:sz w:val="24"/>
                <w:szCs w:val="24"/>
                <w:color w:val="auto"/>
              </w:rPr>
            </w:pPr>
          </w:p>
        </w:tc>
        <w:tc>
          <w:tcPr>
            <w:tcW w:w="5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70" w:lineRule="exact"/>
        <w:rPr>
          <w:sz w:val="20"/>
          <w:szCs w:val="20"/>
          <w:color w:val="auto"/>
        </w:rPr>
      </w:pPr>
    </w:p>
    <w:p>
      <w:pPr>
        <w:ind w:firstLine="648"/>
        <w:spacing w:after="0" w:line="31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65"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PERELLA WEINBERG PARTNERS</w:t>
      </w:r>
    </w:p>
    <w:p>
      <w:pPr>
        <w:spacing w:after="0" w:line="293" w:lineRule="exact"/>
        <w:rPr>
          <w:sz w:val="20"/>
          <w:szCs w:val="20"/>
          <w:color w:val="auto"/>
        </w:rPr>
      </w:pPr>
    </w:p>
    <w:p>
      <w:pPr>
        <w:ind w:left="6880"/>
        <w:spacing w:after="0"/>
        <w:tabs>
          <w:tab w:leader="none" w:pos="75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Gary Barancik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17145</wp:posOffset>
            </wp:positionV>
            <wp:extent cx="23488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6"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b w:val="1"/>
          <w:bCs w:val="1"/>
          <w:color w:val="auto"/>
        </w:rPr>
        <w:t>Gary Barancik</w:t>
      </w:r>
    </w:p>
    <w:p>
      <w:pPr>
        <w:spacing w:after="0" w:line="63"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3, 2022</w:t>
      </w:r>
    </w:p>
    <w:p>
      <w:pPr>
        <w:sectPr>
          <w:pgSz w:w="11900" w:h="16838" w:orient="portrait"/>
          <w:cols w:equalWidth="0" w:num="1">
            <w:col w:w="10920"/>
          </w:cols>
          <w:pgMar w:left="320" w:top="779" w:right="659" w:bottom="1440" w:gutter="0" w:footer="0" w:header="0"/>
        </w:sectPr>
      </w:pPr>
    </w:p>
    <w:bookmarkStart w:id="3" w:name="page4"/>
    <w:bookmarkEnd w:id="3"/>
    <w:p>
      <w:pPr>
        <w:spacing w:after="0" w:line="3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 Reports Third Quarter 2022 Results</w:t>
      </w:r>
    </w:p>
    <w:p>
      <w:pPr>
        <w:spacing w:after="0" w:line="335" w:lineRule="exact"/>
        <w:rPr>
          <w:sz w:val="20"/>
          <w:szCs w:val="20"/>
          <w:color w:val="auto"/>
        </w:rPr>
      </w:pPr>
    </w:p>
    <w:p>
      <w:pPr>
        <w:ind w:left="580" w:hanging="329"/>
        <w:spacing w:after="0"/>
        <w:tabs>
          <w:tab w:leader="none" w:pos="58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Third Quarter 2022 Revenues of $145.4 Million; First Nine Months 2022 Revenues of $448.4 Million</w:t>
      </w:r>
    </w:p>
    <w:p>
      <w:pPr>
        <w:spacing w:after="0" w:line="117" w:lineRule="exact"/>
        <w:rPr>
          <w:rFonts w:ascii="Times New Roman" w:cs="Times New Roman" w:eastAsia="Times New Roman" w:hAnsi="Times New Roman"/>
          <w:sz w:val="18"/>
          <w:szCs w:val="18"/>
          <w:i w:val="1"/>
          <w:iCs w:val="1"/>
          <w:color w:val="auto"/>
        </w:rPr>
      </w:pPr>
    </w:p>
    <w:p>
      <w:pPr>
        <w:ind w:left="580" w:right="660" w:hanging="329"/>
        <w:spacing w:after="0" w:line="284" w:lineRule="auto"/>
        <w:tabs>
          <w:tab w:leader="none" w:pos="575"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Adjusted Operating Income Margin of 16.9% for the Third Quarter 2022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15.7% for the First Nine Months 2022; GAAP Operating Loss Margin of (6.1)% for the Third Quarter 2022 and (6.3)% for the First Nine Months 2022</w:t>
      </w:r>
    </w:p>
    <w:p>
      <w:pPr>
        <w:spacing w:after="0" w:line="50" w:lineRule="exact"/>
        <w:rPr>
          <w:rFonts w:ascii="Times New Roman" w:cs="Times New Roman" w:eastAsia="Times New Roman" w:hAnsi="Times New Roman"/>
          <w:sz w:val="18"/>
          <w:szCs w:val="18"/>
          <w:i w:val="1"/>
          <w:iCs w:val="1"/>
          <w:color w:val="auto"/>
        </w:rPr>
      </w:pPr>
    </w:p>
    <w:p>
      <w:pPr>
        <w:ind w:left="580" w:right="660" w:hanging="329"/>
        <w:spacing w:after="0" w:line="284" w:lineRule="auto"/>
        <w:tabs>
          <w:tab w:leader="none" w:pos="575"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Adjusted Net Income of $25.9 Million for the Third Quarter 2022 and $69.6 Million for the First Nine Months 2022; GAAP Net Loss of $(12.9) Million for the Third Quarter 2022 and $(9.1) Million for the First Nine Months 2022</w:t>
      </w:r>
    </w:p>
    <w:p>
      <w:pPr>
        <w:spacing w:after="0" w:line="50" w:lineRule="exact"/>
        <w:rPr>
          <w:rFonts w:ascii="Times New Roman" w:cs="Times New Roman" w:eastAsia="Times New Roman" w:hAnsi="Times New Roman"/>
          <w:sz w:val="18"/>
          <w:szCs w:val="18"/>
          <w:i w:val="1"/>
          <w:iCs w:val="1"/>
          <w:color w:val="auto"/>
        </w:rPr>
      </w:pPr>
    </w:p>
    <w:p>
      <w:pPr>
        <w:ind w:left="580" w:hanging="329"/>
        <w:spacing w:after="0" w:line="284" w:lineRule="auto"/>
        <w:tabs>
          <w:tab w:leader="none" w:pos="575"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Adjusted EPS of $0.26 for the Third Quarter 2022 and $0.66 for the First Nine Months 2022; GAAP Diluted EPS of $(0.19) for both the Third Quarter 2022 and the First Nine Months 2022</w:t>
      </w:r>
    </w:p>
    <w:p>
      <w:pPr>
        <w:spacing w:after="0" w:line="50" w:lineRule="exact"/>
        <w:rPr>
          <w:rFonts w:ascii="Times New Roman" w:cs="Times New Roman" w:eastAsia="Times New Roman" w:hAnsi="Times New Roman"/>
          <w:sz w:val="18"/>
          <w:szCs w:val="18"/>
          <w:i w:val="1"/>
          <w:iCs w:val="1"/>
          <w:color w:val="auto"/>
        </w:rPr>
      </w:pPr>
    </w:p>
    <w:p>
      <w:pPr>
        <w:ind w:left="580" w:right="660" w:hanging="329"/>
        <w:spacing w:after="0" w:line="284" w:lineRule="auto"/>
        <w:tabs>
          <w:tab w:leader="none" w:pos="575"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Year-to-Date have Added Eight Advisory Partners; Continue to Add Senior Talent to Support Strategic Growth and Expand Coverage and Expertise</w:t>
      </w:r>
    </w:p>
    <w:p>
      <w:pPr>
        <w:spacing w:after="0" w:line="50" w:lineRule="exact"/>
        <w:rPr>
          <w:rFonts w:ascii="Times New Roman" w:cs="Times New Roman" w:eastAsia="Times New Roman" w:hAnsi="Times New Roman"/>
          <w:sz w:val="18"/>
          <w:szCs w:val="18"/>
          <w:i w:val="1"/>
          <w:iCs w:val="1"/>
          <w:color w:val="auto"/>
        </w:rPr>
      </w:pPr>
    </w:p>
    <w:p>
      <w:pPr>
        <w:ind w:left="580" w:hanging="329"/>
        <w:spacing w:after="0"/>
        <w:tabs>
          <w:tab w:leader="none" w:pos="58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No Outstanding Indebtedness; Strong Balance Sheet with $281.7 Million of Cash, Cash Equivalents, and Short-Term Investments</w:t>
      </w:r>
    </w:p>
    <w:p>
      <w:pPr>
        <w:spacing w:after="0" w:line="117" w:lineRule="exact"/>
        <w:rPr>
          <w:rFonts w:ascii="Times New Roman" w:cs="Times New Roman" w:eastAsia="Times New Roman" w:hAnsi="Times New Roman"/>
          <w:sz w:val="18"/>
          <w:szCs w:val="18"/>
          <w:i w:val="1"/>
          <w:iCs w:val="1"/>
          <w:color w:val="auto"/>
        </w:rPr>
      </w:pPr>
    </w:p>
    <w:p>
      <w:pPr>
        <w:ind w:left="580" w:right="660" w:hanging="329"/>
        <w:spacing w:after="0" w:line="284" w:lineRule="auto"/>
        <w:tabs>
          <w:tab w:leader="none" w:pos="575"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Repurchased 8,715,767 Shares and Share Equivalents in the Nine Months Ended September 30, 2022 with 7,729,666 in Open Market Repurchases</w:t>
      </w:r>
    </w:p>
    <w:p>
      <w:pPr>
        <w:spacing w:after="0" w:line="50" w:lineRule="exact"/>
        <w:rPr>
          <w:rFonts w:ascii="Times New Roman" w:cs="Times New Roman" w:eastAsia="Times New Roman" w:hAnsi="Times New Roman"/>
          <w:sz w:val="18"/>
          <w:szCs w:val="18"/>
          <w:i w:val="1"/>
          <w:iCs w:val="1"/>
          <w:color w:val="auto"/>
        </w:rPr>
      </w:pPr>
    </w:p>
    <w:p>
      <w:pPr>
        <w:ind w:left="580" w:right="640" w:hanging="329"/>
        <w:spacing w:after="0" w:line="284" w:lineRule="auto"/>
        <w:tabs>
          <w:tab w:leader="none" w:pos="575"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Exchanged All 7,869,975 Outstanding Warrants for 1,565,948 Shares of Class A Common Stock and De Minimis Cash in Lieu of Partial Shares</w:t>
      </w:r>
    </w:p>
    <w:p>
      <w:pPr>
        <w:spacing w:after="0" w:line="50" w:lineRule="exact"/>
        <w:rPr>
          <w:rFonts w:ascii="Times New Roman" w:cs="Times New Roman" w:eastAsia="Times New Roman" w:hAnsi="Times New Roman"/>
          <w:sz w:val="18"/>
          <w:szCs w:val="18"/>
          <w:i w:val="1"/>
          <w:iCs w:val="1"/>
          <w:color w:val="auto"/>
        </w:rPr>
      </w:pPr>
    </w:p>
    <w:p>
      <w:pPr>
        <w:ind w:left="580" w:hanging="329"/>
        <w:spacing w:after="0"/>
        <w:tabs>
          <w:tab w:leader="none" w:pos="580" w:val="left"/>
        </w:tabs>
        <w:numPr>
          <w:ilvl w:val="0"/>
          <w:numId w:val="2"/>
        </w:numPr>
        <w:rPr>
          <w:rFonts w:ascii="Arial" w:cs="Arial" w:eastAsia="Arial" w:hAnsi="Arial"/>
          <w:sz w:val="18"/>
          <w:szCs w:val="18"/>
          <w:i w:val="1"/>
          <w:iCs w:val="1"/>
          <w:color w:val="auto"/>
        </w:rPr>
      </w:pPr>
      <w:r>
        <w:rPr>
          <w:rFonts w:ascii="Times New Roman" w:cs="Times New Roman" w:eastAsia="Times New Roman" w:hAnsi="Times New Roman"/>
          <w:sz w:val="18"/>
          <w:szCs w:val="18"/>
          <w:i w:val="1"/>
          <w:iCs w:val="1"/>
          <w:color w:val="auto"/>
        </w:rPr>
        <w:t>Declared Quarterly Dividend of $0.07 Per Share</w:t>
      </w:r>
    </w:p>
    <w:p>
      <w:pPr>
        <w:spacing w:after="0" w:line="36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NEW YORK, NY, November 3, 2022 – Perella Weinberg Partners (the “Firm” or “PWP”) (NASDAQ:PWP) today reported financial results for the third quarter ended September 30, 2022. The Firm reported third quarter revenues of $145.4 million for the three months ended September 30, 2022, compared with $177.4 million for the three months ended September 30, 2021. GAAP net loss and adjusted net income were $(12.9) million and $25.9 million, respectively, for the three months ended September 30, 2022, compared with GAAP net loss of $(9.5) million and adjusted net income of $28.9 million for the three months ended September 30, 2021. GAAP diluted net loss per Class A share (also referred to as “GAAP Diluted EPS”) and adjusted diluted if-converted net income per Class A share (also referred to as “Adjusted EPS”) were $(0.19) and $0.26, respectively, for the three months ended September 30, 2022.</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2022, revenues were $448.4 million, compared with $602.7 million for the nine months ended 2021. GAAP net loss and adjusted net income were $(9.1) million and $69.6 million, respectively, for the nine months ended September 30, 2022, compared with GAAP net income of $22.0 million and adjusted net income of $122.2 million for the nine months ended September 30, 2021. GAAP diluted net loss per Class A share and adjusted diluted if-converted net income per Class A share were ($0.19) and $0.66, respectively, for the nine months ended September 30, 2022.</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“Against a very stressed environment, PWP delivered a solid third quarter supported by a diversified client base and product suite. Despite a significant slowdown in global M&amp;A closings year-to-date, PWP’s performance speaks to the strength, breadth, and resiliency of our platform, as does our stable gross pipeline, though revenue timelines remain less defined. PWP is a larger, more diverse, more established firm today than in previous cycles and we are better positioned than ever before to deliver for our clients and shareholders. Further, we remain committed to our capital return strategy, as demonstrated by our year-to-date deployment of nearly $87 million, and will continue to return all excess capital over the long-term.” stated Peter Weinberg, Chief Executive Officer.</w:t>
      </w:r>
    </w:p>
    <w:p>
      <w:pPr>
        <w:spacing w:after="0" w:line="200" w:lineRule="exact"/>
        <w:rPr>
          <w:sz w:val="20"/>
          <w:szCs w:val="20"/>
          <w:color w:val="auto"/>
        </w:rPr>
      </w:pPr>
    </w:p>
    <w:p>
      <w:pPr>
        <w:spacing w:after="0" w:line="299" w:lineRule="exact"/>
        <w:rPr>
          <w:sz w:val="20"/>
          <w:szCs w:val="20"/>
          <w:color w:val="auto"/>
        </w:rPr>
      </w:pPr>
    </w:p>
    <w:p>
      <w:pPr>
        <w:ind w:firstLine="8"/>
        <w:spacing w:after="0" w:line="280" w:lineRule="auto"/>
        <w:tabs>
          <w:tab w:leader="none" w:pos="119"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Throughout this release, adjusted figures represent Non-GAAP information. See “Non-GAAP Financial Measures” and the tables at the end of this release for an explanation of the adjustments and reconciliations to the comparable GAAP numbers.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40" w:right="339" w:bottom="1440" w:gutter="0" w:footer="0" w:header="0"/>
        </w:sectPr>
      </w:pPr>
    </w:p>
    <w:bookmarkStart w:id="4" w:name="page5"/>
    <w:bookmarkEnd w:id="4"/>
    <w:p>
      <w:pPr>
        <w:spacing w:after="0" w:line="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6"/>
          <w:szCs w:val="16"/>
          <w:b w:val="1"/>
          <w:bCs w:val="1"/>
          <w:color w:val="auto"/>
        </w:rPr>
        <w:t>Selected Financial Data (Unaudited)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Thousands, Except Per Share Amounts)</w:t>
      </w:r>
    </w:p>
    <w:p>
      <w:pPr>
        <w:spacing w:after="0" w:line="255"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6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U.S. GAAP</w:t>
            </w: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Adjusted</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11"/>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145,379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177,427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145,379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177,427</w:t>
            </w:r>
          </w:p>
        </w:tc>
        <w:tc>
          <w:tcPr>
            <w:tcW w:w="0" w:type="dxa"/>
            <w:vAlign w:val="bottom"/>
          </w:tcPr>
          <w:p>
            <w:pPr>
              <w:spacing w:after="0"/>
              <w:rPr>
                <w:sz w:val="1"/>
                <w:szCs w:val="1"/>
                <w:color w:val="auto"/>
              </w:rPr>
            </w:pPr>
          </w:p>
        </w:tc>
      </w:tr>
      <w:tr>
        <w:trPr>
          <w:trHeight w:val="213"/>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compensation and benefits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123,259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151,372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93,041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113,524</w:t>
            </w:r>
          </w:p>
        </w:tc>
        <w:tc>
          <w:tcPr>
            <w:tcW w:w="0" w:type="dxa"/>
            <w:vAlign w:val="bottom"/>
          </w:tcPr>
          <w:p>
            <w:pPr>
              <w:spacing w:after="0"/>
              <w:rPr>
                <w:sz w:val="1"/>
                <w:szCs w:val="1"/>
                <w:color w:val="auto"/>
              </w:rPr>
            </w:pPr>
          </w:p>
        </w:tc>
      </w:tr>
      <w:tr>
        <w:trPr>
          <w:trHeight w:val="213"/>
        </w:trPr>
        <w:tc>
          <w:tcPr>
            <w:tcW w:w="62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Non-compensation expenses</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30,938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36,382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27,786</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33,127</w:t>
            </w:r>
          </w:p>
        </w:tc>
        <w:tc>
          <w:tcPr>
            <w:tcW w:w="0" w:type="dxa"/>
            <w:vAlign w:val="bottom"/>
          </w:tcPr>
          <w:p>
            <w:pPr>
              <w:spacing w:after="0"/>
              <w:rPr>
                <w:sz w:val="1"/>
                <w:szCs w:val="1"/>
                <w:color w:val="auto"/>
              </w:rPr>
            </w:pPr>
          </w:p>
        </w:tc>
      </w:tr>
      <w:tr>
        <w:trPr>
          <w:trHeight w:val="212"/>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24,552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30,776</w:t>
            </w:r>
          </w:p>
        </w:tc>
        <w:tc>
          <w:tcPr>
            <w:tcW w:w="0" w:type="dxa"/>
            <w:vAlign w:val="bottom"/>
          </w:tcPr>
          <w:p>
            <w:pPr>
              <w:spacing w:after="0"/>
              <w:rPr>
                <w:sz w:val="1"/>
                <w:szCs w:val="1"/>
                <w:color w:val="auto"/>
              </w:rPr>
            </w:pPr>
          </w:p>
        </w:tc>
      </w:tr>
      <w:tr>
        <w:trPr>
          <w:trHeight w:val="213"/>
        </w:trPr>
        <w:tc>
          <w:tcPr>
            <w:tcW w:w="62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non-operating income (expenses)</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6,860</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4,058</w:t>
            </w:r>
          </w:p>
        </w:tc>
        <w:tc>
          <w:tcPr>
            <w:tcW w:w="0" w:type="dxa"/>
            <w:vAlign w:val="bottom"/>
          </w:tcPr>
          <w:p>
            <w:pPr>
              <w:spacing w:after="0"/>
              <w:rPr>
                <w:sz w:val="1"/>
                <w:szCs w:val="1"/>
                <w:color w:val="auto"/>
              </w:rPr>
            </w:pPr>
          </w:p>
        </w:tc>
      </w:tr>
      <w:tr>
        <w:trPr>
          <w:trHeight w:val="212"/>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provision for income taxes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(9,312)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31,412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34,834</w:t>
            </w:r>
          </w:p>
        </w:tc>
        <w:tc>
          <w:tcPr>
            <w:tcW w:w="0" w:type="dxa"/>
            <w:vAlign w:val="bottom"/>
          </w:tcPr>
          <w:p>
            <w:pPr>
              <w:spacing w:after="0"/>
              <w:rPr>
                <w:sz w:val="1"/>
                <w:szCs w:val="1"/>
                <w:color w:val="auto"/>
              </w:rPr>
            </w:pPr>
          </w:p>
        </w:tc>
      </w:tr>
      <w:tr>
        <w:trPr>
          <w:trHeight w:val="213"/>
        </w:trPr>
        <w:tc>
          <w:tcPr>
            <w:tcW w:w="62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(4,570)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(5,463)</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(5,887)</w:t>
            </w:r>
          </w:p>
        </w:tc>
        <w:tc>
          <w:tcPr>
            <w:tcW w:w="0" w:type="dxa"/>
            <w:vAlign w:val="bottom"/>
          </w:tcPr>
          <w:p>
            <w:pPr>
              <w:spacing w:after="0"/>
              <w:rPr>
                <w:sz w:val="1"/>
                <w:szCs w:val="1"/>
                <w:color w:val="auto"/>
              </w:rPr>
            </w:pPr>
          </w:p>
        </w:tc>
      </w:tr>
      <w:tr>
        <w:trPr>
          <w:trHeight w:val="237"/>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(12,859)</w:t>
            </w:r>
          </w:p>
        </w:tc>
        <w:tc>
          <w:tcPr>
            <w:tcW w:w="42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25,949</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28,947</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non-controlling interests</w:t>
            </w: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(13,999)</w:t>
            </w: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(12,938)</w:t>
            </w: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260" w:type="dxa"/>
            <w:vAlign w:val="bottom"/>
            <w:tcBorders>
              <w:bottom w:val="single" w:sz="8" w:color="CCEEFF"/>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Perella Weinberg Partners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25,949</w:t>
            </w: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28,947</w:t>
            </w:r>
          </w:p>
        </w:tc>
        <w:tc>
          <w:tcPr>
            <w:tcW w:w="0" w:type="dxa"/>
            <w:vAlign w:val="bottom"/>
          </w:tcPr>
          <w:p>
            <w:pPr>
              <w:spacing w:after="0" w:line="20" w:lineRule="exact"/>
              <w:rPr>
                <w:sz w:val="1"/>
                <w:szCs w:val="1"/>
                <w:color w:val="auto"/>
              </w:rPr>
            </w:pPr>
          </w:p>
        </w:tc>
      </w:tr>
      <w:tr>
        <w:trPr>
          <w:trHeight w:val="160"/>
        </w:trPr>
        <w:tc>
          <w:tcPr>
            <w:tcW w:w="62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Adjusted income tax benefit (expense)</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5,887</w:t>
            </w:r>
          </w:p>
        </w:tc>
        <w:tc>
          <w:tcPr>
            <w:tcW w:w="0" w:type="dxa"/>
            <w:vAlign w:val="bottom"/>
          </w:tcPr>
          <w:p>
            <w:pPr>
              <w:spacing w:after="0"/>
              <w:rPr>
                <w:sz w:val="1"/>
                <w:szCs w:val="1"/>
                <w:color w:val="auto"/>
              </w:rPr>
            </w:pPr>
          </w:p>
        </w:tc>
      </w:tr>
      <w:tr>
        <w:trPr>
          <w:trHeight w:val="213"/>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Add: If-converted tax impact</w:t>
            </w:r>
          </w:p>
        </w:tc>
        <w:tc>
          <w:tcPr>
            <w:tcW w:w="22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(8,591)</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(10,764)</w:t>
            </w:r>
          </w:p>
        </w:tc>
        <w:tc>
          <w:tcPr>
            <w:tcW w:w="0" w:type="dxa"/>
            <w:vAlign w:val="bottom"/>
          </w:tcPr>
          <w:p>
            <w:pPr>
              <w:spacing w:after="0"/>
              <w:rPr>
                <w:sz w:val="1"/>
                <w:szCs w:val="1"/>
                <w:color w:val="auto"/>
              </w:rPr>
            </w:pPr>
          </w:p>
        </w:tc>
      </w:tr>
      <w:tr>
        <w:trPr>
          <w:trHeight w:val="237"/>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if-converted net income (loss)</w:t>
            </w: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22,821</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24,070</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 (loss) per share attributable to Class A common shareholders</w:t>
            </w: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2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4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4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If-Converted</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0" w:type="dxa"/>
            <w:vAlign w:val="bottom"/>
          </w:tcPr>
          <w:p>
            <w:pPr>
              <w:spacing w:after="0"/>
              <w:rPr>
                <w:sz w:val="1"/>
                <w:szCs w:val="1"/>
                <w:color w:val="auto"/>
              </w:rPr>
            </w:pPr>
          </w:p>
        </w:tc>
      </w:tr>
      <w:tr>
        <w:trPr>
          <w:trHeight w:val="213"/>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shares of Class A common stock outstanding</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42,263,427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42,572,813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22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87,745,776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92,727,012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87,875,488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93,818,451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firstLine="8"/>
        <w:spacing w:after="0" w:line="280" w:lineRule="auto"/>
        <w:tabs>
          <w:tab w:leader="none" w:pos="119"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Throughout this release, adjusted figures represent Non-GAAP information. See “Non-GAAP Financial Measures” and the tables at the end of this release for an explanation of the adjustments and reconciliations to the comparable GAAP numbers.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5" w:name="page6"/>
    <w:bookmarkEnd w:id="5"/>
    <w:p>
      <w:pPr>
        <w:spacing w:after="0" w:line="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Selected Financial Data (Unaudited)</w:t>
      </w:r>
    </w:p>
    <w:tbl>
      <w:tblPr>
        <w:tblLayout w:type="fixed"/>
        <w:tblInd w:w="20" w:type="dxa"/>
        <w:tblCellMar>
          <w:top w:w="0" w:type="dxa"/>
          <w:left w:w="0" w:type="dxa"/>
          <w:bottom w:w="0" w:type="dxa"/>
          <w:right w:w="0" w:type="dxa"/>
        </w:tblCellMar>
      </w:tblPr>
      <w:tr>
        <w:trPr>
          <w:trHeight w:val="212"/>
        </w:trPr>
        <w:tc>
          <w:tcPr>
            <w:tcW w:w="7460" w:type="dxa"/>
            <w:vAlign w:val="bottom"/>
            <w:gridSpan w:val="3"/>
          </w:tcPr>
          <w:p>
            <w:pPr>
              <w:ind w:left="3840"/>
              <w:spacing w:after="0"/>
              <w:rPr>
                <w:sz w:val="20"/>
                <w:szCs w:val="20"/>
                <w:color w:val="auto"/>
              </w:rPr>
            </w:pPr>
            <w:r>
              <w:rPr>
                <w:rFonts w:ascii="Times New Roman" w:cs="Times New Roman" w:eastAsia="Times New Roman" w:hAnsi="Times New Roman"/>
                <w:sz w:val="16"/>
                <w:szCs w:val="16"/>
                <w:b w:val="1"/>
                <w:bCs w:val="1"/>
                <w:color w:val="auto"/>
              </w:rPr>
              <w:t>(Dollars in Thousands, Except Per Share Amounts)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2"/>
        </w:trPr>
        <w:tc>
          <w:tcPr>
            <w:tcW w:w="62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U.S. GAAP</w:t>
            </w: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Adjusted</w:t>
            </w: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6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11"/>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448,359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602,749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448,359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602,749</w:t>
            </w:r>
          </w:p>
        </w:tc>
        <w:tc>
          <w:tcPr>
            <w:tcW w:w="0" w:type="dxa"/>
            <w:vAlign w:val="bottom"/>
          </w:tcPr>
          <w:p>
            <w:pPr>
              <w:spacing w:after="0"/>
              <w:rPr>
                <w:sz w:val="1"/>
                <w:szCs w:val="1"/>
                <w:color w:val="auto"/>
              </w:rPr>
            </w:pPr>
          </w:p>
        </w:tc>
      </w:tr>
      <w:tr>
        <w:trPr>
          <w:trHeight w:val="213"/>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compensation and benefits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378,408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438,468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287,005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385,760</w:t>
            </w:r>
          </w:p>
        </w:tc>
        <w:tc>
          <w:tcPr>
            <w:tcW w:w="0" w:type="dxa"/>
            <w:vAlign w:val="bottom"/>
          </w:tcPr>
          <w:p>
            <w:pPr>
              <w:spacing w:after="0"/>
              <w:rPr>
                <w:sz w:val="1"/>
                <w:szCs w:val="1"/>
                <w:color w:val="auto"/>
              </w:rPr>
            </w:pPr>
          </w:p>
        </w:tc>
      </w:tr>
      <w:tr>
        <w:trPr>
          <w:trHeight w:val="213"/>
        </w:trPr>
        <w:tc>
          <w:tcPr>
            <w:tcW w:w="62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Non-compensation expenses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98,141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97,078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90,985</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87,591</w:t>
            </w:r>
          </w:p>
        </w:tc>
        <w:tc>
          <w:tcPr>
            <w:tcW w:w="0" w:type="dxa"/>
            <w:vAlign w:val="bottom"/>
          </w:tcPr>
          <w:p>
            <w:pPr>
              <w:spacing w:after="0"/>
              <w:rPr>
                <w:sz w:val="1"/>
                <w:szCs w:val="1"/>
                <w:color w:val="auto"/>
              </w:rPr>
            </w:pPr>
          </w:p>
        </w:tc>
      </w:tr>
      <w:tr>
        <w:trPr>
          <w:trHeight w:val="212"/>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(28,190)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67,203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70,369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129,398</w:t>
            </w:r>
          </w:p>
        </w:tc>
        <w:tc>
          <w:tcPr>
            <w:tcW w:w="0" w:type="dxa"/>
            <w:vAlign w:val="bottom"/>
          </w:tcPr>
          <w:p>
            <w:pPr>
              <w:spacing w:after="0"/>
              <w:rPr>
                <w:sz w:val="1"/>
                <w:szCs w:val="1"/>
                <w:color w:val="auto"/>
              </w:rPr>
            </w:pPr>
          </w:p>
        </w:tc>
      </w:tr>
      <w:tr>
        <w:trPr>
          <w:trHeight w:val="213"/>
        </w:trPr>
        <w:tc>
          <w:tcPr>
            <w:tcW w:w="62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non-operating income (expenses)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29,756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(42,463)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14,061</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1,052</w:t>
            </w:r>
          </w:p>
        </w:tc>
        <w:tc>
          <w:tcPr>
            <w:tcW w:w="0" w:type="dxa"/>
            <w:vAlign w:val="bottom"/>
          </w:tcPr>
          <w:p>
            <w:pPr>
              <w:spacing w:after="0"/>
              <w:rPr>
                <w:sz w:val="1"/>
                <w:szCs w:val="1"/>
                <w:color w:val="auto"/>
              </w:rPr>
            </w:pPr>
          </w:p>
        </w:tc>
      </w:tr>
      <w:tr>
        <w:trPr>
          <w:trHeight w:val="212"/>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provision for income taxes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24,740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84,430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130,450</w:t>
            </w:r>
          </w:p>
        </w:tc>
        <w:tc>
          <w:tcPr>
            <w:tcW w:w="0" w:type="dxa"/>
            <w:vAlign w:val="bottom"/>
          </w:tcPr>
          <w:p>
            <w:pPr>
              <w:spacing w:after="0"/>
              <w:rPr>
                <w:sz w:val="1"/>
                <w:szCs w:val="1"/>
                <w:color w:val="auto"/>
              </w:rPr>
            </w:pPr>
          </w:p>
        </w:tc>
      </w:tr>
      <w:tr>
        <w:trPr>
          <w:trHeight w:val="213"/>
        </w:trPr>
        <w:tc>
          <w:tcPr>
            <w:tcW w:w="62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(10,707)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(14,853)</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(8,281)</w:t>
            </w:r>
          </w:p>
        </w:tc>
        <w:tc>
          <w:tcPr>
            <w:tcW w:w="0" w:type="dxa"/>
            <w:vAlign w:val="bottom"/>
          </w:tcPr>
          <w:p>
            <w:pPr>
              <w:spacing w:after="0"/>
              <w:rPr>
                <w:sz w:val="1"/>
                <w:szCs w:val="1"/>
                <w:color w:val="auto"/>
              </w:rPr>
            </w:pPr>
          </w:p>
        </w:tc>
      </w:tr>
      <w:tr>
        <w:trPr>
          <w:trHeight w:val="237"/>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(9,141)</w:t>
            </w:r>
          </w:p>
        </w:tc>
        <w:tc>
          <w:tcPr>
            <w:tcW w:w="42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22,045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69,577</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122,169</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non-controlling interests</w:t>
            </w: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(28,440)</w:t>
            </w: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31,068</w:t>
            </w: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260" w:type="dxa"/>
            <w:vAlign w:val="bottom"/>
            <w:tcBorders>
              <w:bottom w:val="single" w:sz="8" w:color="CCEEFF"/>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9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8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Perella Weinberg Partners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19,299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69,577</w:t>
            </w: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26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Adjusted income tax benefit (expense)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14,853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Add: If-converted tax impact</w:t>
            </w:r>
          </w:p>
        </w:tc>
        <w:tc>
          <w:tcPr>
            <w:tcW w:w="26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(24,152)</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if-converted net income (loss)</w:t>
            </w: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60,278</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 (loss) per share attributable to Class A common shareholders (1)</w:t>
            </w: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26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0.44</w:t>
            </w:r>
          </w:p>
        </w:tc>
        <w:tc>
          <w:tcPr>
            <w:tcW w:w="4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4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If-Converted</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3"/>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shares of Class A common stock outstanding (1)</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44,241,794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42,599,954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90,535,232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92,754,153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90,690,759</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7" w:lineRule="exact"/>
        <w:rPr>
          <w:sz w:val="20"/>
          <w:szCs w:val="20"/>
          <w:color w:val="auto"/>
        </w:rPr>
      </w:pPr>
    </w:p>
    <w:p>
      <w:pPr>
        <w:jc w:val="both"/>
        <w:ind w:left="340" w:hanging="332"/>
        <w:spacing w:after="0" w:line="261" w:lineRule="auto"/>
        <w:tabs>
          <w:tab w:leader="none" w:pos="3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For the nine months ended September 30, 2021, net income (loss) per share of Class A common stock and weighted-average shares of Class A common stock outstanding is representative of the period from June 24, 2021 through September 30, 2021, the period following the Business Combination. Adjusted net income (loss) per Class A share - Diluted, If-Converted for the nine months ended September 30, 2021 is not meaningful or comparative to GAAP diluted earnings per share, as it excludes activity prior to the Business Combination on June 24, 2021.</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firstLine="8"/>
        <w:spacing w:after="0" w:line="280" w:lineRule="auto"/>
        <w:tabs>
          <w:tab w:leader="none" w:pos="119"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Throughout this release, adjusted figures represent Non-GAAP information. See “Non-GAAP Financial Measures” and the tables at the end of this release for an explanation of the adjustments and reconciliations to the comparable GAAP numbers.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Revenues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third quarter 2022, revenues were $145.4 million, a decrease of 18% from $177.4 million for the third quarter 2021. For the nine months ended September 30, 2022, revenues were $448.4 million, a decrease of 26% from $602.7 million for the nine months ended September 30, 2021. Performance in both the third quarter and first nine months of 2021 represented record revenue periods for the firm. The period-over-period decline, for both the third quarter and nine months ended 2022, was primarily driven by a reduction in mergers and acquisition activity across most industry groups. For the quarter period, the decline was partially offset by increased activity in our capital solutions advisory business, which includes restructuring and liability management services and capital markets advisory. The decrease in revenues can be attributed to both fewer advisory transaction completions and a decrease in average fee size per client.</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56"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46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6"/>
                <w:szCs w:val="16"/>
                <w:b w:val="1"/>
                <w:bCs w:val="1"/>
                <w:color w:val="auto"/>
              </w:rPr>
              <w:t>U.S. GAAP</w:t>
            </w:r>
          </w:p>
        </w:tc>
        <w:tc>
          <w:tcPr>
            <w:tcW w:w="8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Adjusted</w:t>
            </w:r>
          </w:p>
        </w:tc>
        <w:tc>
          <w:tcPr>
            <w:tcW w:w="900" w:type="dxa"/>
            <w:vAlign w:val="bottom"/>
            <w:tcBorders>
              <w:bottom w:val="single" w:sz="8" w:color="auto"/>
            </w:tcBorders>
          </w:tcPr>
          <w:p>
            <w:pPr>
              <w:spacing w:after="0"/>
              <w:rPr>
                <w:sz w:val="18"/>
                <w:szCs w:val="18"/>
                <w:color w:val="auto"/>
              </w:rPr>
            </w:pPr>
          </w:p>
        </w:tc>
      </w:tr>
      <w:tr>
        <w:trPr>
          <w:trHeight w:val="211"/>
        </w:trPr>
        <w:tc>
          <w:tcPr>
            <w:tcW w:w="466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(Dollars in thousands)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r>
        <w:trPr>
          <w:trHeight w:val="209"/>
        </w:trPr>
        <w:tc>
          <w:tcPr>
            <w:tcW w:w="46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3"/>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compensation and benefits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123,259</w:t>
            </w:r>
          </w:p>
        </w:tc>
        <w:tc>
          <w:tcPr>
            <w:tcW w:w="1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151,372</w:t>
            </w:r>
          </w:p>
        </w:tc>
        <w:tc>
          <w:tcPr>
            <w:tcW w:w="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93,041</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113,524</w:t>
            </w:r>
          </w:p>
        </w:tc>
      </w:tr>
      <w:tr>
        <w:trPr>
          <w:trHeight w:val="21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 of Revenues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85 %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85 %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64 %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64 %</w:t>
            </w:r>
          </w:p>
        </w:tc>
      </w:tr>
      <w:tr>
        <w:trPr>
          <w:trHeight w:val="213"/>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Non-compensation expenses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30,938</w:t>
            </w:r>
          </w:p>
        </w:tc>
        <w:tc>
          <w:tcPr>
            <w:tcW w:w="1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36,382</w:t>
            </w:r>
          </w:p>
        </w:tc>
        <w:tc>
          <w:tcPr>
            <w:tcW w:w="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27,786</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33,127</w:t>
            </w:r>
          </w:p>
        </w:tc>
      </w:tr>
      <w:tr>
        <w:trPr>
          <w:trHeight w:val="21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 of Revenues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21 %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21 %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19 %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19 %</w:t>
            </w: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GAAP total compensation and benefits were $123.3 million for the third quarter of 2022, compared to $151.4 million for the third quarter of 2021. Adjusted total compensation and benefits were $93.0 million for the third quarter of 2022 as compared to $113.5 million for the same period a year ago. The decrease in both GAAP total compensation and benefits and adjusted total compensation and benefits in the third quarter of 2022 was due to a smaller bonus accrual associated with lower revenues.</w:t>
      </w:r>
    </w:p>
    <w:p>
      <w:pPr>
        <w:spacing w:after="0" w:line="3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GAAP non-compensation expenses were $30.9 million for the third quarter of 2022, compared with $36.4 million for the third quarter of 2021. Adjusted non-compensation expenses were $27.8 million for the third quarter of 2022, compared with $33.1 million for the same period a year ago. The decrease experienced in both GAAP non-compensation expenses and non-compensation expenses on an adjusted basis was primarily driven by lower legal, consulting and D&amp;O insurance costs this year as compared to those costs incurred last year as a newly-public company, reduced depreciation and amortization expense due to our New York and London headquarters each reaching the end of their initial lease term, and a bad debt reserve in the third quarter of 2021, partially offset by an increase in travel and related expenses as our teams returned to more normalized travel.</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20" w:type="dxa"/>
        <w:tblCellMar>
          <w:top w:w="0" w:type="dxa"/>
          <w:left w:w="0" w:type="dxa"/>
          <w:bottom w:w="0" w:type="dxa"/>
          <w:right w:w="0" w:type="dxa"/>
        </w:tblCellMar>
      </w:tblPr>
      <w:tr>
        <w:trPr>
          <w:trHeight w:val="215"/>
        </w:trPr>
        <w:tc>
          <w:tcPr>
            <w:tcW w:w="5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5"/>
          </w:tcPr>
          <w:p>
            <w:pPr>
              <w:ind w:left="700"/>
              <w:spacing w:after="0"/>
              <w:rPr>
                <w:sz w:val="20"/>
                <w:szCs w:val="20"/>
                <w:color w:val="auto"/>
              </w:rPr>
            </w:pPr>
            <w:r>
              <w:rPr>
                <w:rFonts w:ascii="Times New Roman" w:cs="Times New Roman" w:eastAsia="Times New Roman" w:hAnsi="Times New Roman"/>
                <w:sz w:val="16"/>
                <w:szCs w:val="16"/>
                <w:b w:val="1"/>
                <w:bCs w:val="1"/>
                <w:color w:val="auto"/>
              </w:rPr>
              <w:t>U.S. GAAP</w:t>
            </w: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Adjusted</w:t>
            </w:r>
          </w:p>
        </w:tc>
        <w:tc>
          <w:tcPr>
            <w:tcW w:w="960" w:type="dxa"/>
            <w:vAlign w:val="bottom"/>
            <w:tcBorders>
              <w:bottom w:val="single" w:sz="8" w:color="auto"/>
            </w:tcBorders>
          </w:tcPr>
          <w:p>
            <w:pPr>
              <w:spacing w:after="0"/>
              <w:rPr>
                <w:sz w:val="18"/>
                <w:szCs w:val="18"/>
                <w:color w:val="auto"/>
              </w:rPr>
            </w:pPr>
          </w:p>
        </w:tc>
      </w:tr>
      <w:tr>
        <w:trPr>
          <w:trHeight w:val="211"/>
        </w:trPr>
        <w:tc>
          <w:tcPr>
            <w:tcW w:w="514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(Dollars in thousands)</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10"/>
        </w:trPr>
        <w:tc>
          <w:tcPr>
            <w:tcW w:w="5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3"/>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Total compensation and benefits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378,408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438,468</w:t>
            </w:r>
          </w:p>
        </w:tc>
        <w:tc>
          <w:tcPr>
            <w:tcW w:w="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287,005</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385,760</w:t>
            </w:r>
          </w:p>
        </w:tc>
      </w:tr>
      <w:tr>
        <w:trPr>
          <w:trHeight w:val="219"/>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 of 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84 %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73 %</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64 %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64 %</w:t>
            </w:r>
          </w:p>
        </w:tc>
      </w:tr>
      <w:tr>
        <w:trPr>
          <w:trHeight w:val="213"/>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Non-compensation expenses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98,141</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97,078</w:t>
            </w:r>
          </w:p>
        </w:tc>
        <w:tc>
          <w:tcPr>
            <w:tcW w:w="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90,985</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87,591</w:t>
            </w:r>
          </w:p>
        </w:tc>
      </w:tr>
      <w:tr>
        <w:trPr>
          <w:trHeight w:val="219"/>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 of 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22 %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16 %</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20 %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15 %</w:t>
            </w:r>
          </w:p>
        </w:tc>
      </w:tr>
    </w:tbl>
    <w:p>
      <w:pPr>
        <w:spacing w:after="0" w:line="3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GAAP total compensation and benefits were $378.4 million for the nine months ended September 30, 2022, compared to $438.5 million for the nine months ended September 30, 2021. Adjusted total compensation and benefits were $287.0 million for the nine months ended September 30, 2022, compared to $385.8 million for the nine months ended September 30, 2021. The decrease in both GAAP total compensation and benefits and adjusted total compensation and benefits was due to a smaller bonus accrual associated with lower revenues. On a GAAP basis, the smaller bonus accrual was partially offset by increased equity-based compensation related to restricted stock units (“RSUs”) issued in connection with or subsequent to the Business Combination.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firstLine="8"/>
        <w:spacing w:after="0" w:line="298" w:lineRule="auto"/>
        <w:tabs>
          <w:tab w:leader="none" w:pos="119"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Throughout this release, adjusted figures represent Non-GAAP information. See “Non-GAAP Financial Measures” and the tables at the end of this release for an explanation of the adjustments and reconciliations to the comparable GAAP numbers.</w:t>
      </w:r>
    </w:p>
    <w:p>
      <w:pPr>
        <w:sectPr>
          <w:pgSz w:w="11900" w:h="16838" w:orient="portrait"/>
          <w:cols w:equalWidth="0" w:num="1">
            <w:col w:w="11240"/>
          </w:cols>
          <w:pgMar w:left="320" w:top="1278" w:right="339" w:bottom="1440" w:gutter="0" w:footer="0" w:header="0"/>
        </w:sectPr>
      </w:pP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40"/>
          </w:cols>
          <w:pgMar w:left="320" w:top="1278" w:right="339" w:bottom="1440" w:gutter="0" w:footer="0" w:header="0"/>
          <w:type w:val="continuous"/>
        </w:sectPr>
      </w:pPr>
    </w:p>
    <w:bookmarkStart w:id="7" w:name="page8"/>
    <w:bookmarkEnd w:id="7"/>
    <w:p>
      <w:pPr>
        <w:jc w:val="both"/>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GAAP non-compensation expenses were $98.1 million for the nine months ended September 30, 2022, compared with $97.1 million for the nine months ended September 30, 2021. Adjusted non-compensation expenses were $91.0 million for the nine months ended September 30, 2022, compared with $87.6 million for the nine months ended September 30, 2021. The increase experienced in both GAAP non-compensation expenses and non-compensation expenses on an adjusted basis was primarily driven by an increase in travel and related expenses as our teams returned to more normalized travel, an increase in recruiting spend and technology, three quarters of public company costs including D&amp;O insurance, and a bad debt reserve, partially offset by lower rent and occupancy costs as a result of our New York lease extension, reduced depreciation and amortization expense due to our New York and London headquarters each reaching the end of their initial lease term, and a decrease in professional fees related to consulting and legal spend.</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Perella Weinberg Partners currently owns 48.99% of the operating partnership (PWP Holdings LP) and is subject to U.S. federal and state corporate income tax. Income earned by the operating partnership is subject to certain state and foreign income taxes.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Prior to the close of the Business Combination on June 24, 2021, all of our operating income was derived from the predecessor PWP entity and was not subject to U.S. corporate income tax.</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purposes of calculating adjusted if-converted net income, we have presented our results as if all partnership units had been converted to shares of Class A Common Stock, and as if all of our adjusted income for the period was subjected to U.S. corporate income tax. For the nine months ended September 30, 2022, the effective tax rate for adjusted if-converted net income was 28.61%.</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and Capital Management</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2022, PWP had $281.7 million of cash, cash equivalents and short-term investments in U.S. Treasury Securities. The Firm has no outstanding indebtedness and has an undrawn revolving credit facility.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of Directors of PWP has declared a quarterly dividend of $0.07 per share of Class A common stock. The dividend will be paid on December 9, 2022 to Class A common stockholders of record on November 25, 2022.</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2022, PWP net settled 373,939 share equivalents to satisfy tax withholding obligations at an average price per share of $7.23, and repurchased 1,289,459 shares at an average price per share of $6.62 in open market transactions pursuant to PWP’s Class A common stock repurchase program, which was paused during PWP’s warrant exchange process. The aggregate 1,663,398 shares were acquired at an average price per share of $6.76 for a total cost of $11.2 million.</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2022, PWP net settled 986,101 share equivalents to satisfy tax withholding obligations at an average price per share of $9.27, and repurchased 7,729,666 shares at an average price per share of $6.96 in open market transactions pursuant to PWP’s Class A common stock repurchase program, which was paused during PWP’s warrant exchange process in the third quarter 2022. The aggregate 8,715,767 shares were acquired at an average price per share of $7.22 for a total cost of $63.0 million.</w:t>
      </w:r>
    </w:p>
    <w:p>
      <w:pPr>
        <w:spacing w:after="0" w:line="200" w:lineRule="exact"/>
        <w:rPr>
          <w:sz w:val="20"/>
          <w:szCs w:val="20"/>
          <w:color w:val="auto"/>
        </w:rPr>
      </w:pPr>
    </w:p>
    <w:p>
      <w:pPr>
        <w:spacing w:after="0" w:line="224" w:lineRule="exact"/>
        <w:rPr>
          <w:sz w:val="20"/>
          <w:szCs w:val="20"/>
          <w:color w:val="auto"/>
        </w:rPr>
      </w:pPr>
    </w:p>
    <w:p>
      <w:pPr>
        <w:ind w:firstLine="8"/>
        <w:spacing w:after="0" w:line="280" w:lineRule="auto"/>
        <w:tabs>
          <w:tab w:leader="none" w:pos="119"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Throughout this release, adjusted figures represent Non-GAAP information. See “Non-GAAP Financial Measures” and the tables at the end of this release for an explanation of the adjustments and reconciliations to the comparable GAAP numbers.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282"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Conference Call and Webcast</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Management will host a webcast and conference call on Thursday, November 3, 2022 at 9:00 am ET to discuss PWP’s financial results for the third quarter ended September 30, 2022.</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conference call will be made available in the Investors section of PWP’s website at https://investors.pwpartners.com/.</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conference call can also be accessed by the following dial-in information:</w:t>
      </w:r>
    </w:p>
    <w:p>
      <w:pPr>
        <w:spacing w:after="0" w:line="239" w:lineRule="exact"/>
        <w:rPr>
          <w:sz w:val="20"/>
          <w:szCs w:val="20"/>
          <w:color w:val="auto"/>
        </w:rPr>
      </w:pPr>
    </w:p>
    <w:p>
      <w:pPr>
        <w:ind w:left="860" w:hanging="366"/>
        <w:spacing w:after="0"/>
        <w:tabs>
          <w:tab w:leader="none" w:pos="8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(800) 579-2543</w:t>
      </w:r>
    </w:p>
    <w:p>
      <w:pPr>
        <w:spacing w:after="0" w:line="225"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(785) 424-1789</w:t>
      </w:r>
    </w:p>
    <w:p>
      <w:pPr>
        <w:spacing w:after="0" w:line="211"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Conference ID: PWPQ322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Replay</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 replay of the call will also be available on PWP’s website approximately two hours after the live call through November 10, 2022. To access the replay, dial (800) 934-2123 (Domestic) or (402) 220-1137 (International). The replay can also be accessed on the investors section of PWP’s website at https://investors.pwpartners.com/.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PWP</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Perella Weinberg Partners is a leading global independent advisory firm, providing strategic and financial advice to a broad client base, including corporations, institutions, governments, sovereign wealth funds and the financial sponsor community. The firm offers a wide range of advisory services to clients in the most active industry sectors and global markets. With approximately 650 employees, PWP currently maintains offices in New York, Houston, London, Calgary, Chicago, Denver, Los Angeles, Paris, Munich, and San Francisco. The financial information of PWP herein refers to the business operations of PWP Holdings LP and Subsidiaries.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additional information that management believes to be useful for investors, please refer to the latest presentation posted on the Investors section of PWP’s website at https://investors.pwpartners.com/.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Perella Weinberg Partners Investor Relations: investors@pwpartners.com</w:t>
      </w:r>
    </w:p>
    <w:p>
      <w:pPr>
        <w:spacing w:after="0"/>
        <w:rPr>
          <w:sz w:val="20"/>
          <w:szCs w:val="20"/>
          <w:color w:val="auto"/>
        </w:rPr>
      </w:pPr>
      <w:r>
        <w:rPr>
          <w:rFonts w:ascii="Times New Roman" w:cs="Times New Roman" w:eastAsia="Times New Roman" w:hAnsi="Times New Roman"/>
          <w:sz w:val="18"/>
          <w:szCs w:val="18"/>
          <w:color w:val="auto"/>
        </w:rPr>
        <w:t>For Perella Weinberg Partners Media: media@pwpartners.com</w:t>
      </w:r>
    </w:p>
    <w:p>
      <w:pPr>
        <w:spacing w:after="0" w:line="301" w:lineRule="exact"/>
        <w:rPr>
          <w:sz w:val="20"/>
          <w:szCs w:val="20"/>
          <w:color w:val="auto"/>
        </w:rPr>
      </w:pPr>
    </w:p>
    <w:p>
      <w:pPr>
        <w:ind w:firstLine="8"/>
        <w:spacing w:after="0" w:line="298" w:lineRule="auto"/>
        <w:tabs>
          <w:tab w:leader="none" w:pos="119"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Throughout this release, adjusted figures represent Non-GAAP information. See “Non-GAAP Financial Measures” and the tables at the end of this release for an explanation of the adjustments and reconciliations to the comparable GAAP numbers.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27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Non-GAAP Financial Measures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financial measures presented in accordance with GAAP, we monitor certain non-GAAP financial measures to manage our business, make planning decisions, evaluate our performance and allocate resources. We believe that these non-GAAP financial measures are key financial indicators of our business performance over the long term and provide useful information regarding whether cash provided by operating activities is sufficient to maintain and grow our business. We believe that the methodology for determining these non-GAAP financial measures can provide useful supplemental information to help investors better understand the economics of our platform.</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non-GAAP financial measures have limitations as analytical tools and should not be considered in isolation from, or as a substitute for, the analysis of other GAAP financial measures. These non-GAAP financial measures are not universally consistent calculations, limiting their usefulness as comparative measures. Other companies may calculate similarly titled financial measures differently. Additionally, these non-GAAP financial measures are not measurements of financial performance or liquidity under GAAP. In order to facilitate a clear understanding of our consolidated historical operating results, you should examine our non-GAAP financial measures in conjunction with our historical consolidated financial statements and notes thereto included elsewhere in this press release.</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compensates for the inherent limitations associated with using these non-GAAP financial measures through disclosure of such limitations, presentation of our financial statements in accordance with GAAP and reconciliation of such non-GAAP financial measures to the most directly comparable GAAP financial measures. See “Non-GAAP Financial Measures” and the tables at the end of this release for an explanation of the adjustments and reconciliations to the comparable GAAP numbers.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 Looking Statements</w:t>
      </w:r>
    </w:p>
    <w:p>
      <w:pPr>
        <w:spacing w:after="0" w:line="2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statements made in this press release, and oral statements made from time to time by representatives of PWP are “forward-looking statements” within the meaning of the federal securities laws, including the Private Securities Litigation Reform Act of 1995, Section 27A of the Securities Act of 1933, as amended, and Section 21E of the Securities Exchange Act of 1934, as amended. Statements regarding the expectations regarding the combined business are “forward looking statements.” In addition,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the control of the parties, that could cause actual results or outcomes to differ materially from those discussed in the forward-looking statements. Important factors, among others, that may affect actual results or outcomes include:</w:t>
      </w:r>
    </w:p>
    <w:p>
      <w:pPr>
        <w:spacing w:after="0" w:line="215" w:lineRule="exact"/>
        <w:rPr>
          <w:sz w:val="20"/>
          <w:szCs w:val="20"/>
          <w:color w:val="auto"/>
        </w:rPr>
      </w:pPr>
    </w:p>
    <w:p>
      <w:pPr>
        <w:ind w:left="640" w:hanging="366"/>
        <w:spacing w:after="0"/>
        <w:tabs>
          <w:tab w:leader="none" w:pos="6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projected financial information, anticipated growth rate, and market opportunity of the Firm;</w:t>
      </w:r>
    </w:p>
    <w:p>
      <w:pPr>
        <w:spacing w:after="0" w:line="117" w:lineRule="exact"/>
        <w:rPr>
          <w:rFonts w:ascii="Times New Roman" w:cs="Times New Roman" w:eastAsia="Times New Roman" w:hAnsi="Times New Roman"/>
          <w:sz w:val="18"/>
          <w:szCs w:val="18"/>
          <w:color w:val="auto"/>
        </w:rPr>
      </w:pPr>
    </w:p>
    <w:p>
      <w:pPr>
        <w:ind w:left="640" w:hanging="366"/>
        <w:spacing w:after="0"/>
        <w:tabs>
          <w:tab w:leader="none" w:pos="6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maintain the listing of the Firm’s Class A common stock on Nasdaq following the Business Combination;</w:t>
      </w:r>
    </w:p>
    <w:p>
      <w:pPr>
        <w:spacing w:after="0" w:line="117" w:lineRule="exact"/>
        <w:rPr>
          <w:rFonts w:ascii="Times New Roman" w:cs="Times New Roman" w:eastAsia="Times New Roman" w:hAnsi="Times New Roman"/>
          <w:sz w:val="18"/>
          <w:szCs w:val="18"/>
          <w:color w:val="auto"/>
        </w:rPr>
      </w:pPr>
    </w:p>
    <w:p>
      <w:pPr>
        <w:ind w:left="640" w:hanging="366"/>
        <w:spacing w:after="0"/>
        <w:tabs>
          <w:tab w:leader="none" w:pos="6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public securities’ potential liquidity and trading;</w:t>
      </w:r>
    </w:p>
    <w:p>
      <w:pPr>
        <w:spacing w:after="0" w:line="117" w:lineRule="exact"/>
        <w:rPr>
          <w:rFonts w:ascii="Times New Roman" w:cs="Times New Roman" w:eastAsia="Times New Roman" w:hAnsi="Times New Roman"/>
          <w:sz w:val="18"/>
          <w:szCs w:val="18"/>
          <w:color w:val="auto"/>
        </w:rPr>
      </w:pPr>
    </w:p>
    <w:p>
      <w:pPr>
        <w:ind w:left="660" w:right="580" w:hanging="386"/>
        <w:spacing w:after="0" w:line="282" w:lineRule="auto"/>
        <w:tabs>
          <w:tab w:leader="none" w:pos="65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partners and other employees, or changes related to, our officers, key employees or directors following the completion of the Business Combination;</w:t>
      </w:r>
    </w:p>
    <w:p>
      <w:pPr>
        <w:spacing w:after="0" w:line="53" w:lineRule="exact"/>
        <w:rPr>
          <w:rFonts w:ascii="Times New Roman" w:cs="Times New Roman" w:eastAsia="Times New Roman" w:hAnsi="Times New Roman"/>
          <w:sz w:val="18"/>
          <w:szCs w:val="18"/>
          <w:color w:val="auto"/>
        </w:rPr>
      </w:pPr>
    </w:p>
    <w:p>
      <w:pPr>
        <w:ind w:left="640" w:hanging="366"/>
        <w:spacing w:after="0"/>
        <w:tabs>
          <w:tab w:leader="none" w:pos="6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of our management team allocating their time to other businesses and potentially having conflicts of interest with our business;</w:t>
      </w:r>
    </w:p>
    <w:p>
      <w:pPr>
        <w:spacing w:after="0" w:line="117" w:lineRule="exact"/>
        <w:rPr>
          <w:rFonts w:ascii="Times New Roman" w:cs="Times New Roman" w:eastAsia="Times New Roman" w:hAnsi="Times New Roman"/>
          <w:sz w:val="18"/>
          <w:szCs w:val="18"/>
          <w:color w:val="auto"/>
        </w:rPr>
      </w:pPr>
    </w:p>
    <w:p>
      <w:pPr>
        <w:ind w:left="640" w:hanging="366"/>
        <w:spacing w:after="0"/>
        <w:tabs>
          <w:tab w:leader="none" w:pos="6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relating to the business, operations and financial performance of the Firm, including:</w:t>
      </w:r>
    </w:p>
    <w:p>
      <w:pPr>
        <w:spacing w:after="0" w:line="117" w:lineRule="exact"/>
        <w:rPr>
          <w:rFonts w:ascii="Times New Roman" w:cs="Times New Roman" w:eastAsia="Times New Roman" w:hAnsi="Times New Roman"/>
          <w:sz w:val="18"/>
          <w:szCs w:val="18"/>
          <w:color w:val="auto"/>
        </w:rPr>
      </w:pPr>
    </w:p>
    <w:p>
      <w:pPr>
        <w:ind w:left="900" w:hanging="283"/>
        <w:spacing w:after="0"/>
        <w:tabs>
          <w:tab w:leader="none" w:pos="90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Firm realizes all or any of the anticipated benefits from the Business Combination;</w:t>
      </w:r>
    </w:p>
    <w:p>
      <w:pPr>
        <w:spacing w:after="0" w:line="117" w:lineRule="exact"/>
        <w:rPr>
          <w:rFonts w:ascii="Times New Roman" w:cs="Times New Roman" w:eastAsia="Times New Roman" w:hAnsi="Times New Roman"/>
          <w:sz w:val="18"/>
          <w:szCs w:val="18"/>
          <w:color w:val="auto"/>
        </w:rPr>
      </w:pPr>
    </w:p>
    <w:p>
      <w:pPr>
        <w:ind w:left="920" w:right="260" w:hanging="303"/>
        <w:spacing w:after="0" w:line="282" w:lineRule="auto"/>
        <w:tabs>
          <w:tab w:leader="none" w:pos="915"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Business Combination results in any increased or unforeseen costs or has an impact on the Firm’s ability to retain or compete for professional talent or investor capital;</w:t>
      </w:r>
    </w:p>
    <w:p>
      <w:pPr>
        <w:spacing w:after="0" w:line="53" w:lineRule="exact"/>
        <w:rPr>
          <w:rFonts w:ascii="Times New Roman" w:cs="Times New Roman" w:eastAsia="Times New Roman" w:hAnsi="Times New Roman"/>
          <w:sz w:val="18"/>
          <w:szCs w:val="18"/>
          <w:color w:val="auto"/>
        </w:rPr>
      </w:pPr>
    </w:p>
    <w:p>
      <w:pPr>
        <w:jc w:val="both"/>
        <w:ind w:left="920" w:right="320" w:hanging="303"/>
        <w:spacing w:after="0" w:line="266" w:lineRule="auto"/>
        <w:tabs>
          <w:tab w:leader="none" w:pos="915"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business, market and geopolitical conditions, including the impact of public health crises, such as the ongoing rapid, worldwide spread of a novel strain of coronavirus and the pandemic caused thereby (collectively, “COVID-19”) as well as the impact of recent hostilities between Russia and Ukraine;</w:t>
      </w:r>
    </w:p>
    <w:p>
      <w:pPr>
        <w:spacing w:after="0" w:line="67" w:lineRule="exact"/>
        <w:rPr>
          <w:rFonts w:ascii="Times New Roman" w:cs="Times New Roman" w:eastAsia="Times New Roman" w:hAnsi="Times New Roman"/>
          <w:sz w:val="18"/>
          <w:szCs w:val="18"/>
          <w:color w:val="auto"/>
        </w:rPr>
      </w:pPr>
    </w:p>
    <w:p>
      <w:pPr>
        <w:ind w:left="900" w:hanging="283"/>
        <w:spacing w:after="0"/>
        <w:tabs>
          <w:tab w:leader="none" w:pos="90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Firm’s dependence on and ability to retain working partners and other key employees;</w:t>
      </w:r>
    </w:p>
    <w:p>
      <w:pPr>
        <w:spacing w:after="0" w:line="117" w:lineRule="exact"/>
        <w:rPr>
          <w:rFonts w:ascii="Times New Roman" w:cs="Times New Roman" w:eastAsia="Times New Roman" w:hAnsi="Times New Roman"/>
          <w:sz w:val="18"/>
          <w:szCs w:val="18"/>
          <w:color w:val="auto"/>
        </w:rPr>
      </w:pPr>
    </w:p>
    <w:p>
      <w:pPr>
        <w:ind w:left="900" w:hanging="283"/>
        <w:spacing w:after="0"/>
        <w:tabs>
          <w:tab w:leader="none" w:pos="90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Firm’s ability to successfully identify, recruit and develop talent;</w:t>
      </w:r>
    </w:p>
    <w:p>
      <w:pPr>
        <w:spacing w:after="0" w:line="117" w:lineRule="exact"/>
        <w:rPr>
          <w:rFonts w:ascii="Times New Roman" w:cs="Times New Roman" w:eastAsia="Times New Roman" w:hAnsi="Times New Roman"/>
          <w:sz w:val="18"/>
          <w:szCs w:val="18"/>
          <w:color w:val="auto"/>
        </w:rPr>
      </w:pPr>
    </w:p>
    <w:p>
      <w:pPr>
        <w:ind w:left="900" w:hanging="283"/>
        <w:spacing w:after="0"/>
        <w:tabs>
          <w:tab w:leader="none" w:pos="90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strategic transactions, such as joint ventures, strategic investments, acquisitions and dispositions;</w:t>
      </w:r>
    </w:p>
    <w:p>
      <w:pPr>
        <w:spacing w:after="0" w:line="117" w:lineRule="exact"/>
        <w:rPr>
          <w:rFonts w:ascii="Times New Roman" w:cs="Times New Roman" w:eastAsia="Times New Roman" w:hAnsi="Times New Roman"/>
          <w:sz w:val="18"/>
          <w:szCs w:val="18"/>
          <w:color w:val="auto"/>
        </w:rPr>
      </w:pPr>
    </w:p>
    <w:p>
      <w:pPr>
        <w:ind w:left="900" w:hanging="283"/>
        <w:spacing w:after="0"/>
        <w:tabs>
          <w:tab w:leader="none" w:pos="90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impacting the corporate advisory industry;</w:t>
      </w:r>
    </w:p>
    <w:p>
      <w:pPr>
        <w:spacing w:after="0" w:line="200" w:lineRule="exact"/>
        <w:rPr>
          <w:rFonts w:ascii="Times New Roman" w:cs="Times New Roman" w:eastAsia="Times New Roman" w:hAnsi="Times New Roman"/>
          <w:sz w:val="18"/>
          <w:szCs w:val="18"/>
          <w:color w:val="auto"/>
        </w:rPr>
      </w:pPr>
    </w:p>
    <w:p>
      <w:pPr>
        <w:spacing w:after="0" w:line="255" w:lineRule="exact"/>
        <w:rPr>
          <w:rFonts w:ascii="Times New Roman" w:cs="Times New Roman" w:eastAsia="Times New Roman" w:hAnsi="Times New Roman"/>
          <w:sz w:val="18"/>
          <w:szCs w:val="18"/>
          <w:color w:val="auto"/>
        </w:rPr>
      </w:pPr>
    </w:p>
    <w:p>
      <w:pPr>
        <w:spacing w:after="0" w:line="29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5"/>
          <w:szCs w:val="15"/>
          <w:color w:val="auto"/>
        </w:rPr>
        <w:t>* Throughout this release, adjusted figures represent Non-GAAP information. See “Non-GAAP Financial Measures” and the tables at the end of this release for an explanation of the adjustments and reconciliations to the comparable GAAP numbers.</w:t>
      </w:r>
    </w:p>
    <w:p>
      <w:pPr>
        <w:sectPr>
          <w:pgSz w:w="11900" w:h="16838" w:orient="portrait"/>
          <w:cols w:equalWidth="0" w:num="1">
            <w:col w:w="11240"/>
          </w:cols>
          <w:pgMar w:left="320" w:top="1278" w:right="339" w:bottom="1440" w:gutter="0" w:footer="0" w:header="0"/>
        </w:sectPr>
      </w:pP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240"/>
          </w:cols>
          <w:pgMar w:left="320" w:top="1278" w:right="339" w:bottom="1440" w:gutter="0" w:footer="0" w:header="0"/>
          <w:type w:val="continuous"/>
        </w:sectPr>
      </w:pPr>
    </w:p>
    <w:bookmarkStart w:id="10" w:name="page11"/>
    <w:bookmarkEnd w:id="10"/>
    <w:p>
      <w:pPr>
        <w:ind w:left="920" w:right="460" w:hanging="303"/>
        <w:spacing w:after="0" w:line="282" w:lineRule="auto"/>
        <w:tabs>
          <w:tab w:leader="none" w:pos="9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the Firm’s dependence on its fee-paying clients and fluctuating revenues from its non-exclusive, engagement-by-engagement business model;</w:t>
      </w:r>
    </w:p>
    <w:p>
      <w:pPr>
        <w:spacing w:after="0" w:line="53" w:lineRule="exact"/>
        <w:rPr>
          <w:rFonts w:ascii="Times New Roman" w:cs="Times New Roman" w:eastAsia="Times New Roman" w:hAnsi="Times New Roman"/>
          <w:sz w:val="18"/>
          <w:szCs w:val="18"/>
          <w:color w:val="auto"/>
        </w:rPr>
      </w:pPr>
    </w:p>
    <w:p>
      <w:pPr>
        <w:ind w:left="920" w:right="120" w:hanging="303"/>
        <w:spacing w:after="0" w:line="282" w:lineRule="auto"/>
        <w:tabs>
          <w:tab w:leader="none" w:pos="9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 volatility of the Firm’s revenues as a result of its reliance on advisory fees that are largely contingent on the completion of events which may be out of its control;</w:t>
      </w:r>
    </w:p>
    <w:p>
      <w:pPr>
        <w:spacing w:after="0" w:line="53" w:lineRule="exact"/>
        <w:rPr>
          <w:rFonts w:ascii="Times New Roman" w:cs="Times New Roman" w:eastAsia="Times New Roman" w:hAnsi="Times New Roman"/>
          <w:sz w:val="18"/>
          <w:szCs w:val="18"/>
          <w:color w:val="auto"/>
        </w:rPr>
      </w:pPr>
    </w:p>
    <w:p>
      <w:pPr>
        <w:ind w:left="900" w:hanging="2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Firm’s clients to pay for its services, including its restructuring clients;</w:t>
      </w:r>
    </w:p>
    <w:p>
      <w:pPr>
        <w:spacing w:after="0" w:line="117" w:lineRule="exact"/>
        <w:rPr>
          <w:rFonts w:ascii="Times New Roman" w:cs="Times New Roman" w:eastAsia="Times New Roman" w:hAnsi="Times New Roman"/>
          <w:sz w:val="18"/>
          <w:szCs w:val="18"/>
          <w:color w:val="auto"/>
        </w:rPr>
      </w:pPr>
    </w:p>
    <w:p>
      <w:pPr>
        <w:ind w:left="920" w:right="240" w:hanging="303"/>
        <w:spacing w:after="0" w:line="282" w:lineRule="auto"/>
        <w:tabs>
          <w:tab w:leader="none" w:pos="9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Firm’s ability to appropriately manage conflicts of interest and tax and other regulatory factors relevant to the Firm’s business, including actual, potential or perceived conflicts of interest and other factors that may damage its business and reputation;</w:t>
      </w:r>
    </w:p>
    <w:p>
      <w:pPr>
        <w:spacing w:after="0" w:line="53" w:lineRule="exact"/>
        <w:rPr>
          <w:rFonts w:ascii="Times New Roman" w:cs="Times New Roman" w:eastAsia="Times New Roman" w:hAnsi="Times New Roman"/>
          <w:sz w:val="18"/>
          <w:szCs w:val="18"/>
          <w:color w:val="auto"/>
        </w:rPr>
      </w:pPr>
    </w:p>
    <w:p>
      <w:pPr>
        <w:ind w:left="900" w:hanging="2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competition from other financial advisory and investment banking firms;</w:t>
      </w:r>
    </w:p>
    <w:p>
      <w:pPr>
        <w:spacing w:after="0" w:line="117" w:lineRule="exact"/>
        <w:rPr>
          <w:rFonts w:ascii="Times New Roman" w:cs="Times New Roman" w:eastAsia="Times New Roman" w:hAnsi="Times New Roman"/>
          <w:sz w:val="18"/>
          <w:szCs w:val="18"/>
          <w:color w:val="auto"/>
        </w:rPr>
      </w:pPr>
    </w:p>
    <w:p>
      <w:pPr>
        <w:ind w:left="900" w:hanging="2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impairment of goodwill and other intangible assets, which represent a significant portion of the Firm’s assets;</w:t>
      </w:r>
    </w:p>
    <w:p>
      <w:pPr>
        <w:spacing w:after="0" w:line="117" w:lineRule="exact"/>
        <w:rPr>
          <w:rFonts w:ascii="Times New Roman" w:cs="Times New Roman" w:eastAsia="Times New Roman" w:hAnsi="Times New Roman"/>
          <w:sz w:val="18"/>
          <w:szCs w:val="18"/>
          <w:color w:val="auto"/>
        </w:rPr>
      </w:pPr>
    </w:p>
    <w:p>
      <w:pPr>
        <w:ind w:left="900" w:hanging="2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Firm’s successful formulation and execution of its business and growth strategies;</w:t>
      </w:r>
    </w:p>
    <w:p>
      <w:pPr>
        <w:spacing w:after="0" w:line="117" w:lineRule="exact"/>
        <w:rPr>
          <w:rFonts w:ascii="Times New Roman" w:cs="Times New Roman" w:eastAsia="Times New Roman" w:hAnsi="Times New Roman"/>
          <w:sz w:val="18"/>
          <w:szCs w:val="18"/>
          <w:color w:val="auto"/>
        </w:rPr>
      </w:pPr>
    </w:p>
    <w:p>
      <w:pPr>
        <w:ind w:left="900" w:hanging="2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third-party litigation involving the Firm;</w:t>
      </w:r>
    </w:p>
    <w:p>
      <w:pPr>
        <w:spacing w:after="0" w:line="117" w:lineRule="exact"/>
        <w:rPr>
          <w:rFonts w:ascii="Times New Roman" w:cs="Times New Roman" w:eastAsia="Times New Roman" w:hAnsi="Times New Roman"/>
          <w:sz w:val="18"/>
          <w:szCs w:val="18"/>
          <w:color w:val="auto"/>
        </w:rPr>
      </w:pPr>
    </w:p>
    <w:p>
      <w:pPr>
        <w:ind w:left="900" w:hanging="2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litigation risks in the financial services industry;</w:t>
      </w:r>
    </w:p>
    <w:p>
      <w:pPr>
        <w:spacing w:after="0" w:line="117" w:lineRule="exact"/>
        <w:rPr>
          <w:rFonts w:ascii="Times New Roman" w:cs="Times New Roman" w:eastAsia="Times New Roman" w:hAnsi="Times New Roman"/>
          <w:sz w:val="18"/>
          <w:szCs w:val="18"/>
          <w:color w:val="auto"/>
        </w:rPr>
      </w:pPr>
    </w:p>
    <w:p>
      <w:pPr>
        <w:ind w:left="900" w:hanging="2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and other operational risks;</w:t>
      </w:r>
    </w:p>
    <w:p>
      <w:pPr>
        <w:spacing w:after="0" w:line="117" w:lineRule="exact"/>
        <w:rPr>
          <w:rFonts w:ascii="Times New Roman" w:cs="Times New Roman" w:eastAsia="Times New Roman" w:hAnsi="Times New Roman"/>
          <w:sz w:val="18"/>
          <w:szCs w:val="18"/>
          <w:color w:val="auto"/>
        </w:rPr>
      </w:pPr>
    </w:p>
    <w:p>
      <w:pPr>
        <w:ind w:left="900" w:hanging="2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Firm’s ability to expand into new markets and lines of businesses for the advisory business;</w:t>
      </w:r>
    </w:p>
    <w:p>
      <w:pPr>
        <w:spacing w:after="0" w:line="117" w:lineRule="exact"/>
        <w:rPr>
          <w:rFonts w:ascii="Times New Roman" w:cs="Times New Roman" w:eastAsia="Times New Roman" w:hAnsi="Times New Roman"/>
          <w:sz w:val="18"/>
          <w:szCs w:val="18"/>
          <w:color w:val="auto"/>
        </w:rPr>
      </w:pPr>
    </w:p>
    <w:p>
      <w:pPr>
        <w:ind w:left="900" w:hanging="2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fluctuations in foreign currency exchange rates;</w:t>
      </w:r>
    </w:p>
    <w:p>
      <w:pPr>
        <w:spacing w:after="0" w:line="117" w:lineRule="exact"/>
        <w:rPr>
          <w:rFonts w:ascii="Times New Roman" w:cs="Times New Roman" w:eastAsia="Times New Roman" w:hAnsi="Times New Roman"/>
          <w:sz w:val="18"/>
          <w:szCs w:val="18"/>
          <w:color w:val="auto"/>
        </w:rPr>
      </w:pPr>
    </w:p>
    <w:p>
      <w:pPr>
        <w:ind w:left="900" w:hanging="2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relating to the Firm’s operations, financial results, financial condition, business prospects, growth strategy and liquidity; and</w:t>
      </w:r>
    </w:p>
    <w:p>
      <w:pPr>
        <w:spacing w:after="0" w:line="117" w:lineRule="exact"/>
        <w:rPr>
          <w:rFonts w:ascii="Times New Roman" w:cs="Times New Roman" w:eastAsia="Times New Roman" w:hAnsi="Times New Roman"/>
          <w:sz w:val="18"/>
          <w:szCs w:val="18"/>
          <w:color w:val="auto"/>
        </w:rPr>
      </w:pPr>
    </w:p>
    <w:p>
      <w:pPr>
        <w:ind w:left="920" w:right="220" w:hanging="303"/>
        <w:spacing w:after="0" w:line="282" w:lineRule="auto"/>
        <w:tabs>
          <w:tab w:leader="none" w:pos="9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regulation of the corporate advisory industry and U.S. and foreign regulatory developments relating to, among other things, financial institutions and markets, government oversight, fiscal and tax policy and laws (including the treatment of carried interest)</w:t>
      </w:r>
    </w:p>
    <w:p>
      <w:pPr>
        <w:spacing w:after="0" w:line="29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forward-looking statements in this press release and oral statements made from time to time by representatives of PWP are based on current expectations and beliefs concerning future developments and their potential effects on the Firm. There can be no assurance that future developments affecting the Firm will be those that the Firm has anticipated. These forward-looking statements involve a number of risks, uncertainties (some of which are beyond the Firm’s control) or other assumptions that may cause actual results or performance to be materially different from those expressed or implied by these forward-looking statements. These risks and uncertainties include, but are not limited to, those factors described in the section entitled “Risk Factors” in our Amendment No. 1 to our Annual Report on Form 10-K/A filed with the SEC on July 7, 2022 and the other documents filed by the Firm from time to time with the SEC. Should one or more of these risks or uncertainties materialize, or should any of our assumptions prove incorrect, actual results may vary in material respects from those projected in these forward-looking statements. The Firm undertakes no obligation to update or revise any forward-looking statements, whether as a result of new information, future events or otherwise, except as may be required under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firstLine="8"/>
        <w:spacing w:after="0" w:line="280" w:lineRule="auto"/>
        <w:tabs>
          <w:tab w:leader="none" w:pos="119"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Throughout this release, adjusted figures represent Non-GAAP information. See “Non-GAAP Financial Measures” and the tables at the end of this release for an explanation of the adjustments and reconciliations to the comparable GAAP numbers.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282" w:right="339" w:bottom="1440" w:gutter="0" w:footer="0" w:header="0"/>
        </w:sectPr>
      </w:pPr>
    </w:p>
    <w:bookmarkStart w:id="11" w:name="page12"/>
    <w:bookmarkEnd w:id="11"/>
    <w:p>
      <w:pPr>
        <w:ind w:left="38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Consolidated Statements of Operations (Unaudited)</w:t>
      </w:r>
    </w:p>
    <w:p>
      <w:pPr>
        <w:ind w:left="3860"/>
        <w:spacing w:after="0"/>
        <w:rPr>
          <w:sz w:val="20"/>
          <w:szCs w:val="20"/>
          <w:color w:val="auto"/>
        </w:rPr>
      </w:pPr>
      <w:r>
        <w:rPr>
          <w:rFonts w:ascii="Times New Roman" w:cs="Times New Roman" w:eastAsia="Times New Roman" w:hAnsi="Times New Roman"/>
          <w:sz w:val="16"/>
          <w:szCs w:val="16"/>
          <w:b w:val="1"/>
          <w:bCs w:val="1"/>
          <w:color w:val="auto"/>
        </w:rPr>
        <w:t>(Dollars in Thousands, Except Per Share Amounts)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4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0" w:type="dxa"/>
            <w:vAlign w:val="bottom"/>
          </w:tcPr>
          <w:p>
            <w:pPr>
              <w:spacing w:after="0"/>
              <w:rPr>
                <w:sz w:val="17"/>
                <w:szCs w:val="17"/>
                <w:color w:val="auto"/>
              </w:rPr>
            </w:pPr>
          </w:p>
        </w:tc>
        <w:tc>
          <w:tcPr>
            <w:tcW w:w="2360" w:type="dxa"/>
            <w:vAlign w:val="bottom"/>
            <w:gridSpan w:val="4"/>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25"/>
        </w:trPr>
        <w:tc>
          <w:tcPr>
            <w:tcW w:w="58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8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0" w:type="dxa"/>
            <w:vAlign w:val="bottom"/>
          </w:tcPr>
          <w:p>
            <w:pPr>
              <w:spacing w:after="0"/>
              <w:rPr>
                <w:sz w:val="1"/>
                <w:szCs w:val="1"/>
                <w:color w:val="auto"/>
              </w:rPr>
            </w:pPr>
          </w:p>
        </w:tc>
      </w:tr>
      <w:tr>
        <w:trPr>
          <w:trHeight w:val="211"/>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145,379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177,427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448,359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602,749</w:t>
            </w:r>
          </w:p>
        </w:tc>
        <w:tc>
          <w:tcPr>
            <w:tcW w:w="0" w:type="dxa"/>
            <w:vAlign w:val="bottom"/>
          </w:tcPr>
          <w:p>
            <w:pPr>
              <w:spacing w:after="0"/>
              <w:rPr>
                <w:sz w:val="1"/>
                <w:szCs w:val="1"/>
                <w:color w:val="auto"/>
              </w:rPr>
            </w:pPr>
          </w:p>
        </w:tc>
      </w:tr>
      <w:tr>
        <w:trPr>
          <w:trHeight w:val="214"/>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86,260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113,322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264,092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387,196</w:t>
            </w:r>
          </w:p>
        </w:tc>
        <w:tc>
          <w:tcPr>
            <w:tcW w:w="0" w:type="dxa"/>
            <w:vAlign w:val="bottom"/>
          </w:tcPr>
          <w:p>
            <w:pPr>
              <w:spacing w:after="0"/>
              <w:rPr>
                <w:sz w:val="1"/>
                <w:szCs w:val="1"/>
                <w:color w:val="auto"/>
              </w:rPr>
            </w:pPr>
          </w:p>
        </w:tc>
      </w:tr>
      <w:tr>
        <w:trPr>
          <w:trHeight w:val="213"/>
        </w:trPr>
        <w:tc>
          <w:tcPr>
            <w:tcW w:w="58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Equity-based compensation</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36,999</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38,050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114,316</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51,272</w:t>
            </w:r>
          </w:p>
        </w:tc>
        <w:tc>
          <w:tcPr>
            <w:tcW w:w="0" w:type="dxa"/>
            <w:vAlign w:val="bottom"/>
          </w:tcPr>
          <w:p>
            <w:pPr>
              <w:spacing w:after="0"/>
              <w:rPr>
                <w:sz w:val="1"/>
                <w:szCs w:val="1"/>
                <w:color w:val="auto"/>
              </w:rPr>
            </w:pPr>
          </w:p>
        </w:tc>
      </w:tr>
      <w:tr>
        <w:trPr>
          <w:trHeight w:val="212"/>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compensation and benefits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123,259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151,372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378,408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438,468</w:t>
            </w:r>
          </w:p>
        </w:tc>
        <w:tc>
          <w:tcPr>
            <w:tcW w:w="0" w:type="dxa"/>
            <w:vAlign w:val="bottom"/>
          </w:tcPr>
          <w:p>
            <w:pPr>
              <w:spacing w:after="0"/>
              <w:rPr>
                <w:sz w:val="1"/>
                <w:szCs w:val="1"/>
                <w:color w:val="auto"/>
              </w:rPr>
            </w:pPr>
          </w:p>
        </w:tc>
      </w:tr>
      <w:tr>
        <w:trPr>
          <w:trHeight w:val="213"/>
        </w:trPr>
        <w:tc>
          <w:tcPr>
            <w:tcW w:w="5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Professional fees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25,902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28,954</w:t>
            </w: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Technology and infrastructure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22,414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21,465</w:t>
            </w:r>
          </w:p>
        </w:tc>
        <w:tc>
          <w:tcPr>
            <w:tcW w:w="0" w:type="dxa"/>
            <w:vAlign w:val="bottom"/>
          </w:tcPr>
          <w:p>
            <w:pPr>
              <w:spacing w:after="0"/>
              <w:rPr>
                <w:sz w:val="1"/>
                <w:szCs w:val="1"/>
                <w:color w:val="auto"/>
              </w:rPr>
            </w:pPr>
          </w:p>
        </w:tc>
      </w:tr>
      <w:tr>
        <w:trPr>
          <w:trHeight w:val="213"/>
        </w:trPr>
        <w:tc>
          <w:tcPr>
            <w:tcW w:w="5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Rent and occupancy</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17,511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20,068</w:t>
            </w: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Travel and related expenses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3,505</w:t>
            </w:r>
          </w:p>
        </w:tc>
        <w:tc>
          <w:tcPr>
            <w:tcW w:w="0" w:type="dxa"/>
            <w:vAlign w:val="bottom"/>
          </w:tcPr>
          <w:p>
            <w:pPr>
              <w:spacing w:after="0"/>
              <w:rPr>
                <w:sz w:val="1"/>
                <w:szCs w:val="1"/>
                <w:color w:val="auto"/>
              </w:rPr>
            </w:pPr>
          </w:p>
        </w:tc>
      </w:tr>
      <w:tr>
        <w:trPr>
          <w:trHeight w:val="213"/>
        </w:trPr>
        <w:tc>
          <w:tcPr>
            <w:tcW w:w="5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General, administrative and other expenses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15,414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12,005</w:t>
            </w: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11,081</w:t>
            </w:r>
          </w:p>
        </w:tc>
        <w:tc>
          <w:tcPr>
            <w:tcW w:w="0" w:type="dxa"/>
            <w:vAlign w:val="bottom"/>
          </w:tcPr>
          <w:p>
            <w:pPr>
              <w:spacing w:after="0"/>
              <w:rPr>
                <w:sz w:val="1"/>
                <w:szCs w:val="1"/>
                <w:color w:val="auto"/>
              </w:rPr>
            </w:pPr>
          </w:p>
        </w:tc>
      </w:tr>
      <w:tr>
        <w:trPr>
          <w:trHeight w:val="207"/>
        </w:trPr>
        <w:tc>
          <w:tcPr>
            <w:tcW w:w="58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expenses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154,197</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187,754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476,549</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535,546</w:t>
            </w:r>
          </w:p>
        </w:tc>
        <w:tc>
          <w:tcPr>
            <w:tcW w:w="0" w:type="dxa"/>
            <w:vAlign w:val="bottom"/>
          </w:tcPr>
          <w:p>
            <w:pPr>
              <w:spacing w:after="0"/>
              <w:rPr>
                <w:sz w:val="1"/>
                <w:szCs w:val="1"/>
                <w:color w:val="auto"/>
              </w:rPr>
            </w:pPr>
          </w:p>
        </w:tc>
      </w:tr>
      <w:tr>
        <w:trPr>
          <w:trHeight w:val="212"/>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 (loss)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(28,190)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67,203</w:t>
            </w:r>
          </w:p>
        </w:tc>
        <w:tc>
          <w:tcPr>
            <w:tcW w:w="0" w:type="dxa"/>
            <w:vAlign w:val="bottom"/>
          </w:tcPr>
          <w:p>
            <w:pPr>
              <w:spacing w:after="0"/>
              <w:rPr>
                <w:sz w:val="1"/>
                <w:szCs w:val="1"/>
                <w:color w:val="auto"/>
              </w:rPr>
            </w:pPr>
          </w:p>
        </w:tc>
      </w:tr>
      <w:tr>
        <w:trPr>
          <w:trHeight w:val="214"/>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Non-operating income (expenses)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Related party income</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5,303</w:t>
            </w:r>
          </w:p>
        </w:tc>
        <w:tc>
          <w:tcPr>
            <w:tcW w:w="0" w:type="dxa"/>
            <w:vAlign w:val="bottom"/>
          </w:tcPr>
          <w:p>
            <w:pPr>
              <w:spacing w:after="0"/>
              <w:rPr>
                <w:sz w:val="1"/>
                <w:szCs w:val="1"/>
                <w:color w:val="auto"/>
              </w:rPr>
            </w:pPr>
          </w:p>
        </w:tc>
      </w:tr>
      <w:tr>
        <w:trPr>
          <w:trHeight w:val="213"/>
        </w:trPr>
        <w:tc>
          <w:tcPr>
            <w:tcW w:w="5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income (expense)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11,908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1,236</w:t>
            </w: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15,806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(2,058)</w:t>
            </w:r>
          </w:p>
        </w:tc>
        <w:tc>
          <w:tcPr>
            <w:tcW w:w="0" w:type="dxa"/>
            <w:vAlign w:val="bottom"/>
          </w:tcPr>
          <w:p>
            <w:pPr>
              <w:spacing w:after="0"/>
              <w:rPr>
                <w:sz w:val="1"/>
                <w:szCs w:val="1"/>
                <w:color w:val="auto"/>
              </w:rPr>
            </w:pPr>
          </w:p>
        </w:tc>
      </w:tr>
      <w:tr>
        <w:trPr>
          <w:trHeight w:val="213"/>
        </w:trPr>
        <w:tc>
          <w:tcPr>
            <w:tcW w:w="5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Loss on debt extinguishment</w:t>
            </w:r>
          </w:p>
        </w:tc>
        <w:tc>
          <w:tcPr>
            <w:tcW w:w="2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(39,408)</w:t>
            </w: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expense</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(7,536)</w:t>
            </w:r>
          </w:p>
        </w:tc>
        <w:tc>
          <w:tcPr>
            <w:tcW w:w="0" w:type="dxa"/>
            <w:vAlign w:val="bottom"/>
          </w:tcPr>
          <w:p>
            <w:pPr>
              <w:spacing w:after="0"/>
              <w:rPr>
                <w:sz w:val="1"/>
                <w:szCs w:val="1"/>
                <w:color w:val="auto"/>
              </w:rPr>
            </w:pPr>
          </w:p>
        </w:tc>
      </w:tr>
      <w:tr>
        <w:trPr>
          <w:trHeight w:val="207"/>
        </w:trPr>
        <w:tc>
          <w:tcPr>
            <w:tcW w:w="58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non-operating income (expenses)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29,756</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(42,463)</w:t>
            </w:r>
          </w:p>
        </w:tc>
        <w:tc>
          <w:tcPr>
            <w:tcW w:w="0" w:type="dxa"/>
            <w:vAlign w:val="bottom"/>
          </w:tcPr>
          <w:p>
            <w:pPr>
              <w:spacing w:after="0"/>
              <w:rPr>
                <w:sz w:val="1"/>
                <w:szCs w:val="1"/>
                <w:color w:val="auto"/>
              </w:rPr>
            </w:pPr>
          </w:p>
        </w:tc>
      </w:tr>
      <w:tr>
        <w:trPr>
          <w:trHeight w:val="212"/>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before income taxes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(9,312)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24,740</w:t>
            </w:r>
          </w:p>
        </w:tc>
        <w:tc>
          <w:tcPr>
            <w:tcW w:w="0" w:type="dxa"/>
            <w:vAlign w:val="bottom"/>
          </w:tcPr>
          <w:p>
            <w:pPr>
              <w:spacing w:after="0"/>
              <w:rPr>
                <w:sz w:val="1"/>
                <w:szCs w:val="1"/>
                <w:color w:val="auto"/>
              </w:rPr>
            </w:pPr>
          </w:p>
        </w:tc>
      </w:tr>
      <w:tr>
        <w:trPr>
          <w:trHeight w:val="213"/>
        </w:trPr>
        <w:tc>
          <w:tcPr>
            <w:tcW w:w="58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(4,570)</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(10,707)</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(2,695)</w:t>
            </w:r>
          </w:p>
        </w:tc>
        <w:tc>
          <w:tcPr>
            <w:tcW w:w="0" w:type="dxa"/>
            <w:vAlign w:val="bottom"/>
          </w:tcPr>
          <w:p>
            <w:pPr>
              <w:spacing w:after="0"/>
              <w:rPr>
                <w:sz w:val="1"/>
                <w:szCs w:val="1"/>
                <w:color w:val="auto"/>
              </w:rPr>
            </w:pPr>
          </w:p>
        </w:tc>
      </w:tr>
      <w:tr>
        <w:trPr>
          <w:trHeight w:val="212"/>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(12,859)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22,045</w:t>
            </w:r>
          </w:p>
        </w:tc>
        <w:tc>
          <w:tcPr>
            <w:tcW w:w="0" w:type="dxa"/>
            <w:vAlign w:val="bottom"/>
          </w:tcPr>
          <w:p>
            <w:pPr>
              <w:spacing w:after="0"/>
              <w:rPr>
                <w:sz w:val="1"/>
                <w:szCs w:val="1"/>
                <w:color w:val="auto"/>
              </w:rPr>
            </w:pPr>
          </w:p>
        </w:tc>
      </w:tr>
      <w:tr>
        <w:trPr>
          <w:trHeight w:val="214"/>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Less: Net income (loss) attributable to non-controlling interests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(13,999)</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(12,938)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(28,440)</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31,068</w:t>
            </w:r>
          </w:p>
        </w:tc>
        <w:tc>
          <w:tcPr>
            <w:tcW w:w="0" w:type="dxa"/>
            <w:vAlign w:val="bottom"/>
          </w:tcPr>
          <w:p>
            <w:pPr>
              <w:spacing w:after="0"/>
              <w:rPr>
                <w:sz w:val="1"/>
                <w:szCs w:val="1"/>
                <w:color w:val="auto"/>
              </w:rPr>
            </w:pPr>
          </w:p>
        </w:tc>
      </w:tr>
      <w:tr>
        <w:trPr>
          <w:trHeight w:val="236"/>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attributable to Perella Weinberg Partners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1,140</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19,299</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(9,023)</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per share attributable to Class A common shareholders (1)</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58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Basic</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0" w:type="dxa"/>
            <w:vAlign w:val="bottom"/>
          </w:tcPr>
          <w:p>
            <w:pPr>
              <w:spacing w:after="0"/>
              <w:rPr>
                <w:sz w:val="1"/>
                <w:szCs w:val="1"/>
                <w:color w:val="auto"/>
              </w:rPr>
            </w:pPr>
          </w:p>
        </w:tc>
      </w:tr>
      <w:tr>
        <w:trPr>
          <w:trHeight w:val="213"/>
        </w:trPr>
        <w:tc>
          <w:tcPr>
            <w:tcW w:w="5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Diluted</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Weighted-average shares of Class A common stock outstanding (1)</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Basic</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42,263,427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42,572,813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44,241,794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42,599,954</w:t>
            </w: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Diluted</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87,745,776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92,727,012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90,535,232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92,754,153</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380" w:right="580" w:hanging="372"/>
        <w:spacing w:after="0" w:line="281" w:lineRule="auto"/>
        <w:tabs>
          <w:tab w:leader="none" w:pos="376"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For the nine months ended September 30, 2021, net income (loss) per share of Class A common stock and weighted-average shares of Class A common stock outstanding is representative of the period from June 24, 2021 through September 30, 2021, the period following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firstLine="8"/>
        <w:spacing w:after="0" w:line="298" w:lineRule="auto"/>
        <w:tabs>
          <w:tab w:leader="none" w:pos="119"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Throughout this release, adjusted figures represent Non-GAAP information. See “Non-GAAP Financial Measures” and the tables at the end of this release for an explanation of the adjustments and reconciliations to the comparable GAAP numbers.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269"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U.S. GAAP Reconciliation of Adjusted Results (Unaudited)</w:t>
      </w: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Thousands)</w:t>
      </w:r>
    </w:p>
    <w:p>
      <w:pPr>
        <w:spacing w:after="0" w:line="11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6"/>
                <w:szCs w:val="16"/>
                <w:color w:val="auto"/>
              </w:rPr>
            </w:pPr>
          </w:p>
        </w:tc>
        <w:tc>
          <w:tcPr>
            <w:tcW w:w="2560" w:type="dxa"/>
            <w:vAlign w:val="bottom"/>
            <w:gridSpan w:val="4"/>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2"/>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compensation and benefits—GAAP</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123,259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151,372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378,408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438,468</w:t>
            </w:r>
          </w:p>
        </w:tc>
        <w:tc>
          <w:tcPr>
            <w:tcW w:w="0" w:type="dxa"/>
            <w:vAlign w:val="bottom"/>
          </w:tcPr>
          <w:p>
            <w:pPr>
              <w:spacing w:after="0"/>
              <w:rPr>
                <w:sz w:val="1"/>
                <w:szCs w:val="1"/>
                <w:color w:val="auto"/>
              </w:rPr>
            </w:pPr>
          </w:p>
        </w:tc>
      </w:tr>
      <w:tr>
        <w:trPr>
          <w:trHeight w:val="195"/>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Equity-based compensation not dilutive to investors in PWP or PWP OpCo (1)</w:t>
            </w: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(18,748)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(17,132)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(55,983)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(30,354)</w:t>
            </w:r>
          </w:p>
        </w:tc>
        <w:tc>
          <w:tcPr>
            <w:tcW w:w="0" w:type="dxa"/>
            <w:vAlign w:val="bottom"/>
          </w:tcPr>
          <w:p>
            <w:pPr>
              <w:spacing w:after="0"/>
              <w:rPr>
                <w:sz w:val="1"/>
                <w:szCs w:val="1"/>
                <w:color w:val="auto"/>
              </w:rPr>
            </w:pPr>
          </w:p>
        </w:tc>
      </w:tr>
      <w:tr>
        <w:trPr>
          <w:trHeight w:val="203"/>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Public company transaction related incentives (2)</w:t>
            </w:r>
          </w:p>
        </w:tc>
        <w:tc>
          <w:tcPr>
            <w:tcW w:w="1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(11,470)</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(20,716)</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(35,420)</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(22,354)</w:t>
            </w:r>
          </w:p>
        </w:tc>
        <w:tc>
          <w:tcPr>
            <w:tcW w:w="0" w:type="dxa"/>
            <w:vAlign w:val="bottom"/>
          </w:tcPr>
          <w:p>
            <w:pPr>
              <w:spacing w:after="0"/>
              <w:rPr>
                <w:sz w:val="1"/>
                <w:szCs w:val="1"/>
                <w:color w:val="auto"/>
              </w:rPr>
            </w:pPr>
          </w:p>
        </w:tc>
      </w:tr>
      <w:tr>
        <w:trPr>
          <w:trHeight w:val="203"/>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total compensation and benefits</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93,041</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113,524</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287,005</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385,760</w:t>
            </w:r>
          </w:p>
        </w:tc>
        <w:tc>
          <w:tcPr>
            <w:tcW w:w="0" w:type="dxa"/>
            <w:vAlign w:val="bottom"/>
          </w:tcPr>
          <w:p>
            <w:pPr>
              <w:spacing w:after="0"/>
              <w:rPr>
                <w:sz w:val="1"/>
                <w:szCs w:val="1"/>
                <w:color w:val="auto"/>
              </w:rPr>
            </w:pP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54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Non-compensation expense—GAAP</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30,938</w:t>
            </w:r>
          </w:p>
        </w:tc>
        <w:tc>
          <w:tcPr>
            <w:tcW w:w="100" w:type="dxa"/>
            <w:vAlign w:val="bottom"/>
          </w:tcPr>
          <w:p>
            <w:pPr>
              <w:spacing w:after="0"/>
              <w:rPr>
                <w:sz w:val="17"/>
                <w:szCs w:val="17"/>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36,382</w:t>
            </w:r>
          </w:p>
        </w:tc>
        <w:tc>
          <w:tcPr>
            <w:tcW w:w="8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98,141</w:t>
            </w:r>
          </w:p>
        </w:tc>
        <w:tc>
          <w:tcPr>
            <w:tcW w:w="100" w:type="dxa"/>
            <w:vAlign w:val="bottom"/>
          </w:tcPr>
          <w:p>
            <w:pPr>
              <w:spacing w:after="0"/>
              <w:rPr>
                <w:sz w:val="17"/>
                <w:szCs w:val="17"/>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97,078</w:t>
            </w:r>
          </w:p>
        </w:tc>
        <w:tc>
          <w:tcPr>
            <w:tcW w:w="0" w:type="dxa"/>
            <w:vAlign w:val="bottom"/>
          </w:tcPr>
          <w:p>
            <w:pPr>
              <w:spacing w:after="0"/>
              <w:rPr>
                <w:sz w:val="1"/>
                <w:szCs w:val="1"/>
                <w:color w:val="auto"/>
              </w:rPr>
            </w:pPr>
          </w:p>
        </w:tc>
      </w:tr>
      <w:tr>
        <w:trPr>
          <w:trHeight w:val="209"/>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TPH business combination related expenses (3)</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(4,935)</w:t>
            </w:r>
          </w:p>
        </w:tc>
        <w:tc>
          <w:tcPr>
            <w:tcW w:w="0" w:type="dxa"/>
            <w:vAlign w:val="bottom"/>
          </w:tcPr>
          <w:p>
            <w:pPr>
              <w:spacing w:after="0"/>
              <w:rPr>
                <w:sz w:val="1"/>
                <w:szCs w:val="1"/>
                <w:color w:val="auto"/>
              </w:rPr>
            </w:pPr>
          </w:p>
        </w:tc>
      </w:tr>
      <w:tr>
        <w:trPr>
          <w:trHeight w:val="195"/>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Business Combination transaction expenses (4)</w:t>
            </w: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(4,552)</w:t>
            </w:r>
          </w:p>
        </w:tc>
        <w:tc>
          <w:tcPr>
            <w:tcW w:w="0" w:type="dxa"/>
            <w:vAlign w:val="bottom"/>
          </w:tcPr>
          <w:p>
            <w:pPr>
              <w:spacing w:after="0"/>
              <w:rPr>
                <w:sz w:val="1"/>
                <w:szCs w:val="1"/>
                <w:color w:val="auto"/>
              </w:rPr>
            </w:pPr>
          </w:p>
        </w:tc>
      </w:tr>
      <w:tr>
        <w:trPr>
          <w:trHeight w:val="203"/>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 Exchange transaction expenses (5)</w:t>
            </w: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non-compensation expense (6)</w:t>
            </w: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27,786</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33,127</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90,985</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87,591</w:t>
            </w:r>
          </w:p>
        </w:tc>
        <w:tc>
          <w:tcPr>
            <w:tcW w:w="0" w:type="dxa"/>
            <w:vAlign w:val="bottom"/>
          </w:tcPr>
          <w:p>
            <w:pPr>
              <w:spacing w:after="0"/>
              <w:rPr>
                <w:sz w:val="1"/>
                <w:szCs w:val="1"/>
                <w:color w:val="auto"/>
              </w:rPr>
            </w:pP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54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 (loss)—GAAP</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(8,818)</w:t>
            </w:r>
          </w:p>
        </w:tc>
        <w:tc>
          <w:tcPr>
            <w:tcW w:w="100" w:type="dxa"/>
            <w:vAlign w:val="bottom"/>
          </w:tcPr>
          <w:p>
            <w:pPr>
              <w:spacing w:after="0"/>
              <w:rPr>
                <w:sz w:val="17"/>
                <w:szCs w:val="17"/>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(10,327)</w:t>
            </w:r>
          </w:p>
        </w:tc>
        <w:tc>
          <w:tcPr>
            <w:tcW w:w="8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(28,190)</w:t>
            </w:r>
          </w:p>
        </w:tc>
        <w:tc>
          <w:tcPr>
            <w:tcW w:w="100" w:type="dxa"/>
            <w:vAlign w:val="bottom"/>
          </w:tcPr>
          <w:p>
            <w:pPr>
              <w:spacing w:after="0"/>
              <w:rPr>
                <w:sz w:val="17"/>
                <w:szCs w:val="17"/>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67,203</w:t>
            </w:r>
          </w:p>
        </w:tc>
        <w:tc>
          <w:tcPr>
            <w:tcW w:w="0" w:type="dxa"/>
            <w:vAlign w:val="bottom"/>
          </w:tcPr>
          <w:p>
            <w:pPr>
              <w:spacing w:after="0"/>
              <w:rPr>
                <w:sz w:val="1"/>
                <w:szCs w:val="1"/>
                <w:color w:val="auto"/>
              </w:rPr>
            </w:pPr>
          </w:p>
        </w:tc>
      </w:tr>
      <w:tr>
        <w:trPr>
          <w:trHeight w:val="209"/>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Equity-based compensation not dilutive to investors in PWP or PWP OpCo (1)</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18,748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17,132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55,983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30,354</w:t>
            </w:r>
          </w:p>
        </w:tc>
        <w:tc>
          <w:tcPr>
            <w:tcW w:w="0" w:type="dxa"/>
            <w:vAlign w:val="bottom"/>
          </w:tcPr>
          <w:p>
            <w:pPr>
              <w:spacing w:after="0"/>
              <w:rPr>
                <w:sz w:val="1"/>
                <w:szCs w:val="1"/>
                <w:color w:val="auto"/>
              </w:rPr>
            </w:pPr>
          </w:p>
        </w:tc>
      </w:tr>
      <w:tr>
        <w:trPr>
          <w:trHeight w:val="195"/>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Public company transaction related incentives (2)</w:t>
            </w: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11,470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20,716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35,420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22,354</w:t>
            </w:r>
          </w:p>
        </w:tc>
        <w:tc>
          <w:tcPr>
            <w:tcW w:w="0" w:type="dxa"/>
            <w:vAlign w:val="bottom"/>
          </w:tcPr>
          <w:p>
            <w:pPr>
              <w:spacing w:after="0"/>
              <w:rPr>
                <w:sz w:val="1"/>
                <w:szCs w:val="1"/>
                <w:color w:val="auto"/>
              </w:rPr>
            </w:pPr>
          </w:p>
        </w:tc>
      </w:tr>
      <w:tr>
        <w:trPr>
          <w:trHeight w:val="210"/>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TPH business combination related expenses (3)</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1,645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4,935</w:t>
            </w:r>
          </w:p>
        </w:tc>
        <w:tc>
          <w:tcPr>
            <w:tcW w:w="0" w:type="dxa"/>
            <w:vAlign w:val="bottom"/>
          </w:tcPr>
          <w:p>
            <w:pPr>
              <w:spacing w:after="0"/>
              <w:rPr>
                <w:sz w:val="1"/>
                <w:szCs w:val="1"/>
                <w:color w:val="auto"/>
              </w:rPr>
            </w:pPr>
          </w:p>
        </w:tc>
      </w:tr>
      <w:tr>
        <w:trPr>
          <w:trHeight w:val="195"/>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Business Combination transaction expenses (4)</w:t>
            </w: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1,610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4,552</w:t>
            </w:r>
          </w:p>
        </w:tc>
        <w:tc>
          <w:tcPr>
            <w:tcW w:w="0" w:type="dxa"/>
            <w:vAlign w:val="bottom"/>
          </w:tcPr>
          <w:p>
            <w:pPr>
              <w:spacing w:after="0"/>
              <w:rPr>
                <w:sz w:val="1"/>
                <w:szCs w:val="1"/>
                <w:color w:val="auto"/>
              </w:rPr>
            </w:pPr>
          </w:p>
        </w:tc>
      </w:tr>
      <w:tr>
        <w:trPr>
          <w:trHeight w:val="203"/>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 Exchange transaction expenses (5)</w:t>
            </w: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operating income (loss)</w:t>
            </w: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24,552</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30,776</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70,369</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129,398</w:t>
            </w:r>
          </w:p>
        </w:tc>
        <w:tc>
          <w:tcPr>
            <w:tcW w:w="0" w:type="dxa"/>
            <w:vAlign w:val="bottom"/>
          </w:tcPr>
          <w:p>
            <w:pPr>
              <w:spacing w:after="0"/>
              <w:rPr>
                <w:sz w:val="1"/>
                <w:szCs w:val="1"/>
                <w:color w:val="auto"/>
              </w:rPr>
            </w:pP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54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Non-operating income (expense)—GAAP</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100" w:type="dxa"/>
            <w:vAlign w:val="bottom"/>
          </w:tcPr>
          <w:p>
            <w:pPr>
              <w:spacing w:after="0"/>
              <w:rPr>
                <w:sz w:val="17"/>
                <w:szCs w:val="17"/>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1,015</w:t>
            </w:r>
          </w:p>
        </w:tc>
        <w:tc>
          <w:tcPr>
            <w:tcW w:w="8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29,756</w:t>
            </w:r>
          </w:p>
        </w:tc>
        <w:tc>
          <w:tcPr>
            <w:tcW w:w="100" w:type="dxa"/>
            <w:vAlign w:val="bottom"/>
          </w:tcPr>
          <w:p>
            <w:pPr>
              <w:spacing w:after="0"/>
              <w:rPr>
                <w:sz w:val="17"/>
                <w:szCs w:val="17"/>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(42,463)</w:t>
            </w:r>
          </w:p>
        </w:tc>
        <w:tc>
          <w:tcPr>
            <w:tcW w:w="0" w:type="dxa"/>
            <w:vAlign w:val="bottom"/>
          </w:tcPr>
          <w:p>
            <w:pPr>
              <w:spacing w:after="0"/>
              <w:rPr>
                <w:sz w:val="1"/>
                <w:szCs w:val="1"/>
                <w:color w:val="auto"/>
              </w:rPr>
            </w:pPr>
          </w:p>
        </w:tc>
      </w:tr>
      <w:tr>
        <w:trPr>
          <w:trHeight w:val="209"/>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fair value of warrant liabilities (7)</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3,006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(15,806)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2,058</w:t>
            </w:r>
          </w:p>
        </w:tc>
        <w:tc>
          <w:tcPr>
            <w:tcW w:w="0" w:type="dxa"/>
            <w:vAlign w:val="bottom"/>
          </w:tcPr>
          <w:p>
            <w:pPr>
              <w:spacing w:after="0"/>
              <w:rPr>
                <w:sz w:val="1"/>
                <w:szCs w:val="1"/>
                <w:color w:val="auto"/>
              </w:rPr>
            </w:pPr>
          </w:p>
        </w:tc>
      </w:tr>
      <w:tr>
        <w:trPr>
          <w:trHeight w:val="195"/>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Loss on debt extinguishment (8)</w:t>
            </w:r>
          </w:p>
        </w:tc>
        <w:tc>
          <w:tcPr>
            <w:tcW w:w="18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39,408</w:t>
            </w:r>
          </w:p>
        </w:tc>
        <w:tc>
          <w:tcPr>
            <w:tcW w:w="0" w:type="dxa"/>
            <w:vAlign w:val="bottom"/>
          </w:tcPr>
          <w:p>
            <w:pPr>
              <w:spacing w:after="0"/>
              <w:rPr>
                <w:sz w:val="1"/>
                <w:szCs w:val="1"/>
                <w:color w:val="auto"/>
              </w:rPr>
            </w:pPr>
          </w:p>
        </w:tc>
      </w:tr>
      <w:tr>
        <w:trPr>
          <w:trHeight w:val="203"/>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debt costs (9)</w:t>
            </w:r>
          </w:p>
        </w:tc>
        <w:tc>
          <w:tcPr>
            <w:tcW w:w="1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2,049</w:t>
            </w:r>
          </w:p>
        </w:tc>
        <w:tc>
          <w:tcPr>
            <w:tcW w:w="0" w:type="dxa"/>
            <w:vAlign w:val="bottom"/>
          </w:tcPr>
          <w:p>
            <w:pPr>
              <w:spacing w:after="0"/>
              <w:rPr>
                <w:sz w:val="1"/>
                <w:szCs w:val="1"/>
                <w:color w:val="auto"/>
              </w:rPr>
            </w:pPr>
          </w:p>
        </w:tc>
      </w:tr>
      <w:tr>
        <w:trPr>
          <w:trHeight w:val="203"/>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non-operating income (expense)</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6,860</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4,058</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14,061</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1,052</w:t>
            </w:r>
          </w:p>
        </w:tc>
        <w:tc>
          <w:tcPr>
            <w:tcW w:w="0" w:type="dxa"/>
            <w:vAlign w:val="bottom"/>
          </w:tcPr>
          <w:p>
            <w:pPr>
              <w:spacing w:after="0"/>
              <w:rPr>
                <w:sz w:val="1"/>
                <w:szCs w:val="1"/>
                <w:color w:val="auto"/>
              </w:rPr>
            </w:pP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54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Income (loss) before income taxes—GAAP</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(8,289)</w:t>
            </w:r>
          </w:p>
        </w:tc>
        <w:tc>
          <w:tcPr>
            <w:tcW w:w="100" w:type="dxa"/>
            <w:vAlign w:val="bottom"/>
          </w:tcPr>
          <w:p>
            <w:pPr>
              <w:spacing w:after="0"/>
              <w:rPr>
                <w:sz w:val="17"/>
                <w:szCs w:val="17"/>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(9,312)</w:t>
            </w:r>
          </w:p>
        </w:tc>
        <w:tc>
          <w:tcPr>
            <w:tcW w:w="8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1,566</w:t>
            </w:r>
          </w:p>
        </w:tc>
        <w:tc>
          <w:tcPr>
            <w:tcW w:w="100" w:type="dxa"/>
            <w:vAlign w:val="bottom"/>
          </w:tcPr>
          <w:p>
            <w:pPr>
              <w:spacing w:after="0"/>
              <w:rPr>
                <w:sz w:val="17"/>
                <w:szCs w:val="17"/>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24,740</w:t>
            </w:r>
          </w:p>
        </w:tc>
        <w:tc>
          <w:tcPr>
            <w:tcW w:w="0" w:type="dxa"/>
            <w:vAlign w:val="bottom"/>
          </w:tcPr>
          <w:p>
            <w:pPr>
              <w:spacing w:after="0"/>
              <w:rPr>
                <w:sz w:val="1"/>
                <w:szCs w:val="1"/>
                <w:color w:val="auto"/>
              </w:rPr>
            </w:pPr>
          </w:p>
        </w:tc>
      </w:tr>
      <w:tr>
        <w:trPr>
          <w:trHeight w:val="209"/>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Equity-based compensation not dilutive to investors in PWP or PWP OpCo (1)</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18,748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17,132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55,983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30,354</w:t>
            </w:r>
          </w:p>
        </w:tc>
        <w:tc>
          <w:tcPr>
            <w:tcW w:w="0" w:type="dxa"/>
            <w:vAlign w:val="bottom"/>
          </w:tcPr>
          <w:p>
            <w:pPr>
              <w:spacing w:after="0"/>
              <w:rPr>
                <w:sz w:val="1"/>
                <w:szCs w:val="1"/>
                <w:color w:val="auto"/>
              </w:rPr>
            </w:pPr>
          </w:p>
        </w:tc>
      </w:tr>
      <w:tr>
        <w:trPr>
          <w:trHeight w:val="195"/>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Public company transaction related incentives (2)</w:t>
            </w: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11,470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20,716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35,420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22,354</w:t>
            </w:r>
          </w:p>
        </w:tc>
        <w:tc>
          <w:tcPr>
            <w:tcW w:w="0" w:type="dxa"/>
            <w:vAlign w:val="bottom"/>
          </w:tcPr>
          <w:p>
            <w:pPr>
              <w:spacing w:after="0"/>
              <w:rPr>
                <w:sz w:val="1"/>
                <w:szCs w:val="1"/>
                <w:color w:val="auto"/>
              </w:rPr>
            </w:pPr>
          </w:p>
        </w:tc>
      </w:tr>
      <w:tr>
        <w:trPr>
          <w:trHeight w:val="210"/>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TPH business combination related expenses (3)</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1,645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4,935</w:t>
            </w:r>
          </w:p>
        </w:tc>
        <w:tc>
          <w:tcPr>
            <w:tcW w:w="0" w:type="dxa"/>
            <w:vAlign w:val="bottom"/>
          </w:tcPr>
          <w:p>
            <w:pPr>
              <w:spacing w:after="0"/>
              <w:rPr>
                <w:sz w:val="1"/>
                <w:szCs w:val="1"/>
                <w:color w:val="auto"/>
              </w:rPr>
            </w:pPr>
          </w:p>
        </w:tc>
      </w:tr>
      <w:tr>
        <w:trPr>
          <w:trHeight w:val="195"/>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Business Combination transaction expenses (4)</w:t>
            </w: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1,610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4,552</w:t>
            </w:r>
          </w:p>
        </w:tc>
        <w:tc>
          <w:tcPr>
            <w:tcW w:w="0" w:type="dxa"/>
            <w:vAlign w:val="bottom"/>
          </w:tcPr>
          <w:p>
            <w:pPr>
              <w:spacing w:after="0"/>
              <w:rPr>
                <w:sz w:val="1"/>
                <w:szCs w:val="1"/>
                <w:color w:val="auto"/>
              </w:rPr>
            </w:pPr>
          </w:p>
        </w:tc>
      </w:tr>
      <w:tr>
        <w:trPr>
          <w:trHeight w:val="210"/>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 Exchange transaction expenses (5)</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Change in fair value of warrant liabilities (7)</w:t>
            </w: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3,006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(15,806)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2,058</w:t>
            </w:r>
          </w:p>
        </w:tc>
        <w:tc>
          <w:tcPr>
            <w:tcW w:w="0" w:type="dxa"/>
            <w:vAlign w:val="bottom"/>
          </w:tcPr>
          <w:p>
            <w:pPr>
              <w:spacing w:after="0"/>
              <w:rPr>
                <w:sz w:val="1"/>
                <w:szCs w:val="1"/>
                <w:color w:val="auto"/>
              </w:rPr>
            </w:pPr>
          </w:p>
        </w:tc>
      </w:tr>
      <w:tr>
        <w:trPr>
          <w:trHeight w:val="210"/>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on debt extinguishment (8)</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39,408</w:t>
            </w:r>
          </w:p>
        </w:tc>
        <w:tc>
          <w:tcPr>
            <w:tcW w:w="0" w:type="dxa"/>
            <w:vAlign w:val="bottom"/>
          </w:tcPr>
          <w:p>
            <w:pPr>
              <w:spacing w:after="0"/>
              <w:rPr>
                <w:sz w:val="1"/>
                <w:szCs w:val="1"/>
                <w:color w:val="auto"/>
              </w:rPr>
            </w:pPr>
          </w:p>
        </w:tc>
      </w:tr>
      <w:tr>
        <w:trPr>
          <w:trHeight w:val="196"/>
        </w:trPr>
        <w:tc>
          <w:tcPr>
            <w:tcW w:w="55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Amortization of debt costs (9)</w:t>
            </w: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2,049</w:t>
            </w:r>
          </w:p>
        </w:tc>
        <w:tc>
          <w:tcPr>
            <w:tcW w:w="0" w:type="dxa"/>
            <w:vAlign w:val="bottom"/>
          </w:tcPr>
          <w:p>
            <w:pPr>
              <w:spacing w:after="0"/>
              <w:rPr>
                <w:sz w:val="1"/>
                <w:szCs w:val="1"/>
                <w:color w:val="auto"/>
              </w:rPr>
            </w:pPr>
          </w:p>
        </w:tc>
      </w:tr>
      <w:tr>
        <w:trPr>
          <w:trHeight w:val="228"/>
        </w:trPr>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income (loss) before income taxes</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31,412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34,834</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84,430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130,450</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5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Income tax benefit (expense)—GAAP</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(10,707)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(2,695)</w:t>
            </w:r>
          </w:p>
        </w:tc>
        <w:tc>
          <w:tcPr>
            <w:tcW w:w="0" w:type="dxa"/>
            <w:vAlign w:val="bottom"/>
          </w:tcPr>
          <w:p>
            <w:pPr>
              <w:spacing w:after="0"/>
              <w:rPr>
                <w:sz w:val="1"/>
                <w:szCs w:val="1"/>
                <w:color w:val="auto"/>
              </w:rPr>
            </w:pPr>
          </w:p>
        </w:tc>
      </w:tr>
      <w:tr>
        <w:trPr>
          <w:trHeight w:val="196"/>
        </w:trPr>
        <w:tc>
          <w:tcPr>
            <w:tcW w:w="55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Tax impact of non-GAAP adjustments (10)</w:t>
            </w: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(5,737)</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(4,146)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(5,586)</w:t>
            </w:r>
          </w:p>
        </w:tc>
        <w:tc>
          <w:tcPr>
            <w:tcW w:w="0" w:type="dxa"/>
            <w:vAlign w:val="bottom"/>
          </w:tcPr>
          <w:p>
            <w:pPr>
              <w:spacing w:after="0"/>
              <w:rPr>
                <w:sz w:val="1"/>
                <w:szCs w:val="1"/>
                <w:color w:val="auto"/>
              </w:rPr>
            </w:pPr>
          </w:p>
        </w:tc>
      </w:tr>
      <w:tr>
        <w:trPr>
          <w:trHeight w:val="228"/>
        </w:trPr>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income tax benefit (expense)</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(5,887)</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(14,853)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(8,281)</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5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(loss)—GAAP</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(12,859)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(9,462)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22,045</w:t>
            </w:r>
          </w:p>
        </w:tc>
        <w:tc>
          <w:tcPr>
            <w:tcW w:w="0" w:type="dxa"/>
            <w:vAlign w:val="bottom"/>
          </w:tcPr>
          <w:p>
            <w:pPr>
              <w:spacing w:after="0"/>
              <w:rPr>
                <w:sz w:val="1"/>
                <w:szCs w:val="1"/>
                <w:color w:val="auto"/>
              </w:rPr>
            </w:pPr>
          </w:p>
        </w:tc>
      </w:tr>
      <w:tr>
        <w:trPr>
          <w:trHeight w:val="195"/>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Equity-based compensation not dilutive to investors in PWP or PWP OpCo (1)</w:t>
            </w: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18,748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17,132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55,983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30,354</w:t>
            </w:r>
          </w:p>
        </w:tc>
        <w:tc>
          <w:tcPr>
            <w:tcW w:w="0" w:type="dxa"/>
            <w:vAlign w:val="bottom"/>
          </w:tcPr>
          <w:p>
            <w:pPr>
              <w:spacing w:after="0"/>
              <w:rPr>
                <w:sz w:val="1"/>
                <w:szCs w:val="1"/>
                <w:color w:val="auto"/>
              </w:rPr>
            </w:pPr>
          </w:p>
        </w:tc>
      </w:tr>
      <w:tr>
        <w:trPr>
          <w:trHeight w:val="210"/>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Public company transaction related incentives (2)</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11,470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20,716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35,420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22,354</w:t>
            </w:r>
          </w:p>
        </w:tc>
        <w:tc>
          <w:tcPr>
            <w:tcW w:w="0" w:type="dxa"/>
            <w:vAlign w:val="bottom"/>
          </w:tcPr>
          <w:p>
            <w:pPr>
              <w:spacing w:after="0"/>
              <w:rPr>
                <w:sz w:val="1"/>
                <w:szCs w:val="1"/>
                <w:color w:val="auto"/>
              </w:rPr>
            </w:pPr>
          </w:p>
        </w:tc>
      </w:tr>
      <w:tr>
        <w:trPr>
          <w:trHeight w:val="195"/>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TPH business combination related expenses (3)</w:t>
            </w: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1,645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4,935</w:t>
            </w:r>
          </w:p>
        </w:tc>
        <w:tc>
          <w:tcPr>
            <w:tcW w:w="0" w:type="dxa"/>
            <w:vAlign w:val="bottom"/>
          </w:tcPr>
          <w:p>
            <w:pPr>
              <w:spacing w:after="0"/>
              <w:rPr>
                <w:sz w:val="1"/>
                <w:szCs w:val="1"/>
                <w:color w:val="auto"/>
              </w:rPr>
            </w:pPr>
          </w:p>
        </w:tc>
      </w:tr>
      <w:tr>
        <w:trPr>
          <w:trHeight w:val="210"/>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Business Combination transaction expenses (4)</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1,610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4,552</w:t>
            </w:r>
          </w:p>
        </w:tc>
        <w:tc>
          <w:tcPr>
            <w:tcW w:w="0" w:type="dxa"/>
            <w:vAlign w:val="bottom"/>
          </w:tcPr>
          <w:p>
            <w:pPr>
              <w:spacing w:after="0"/>
              <w:rPr>
                <w:sz w:val="1"/>
                <w:szCs w:val="1"/>
                <w:color w:val="auto"/>
              </w:rPr>
            </w:pPr>
          </w:p>
        </w:tc>
      </w:tr>
      <w:tr>
        <w:trPr>
          <w:trHeight w:val="195"/>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Warrant Exchange transaction expenses (5)</w:t>
            </w: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fair value of warrant liabilities (7)</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3,006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(15,806)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2,058</w:t>
            </w:r>
          </w:p>
        </w:tc>
        <w:tc>
          <w:tcPr>
            <w:tcW w:w="0" w:type="dxa"/>
            <w:vAlign w:val="bottom"/>
          </w:tcPr>
          <w:p>
            <w:pPr>
              <w:spacing w:after="0"/>
              <w:rPr>
                <w:sz w:val="1"/>
                <w:szCs w:val="1"/>
                <w:color w:val="auto"/>
              </w:rPr>
            </w:pPr>
          </w:p>
        </w:tc>
      </w:tr>
      <w:tr>
        <w:trPr>
          <w:trHeight w:val="195"/>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Loss on debt extinguishment (8)</w:t>
            </w:r>
          </w:p>
        </w:tc>
        <w:tc>
          <w:tcPr>
            <w:tcW w:w="18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39,408</w:t>
            </w:r>
          </w:p>
        </w:tc>
        <w:tc>
          <w:tcPr>
            <w:tcW w:w="0" w:type="dxa"/>
            <w:vAlign w:val="bottom"/>
          </w:tcPr>
          <w:p>
            <w:pPr>
              <w:spacing w:after="0"/>
              <w:rPr>
                <w:sz w:val="1"/>
                <w:szCs w:val="1"/>
                <w:color w:val="auto"/>
              </w:rPr>
            </w:pPr>
          </w:p>
        </w:tc>
      </w:tr>
      <w:tr>
        <w:trPr>
          <w:trHeight w:val="210"/>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debt costs (9)</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2,049</w:t>
            </w:r>
          </w:p>
        </w:tc>
        <w:tc>
          <w:tcPr>
            <w:tcW w:w="0" w:type="dxa"/>
            <w:vAlign w:val="bottom"/>
          </w:tcPr>
          <w:p>
            <w:pPr>
              <w:spacing w:after="0"/>
              <w:rPr>
                <w:sz w:val="1"/>
                <w:szCs w:val="1"/>
                <w:color w:val="auto"/>
              </w:rPr>
            </w:pPr>
          </w:p>
        </w:tc>
      </w:tr>
      <w:tr>
        <w:trPr>
          <w:trHeight w:val="196"/>
        </w:trPr>
        <w:tc>
          <w:tcPr>
            <w:tcW w:w="55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Tax impact of non-GAAP adjustments (10)</w:t>
            </w: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(5,737)</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(4,146)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(5,586)</w:t>
            </w:r>
          </w:p>
        </w:tc>
        <w:tc>
          <w:tcPr>
            <w:tcW w:w="0" w:type="dxa"/>
            <w:vAlign w:val="bottom"/>
          </w:tcPr>
          <w:p>
            <w:pPr>
              <w:spacing w:after="0"/>
              <w:rPr>
                <w:sz w:val="1"/>
                <w:szCs w:val="1"/>
                <w:color w:val="auto"/>
              </w:rPr>
            </w:pPr>
          </w:p>
        </w:tc>
      </w:tr>
      <w:tr>
        <w:trPr>
          <w:trHeight w:val="228"/>
        </w:trPr>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net income (loss)</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25,949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28,947</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69,577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122,169</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5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Adjusted income tax benefit (expense)</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5,887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14,853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96"/>
        </w:trPr>
        <w:tc>
          <w:tcPr>
            <w:tcW w:w="55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Add: If-converted tax impact (11)</w:t>
            </w: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(8,591)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(10,764)</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(24,152)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28"/>
        </w:trPr>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if-converted net income (loss)</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22,821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24,070</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60,278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5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diluted shares of Class A common stock outstanding</w:t>
            </w: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87,745,776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92,727,012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90,535,232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95"/>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Weighted average number of incremental shares from assumed exercise of warrants (12)</w:t>
            </w:r>
          </w:p>
        </w:tc>
        <w:tc>
          <w:tcPr>
            <w:tcW w:w="18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1,075,327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42"/>
        </w:trPr>
        <w:tc>
          <w:tcPr>
            <w:tcW w:w="558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Weighted average number of incremental shares from assumed vesting of RSUs and PSUs</w:t>
            </w:r>
          </w:p>
        </w:tc>
        <w:tc>
          <w:tcPr>
            <w:tcW w:w="18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129,712</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16,112</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155,527</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96"/>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Weighted-average adjusted diluted shares of Class A common stock outstanding</w:t>
            </w: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87,875,488</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93,818,451</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90,690,759</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54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Adjusted net income (loss) per Class A share—diluted, if—converted (13)</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0.26</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0.26</w:t>
            </w:r>
          </w:p>
        </w:tc>
        <w:tc>
          <w:tcPr>
            <w:tcW w:w="8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bl>
    <w:p>
      <w:pPr>
        <w:spacing w:after="0" w:line="294" w:lineRule="exact"/>
        <w:rPr>
          <w:sz w:val="20"/>
          <w:szCs w:val="20"/>
          <w:color w:val="auto"/>
        </w:rPr>
      </w:pPr>
    </w:p>
    <w:p>
      <w:pPr>
        <w:ind w:firstLine="8"/>
        <w:spacing w:after="0" w:line="298" w:lineRule="auto"/>
        <w:tabs>
          <w:tab w:leader="none" w:pos="119"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Throughout this release, adjusted figures represent Non-GAAP information. See “Non-GAAP Financial Measures” and the tables at the end of this release for an explanation of the adjustments and reconciliations to the comparable GAAP numbers.</w:t>
      </w:r>
    </w:p>
    <w:p>
      <w:pPr>
        <w:sectPr>
          <w:pgSz w:w="11900" w:h="16838" w:orient="portrait"/>
          <w:cols w:equalWidth="0" w:num="1">
            <w:col w:w="11240"/>
          </w:cols>
          <w:pgMar w:left="320" w:top="1161" w:right="339" w:bottom="893"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161" w:right="339" w:bottom="893"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Notes to U.S. GAAP Reconciliation of Adjusted Results:</w:t>
      </w:r>
    </w:p>
    <w:p>
      <w:pPr>
        <w:spacing w:after="0" w:line="250" w:lineRule="exact"/>
        <w:rPr>
          <w:sz w:val="20"/>
          <w:szCs w:val="20"/>
          <w:color w:val="auto"/>
        </w:rPr>
      </w:pPr>
    </w:p>
    <w:p>
      <w:pPr>
        <w:jc w:val="both"/>
        <w:ind w:left="500" w:hanging="492"/>
        <w:spacing w:after="0" w:line="263" w:lineRule="auto"/>
        <w:tabs>
          <w:tab w:leader="none" w:pos="496"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Equity-based compensation not dilutive to investors in PWP or PWP Holdings LP (“PWP OpCo”) includes amortization of legacy awards granted to certain partners prior to the Business Combination and PWP Professional Partners LP (“Professional Partners”) ACU and VCU awards. The vesting of these awards does not dilute PWP shareholders relative to Professional Partners as Professional Partners’ interest in PWP OpCo does not change as a result of granting those equity awards to its working partners.</w:t>
      </w:r>
    </w:p>
    <w:p>
      <w:pPr>
        <w:spacing w:after="0" w:line="219" w:lineRule="exact"/>
        <w:rPr>
          <w:rFonts w:ascii="Times New Roman" w:cs="Times New Roman" w:eastAsia="Times New Roman" w:hAnsi="Times New Roman"/>
          <w:sz w:val="16"/>
          <w:szCs w:val="16"/>
          <w:color w:val="auto"/>
        </w:rPr>
      </w:pPr>
    </w:p>
    <w:p>
      <w:pPr>
        <w:jc w:val="both"/>
        <w:ind w:left="500" w:right="120" w:hanging="492"/>
        <w:spacing w:after="0" w:line="263" w:lineRule="auto"/>
        <w:tabs>
          <w:tab w:leader="none" w:pos="496"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Public company transaction related incentives includes discretionary bonus payments as well as equity-based compensation for transaction-related RSUs which are directly related to milestone events that were part of the Business Combination process and reorganization. These payments were outside of PWP’s normal and recurring bonus and compensation processes.</w:t>
      </w:r>
    </w:p>
    <w:p>
      <w:pPr>
        <w:spacing w:after="0" w:line="218" w:lineRule="exact"/>
        <w:rPr>
          <w:rFonts w:ascii="Times New Roman" w:cs="Times New Roman" w:eastAsia="Times New Roman" w:hAnsi="Times New Roman"/>
          <w:sz w:val="16"/>
          <w:szCs w:val="16"/>
          <w:color w:val="auto"/>
        </w:rPr>
      </w:pPr>
    </w:p>
    <w:p>
      <w:pPr>
        <w:ind w:left="500" w:right="120" w:hanging="492"/>
        <w:spacing w:after="0" w:line="280" w:lineRule="auto"/>
        <w:tabs>
          <w:tab w:leader="none" w:pos="496"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November 30, 2016, we completed a business combination with Tudor, Pickering, Holt &amp; Co., LLC (TPH), an independent advisory firm focused on the energy industry. TPH business combination related expenses include intangible asset amortization associated with the acquisition.</w:t>
      </w:r>
    </w:p>
    <w:p>
      <w:pPr>
        <w:spacing w:after="0" w:line="205" w:lineRule="exact"/>
        <w:rPr>
          <w:rFonts w:ascii="Times New Roman" w:cs="Times New Roman" w:eastAsia="Times New Roman" w:hAnsi="Times New Roman"/>
          <w:sz w:val="16"/>
          <w:szCs w:val="16"/>
          <w:color w:val="auto"/>
        </w:rPr>
      </w:pPr>
    </w:p>
    <w:p>
      <w:pPr>
        <w:ind w:left="500" w:right="120" w:hanging="492"/>
        <w:spacing w:after="0" w:line="280" w:lineRule="auto"/>
        <w:tabs>
          <w:tab w:leader="none" w:pos="496"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Transaction costs that were expensed associated with the Business Combination as well as equity-based vesting for transaction-related RSUs issued to non-employees.</w:t>
      </w:r>
    </w:p>
    <w:p>
      <w:pPr>
        <w:spacing w:after="0" w:line="191" w:lineRule="exact"/>
        <w:rPr>
          <w:rFonts w:ascii="Times New Roman" w:cs="Times New Roman" w:eastAsia="Times New Roman" w:hAnsi="Times New Roman"/>
          <w:sz w:val="16"/>
          <w:szCs w:val="16"/>
          <w:color w:val="auto"/>
        </w:rPr>
      </w:pPr>
    </w:p>
    <w:p>
      <w:pPr>
        <w:ind w:left="500" w:right="120" w:hanging="492"/>
        <w:spacing w:after="0" w:line="298" w:lineRule="auto"/>
        <w:tabs>
          <w:tab w:leader="none" w:pos="496"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Transaction costs that were expensed associated with the exchange offer and solicitation (together, the “Warrant Exchange”) relating to the Company’s outstanding warrants, which the Company completed on August 23, 2022.</w:t>
      </w:r>
    </w:p>
    <w:p>
      <w:pPr>
        <w:spacing w:after="0" w:line="191" w:lineRule="exact"/>
        <w:rPr>
          <w:rFonts w:ascii="Times New Roman" w:cs="Times New Roman" w:eastAsia="Times New Roman" w:hAnsi="Times New Roman"/>
          <w:sz w:val="16"/>
          <w:szCs w:val="16"/>
          <w:color w:val="auto"/>
        </w:rPr>
      </w:pPr>
    </w:p>
    <w:p>
      <w:pPr>
        <w:ind w:left="500" w:right="120" w:hanging="492"/>
        <w:spacing w:after="0" w:line="268" w:lineRule="auto"/>
        <w:tabs>
          <w:tab w:leader="none" w:pos="49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See reconciliation below for the components of the consolidated statements of operations included in non-compensation expense—GAAP as well as Adjusted non-compensation expense.</w:t>
      </w:r>
    </w:p>
    <w:p>
      <w:pPr>
        <w:spacing w:after="0" w:line="211"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 in fair value of warrant liabilities is non-cash and we believe not indicative of our core performance.</w:t>
      </w:r>
    </w:p>
    <w:p>
      <w:pPr>
        <w:spacing w:after="0" w:line="248" w:lineRule="exact"/>
        <w:rPr>
          <w:rFonts w:ascii="Times New Roman" w:cs="Times New Roman" w:eastAsia="Times New Roman" w:hAnsi="Times New Roman"/>
          <w:sz w:val="16"/>
          <w:szCs w:val="16"/>
          <w:color w:val="auto"/>
        </w:rPr>
      </w:pPr>
    </w:p>
    <w:p>
      <w:pPr>
        <w:ind w:left="500" w:right="100" w:hanging="492"/>
        <w:spacing w:after="0" w:line="280" w:lineRule="auto"/>
        <w:tabs>
          <w:tab w:leader="none" w:pos="496"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Loss on debt extinguishment resulted from the payoff of the 7.0% Subordinated Unsecured Convertible Notes due 2026 in conjunction with the Business Combination.</w:t>
      </w:r>
    </w:p>
    <w:p>
      <w:pPr>
        <w:spacing w:after="0" w:line="218" w:lineRule="exact"/>
        <w:rPr>
          <w:rFonts w:ascii="Times New Roman" w:cs="Times New Roman" w:eastAsia="Times New Roman" w:hAnsi="Times New Roman"/>
          <w:sz w:val="16"/>
          <w:szCs w:val="16"/>
          <w:color w:val="auto"/>
        </w:rPr>
      </w:pPr>
    </w:p>
    <w:p>
      <w:pPr>
        <w:ind w:left="480" w:hanging="472"/>
        <w:spacing w:after="0"/>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Amortization of debt costs is comprised of the amortization of debt discounts and issuance costs, which is included in interest expense.</w:t>
      </w:r>
    </w:p>
    <w:p>
      <w:pPr>
        <w:spacing w:after="0" w:line="238" w:lineRule="exact"/>
        <w:rPr>
          <w:rFonts w:ascii="Times New Roman" w:cs="Times New Roman" w:eastAsia="Times New Roman" w:hAnsi="Times New Roman"/>
          <w:sz w:val="18"/>
          <w:szCs w:val="18"/>
          <w:color w:val="auto"/>
        </w:rPr>
      </w:pPr>
    </w:p>
    <w:p>
      <w:pPr>
        <w:jc w:val="both"/>
        <w:ind w:left="500" w:right="120" w:hanging="492"/>
        <w:spacing w:after="0" w:line="272" w:lineRule="auto"/>
        <w:tabs>
          <w:tab w:leader="none" w:pos="496"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non-GAAP tax expense represents the Company’s calculated tax expense on adjusted non-GAAP income. It excludes the impact on income taxes of certain transaction-related items and other items not reflected in our adjusted non-GAAP results. It does not represent the cash that the Company expects to pay for taxes in the current periods.</w:t>
      </w:r>
    </w:p>
    <w:p>
      <w:pPr>
        <w:spacing w:after="0" w:line="197" w:lineRule="exact"/>
        <w:rPr>
          <w:rFonts w:ascii="Times New Roman" w:cs="Times New Roman" w:eastAsia="Times New Roman" w:hAnsi="Times New Roman"/>
          <w:sz w:val="16"/>
          <w:szCs w:val="16"/>
          <w:color w:val="auto"/>
        </w:rPr>
      </w:pPr>
    </w:p>
    <w:p>
      <w:pPr>
        <w:ind w:left="500" w:hanging="492"/>
        <w:spacing w:after="0" w:line="263" w:lineRule="auto"/>
        <w:tabs>
          <w:tab w:leader="none" w:pos="49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if-converted tax expense represents the Company's calculated tax expense on adjusted non-GAAP income assuming the exchange of all partnership units for PWP Class A common stock, resulting in all of the Company’s income being subject to corporate-level tax.</w:t>
      </w:r>
    </w:p>
    <w:p>
      <w:pPr>
        <w:spacing w:after="0" w:line="204" w:lineRule="exact"/>
        <w:rPr>
          <w:rFonts w:ascii="Times New Roman" w:cs="Times New Roman" w:eastAsia="Times New Roman" w:hAnsi="Times New Roman"/>
          <w:sz w:val="16"/>
          <w:szCs w:val="16"/>
          <w:color w:val="auto"/>
        </w:rPr>
      </w:pPr>
    </w:p>
    <w:p>
      <w:pPr>
        <w:ind w:left="500" w:hanging="492"/>
        <w:spacing w:after="0" w:line="263" w:lineRule="auto"/>
        <w:tabs>
          <w:tab w:leader="none" w:pos="496"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Assumed exercise of warrants and vesting of RSUs and performance restricted stock units (“PSUs”) as calculated using the treasury stock method and to the extent dilutive to Adjusted net income (loss) per Class A share—diluted, if-converted.</w:t>
      </w:r>
    </w:p>
    <w:p>
      <w:pPr>
        <w:spacing w:after="0" w:line="213" w:lineRule="exact"/>
        <w:rPr>
          <w:rFonts w:ascii="Times New Roman" w:cs="Times New Roman" w:eastAsia="Times New Roman" w:hAnsi="Times New Roman"/>
          <w:sz w:val="16"/>
          <w:szCs w:val="16"/>
          <w:color w:val="auto"/>
        </w:rPr>
      </w:pPr>
    </w:p>
    <w:p>
      <w:pPr>
        <w:ind w:left="500" w:right="120" w:hanging="492"/>
        <w:spacing w:after="0" w:line="307" w:lineRule="auto"/>
        <w:tabs>
          <w:tab w:leader="none" w:pos="496"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Adjusted net income (loss) per Class A share—diluted, if-converted for the </w:t>
      </w:r>
      <w:r>
        <w:rPr>
          <w:rFonts w:ascii="Times New Roman" w:cs="Times New Roman" w:eastAsia="Times New Roman" w:hAnsi="Times New Roman"/>
          <w:sz w:val="17"/>
          <w:szCs w:val="17"/>
          <w:color w:val="auto"/>
        </w:rPr>
        <w:t>nine</w:t>
      </w:r>
      <w:r>
        <w:rPr>
          <w:rFonts w:ascii="Times New Roman" w:cs="Times New Roman" w:eastAsia="Times New Roman" w:hAnsi="Times New Roman"/>
          <w:sz w:val="16"/>
          <w:szCs w:val="16"/>
          <w:color w:val="auto"/>
        </w:rPr>
        <w:t xml:space="preserve"> month period ended June 30, 2021 is not meaningful or comparative to GAAP diluted earnings per share, as it excludes activity prior to the Business Combination on June 24, 2021.</w:t>
      </w:r>
    </w:p>
    <w:p>
      <w:pPr>
        <w:spacing w:after="0" w:line="393" w:lineRule="exact"/>
        <w:rPr>
          <w:sz w:val="20"/>
          <w:szCs w:val="20"/>
          <w:color w:val="auto"/>
        </w:rPr>
      </w:pPr>
    </w:p>
    <w:p>
      <w:pPr>
        <w:ind w:firstLine="8"/>
        <w:spacing w:after="0" w:line="280" w:lineRule="auto"/>
        <w:tabs>
          <w:tab w:leader="none" w:pos="119"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Throughout this release, adjusted figures represent Non-GAAP information. See “Non-GAAP Financial Measures” and the tables at the end of this release for an explanation of the adjustments and reconciliations to the comparable GAAP numbers.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420" w:right="339" w:bottom="1440" w:gutter="0" w:footer="0" w:header="0"/>
        </w:sectPr>
      </w:pPr>
    </w:p>
    <w:bookmarkStart w:id="14" w:name="page15"/>
    <w:bookmarkEnd w:id="14"/>
    <w:p>
      <w:pPr>
        <w:ind w:left="35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U.S. GAAP Reconciliation of Adjusted Results (Unaudited)</w:t>
      </w:r>
    </w:p>
    <w:p>
      <w:pPr>
        <w:spacing w:after="0" w:line="12"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6"/>
          <w:szCs w:val="16"/>
          <w:b w:val="1"/>
          <w:bCs w:val="1"/>
          <w:color w:val="auto"/>
        </w:rPr>
        <w:t>(Dollars in Thousands)</w:t>
      </w:r>
    </w:p>
    <w:p>
      <w:pPr>
        <w:spacing w:after="0" w:line="246" w:lineRule="exact"/>
        <w:rPr>
          <w:sz w:val="20"/>
          <w:szCs w:val="20"/>
          <w:color w:val="auto"/>
        </w:rPr>
      </w:pPr>
    </w:p>
    <w:tbl>
      <w:tblPr>
        <w:tblLayout w:type="fixed"/>
        <w:tblInd w:w="260" w:type="dxa"/>
        <w:tblCellMar>
          <w:top w:w="0" w:type="dxa"/>
          <w:left w:w="0" w:type="dxa"/>
          <w:bottom w:w="0" w:type="dxa"/>
          <w:right w:w="0" w:type="dxa"/>
        </w:tblCellMar>
      </w:tblPr>
      <w:tr>
        <w:trPr>
          <w:trHeight w:val="190"/>
        </w:trPr>
        <w:tc>
          <w:tcPr>
            <w:tcW w:w="5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120" w:type="dxa"/>
            <w:vAlign w:val="bottom"/>
            <w:gridSpan w:val="6"/>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Three Months Ended September 30, 2022</w:t>
            </w:r>
          </w:p>
        </w:tc>
        <w:tc>
          <w:tcPr>
            <w:tcW w:w="1320" w:type="dxa"/>
            <w:vAlign w:val="bottom"/>
          </w:tcPr>
          <w:p>
            <w:pPr>
              <w:spacing w:after="0"/>
              <w:rPr>
                <w:sz w:val="16"/>
                <w:szCs w:val="16"/>
                <w:color w:val="auto"/>
              </w:rPr>
            </w:pPr>
          </w:p>
        </w:tc>
      </w:tr>
      <w:tr>
        <w:trPr>
          <w:trHeight w:val="23"/>
        </w:trPr>
        <w:tc>
          <w:tcPr>
            <w:tcW w:w="51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0"/>
        </w:trPr>
        <w:tc>
          <w:tcPr>
            <w:tcW w:w="5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U.S. GAAP</w:t>
            </w: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gridSpan w:val="2"/>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40" w:type="dxa"/>
            <w:vAlign w:val="bottom"/>
          </w:tcPr>
          <w:p>
            <w:pPr>
              <w:spacing w:after="0"/>
              <w:rPr>
                <w:sz w:val="16"/>
                <w:szCs w:val="16"/>
                <w:color w:val="auto"/>
              </w:rPr>
            </w:pPr>
          </w:p>
        </w:tc>
        <w:tc>
          <w:tcPr>
            <w:tcW w:w="132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Adjusted</w:t>
            </w:r>
          </w:p>
        </w:tc>
      </w:tr>
      <w:tr>
        <w:trPr>
          <w:trHeight w:val="202"/>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Professional fees</w:t>
            </w:r>
          </w:p>
        </w:tc>
        <w:tc>
          <w:tcPr>
            <w:tcW w:w="1160" w:type="dxa"/>
            <w:vAlign w:val="bottom"/>
            <w:tcBorders>
              <w:top w:val="single" w:sz="8" w:color="auto"/>
            </w:tcBorders>
            <w:shd w:val="clear" w:color="auto" w:fill="CCEEFF"/>
          </w:tcPr>
          <w:p>
            <w:pPr>
              <w:jc w:val="right"/>
              <w:ind w:right="100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8,180</w:t>
            </w:r>
          </w:p>
        </w:tc>
        <w:tc>
          <w:tcPr>
            <w:tcW w:w="3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(1,507)</w:t>
            </w:r>
          </w:p>
        </w:tc>
        <w:tc>
          <w:tcPr>
            <w:tcW w:w="320" w:type="dxa"/>
            <w:vAlign w:val="bottom"/>
            <w:tcBorders>
              <w:top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97"/>
              </w:rPr>
              <w:t>(1)</w:t>
            </w:r>
          </w:p>
        </w:tc>
        <w:tc>
          <w:tcPr>
            <w:tcW w:w="340" w:type="dxa"/>
            <w:vAlign w:val="bottom"/>
            <w:tcBorders>
              <w:top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6,673</w:t>
            </w:r>
          </w:p>
        </w:tc>
      </w:tr>
      <w:tr>
        <w:trPr>
          <w:trHeight w:val="195"/>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Technology and infrastructure</w:t>
            </w:r>
          </w:p>
        </w:tc>
        <w:tc>
          <w:tcPr>
            <w:tcW w:w="11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7,337</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gridSpan w:val="2"/>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7,337</w:t>
            </w:r>
          </w:p>
        </w:tc>
      </w:tr>
      <w:tr>
        <w:trPr>
          <w:trHeight w:val="21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Rent and occupancy</w:t>
            </w: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6,404</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6,404</w:t>
            </w:r>
          </w:p>
        </w:tc>
      </w:tr>
      <w:tr>
        <w:trPr>
          <w:trHeight w:val="195"/>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Travel and related expenses</w:t>
            </w:r>
          </w:p>
        </w:tc>
        <w:tc>
          <w:tcPr>
            <w:tcW w:w="11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2,912</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gridSpan w:val="2"/>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2,912</w:t>
            </w:r>
          </w:p>
        </w:tc>
      </w:tr>
      <w:tr>
        <w:trPr>
          <w:trHeight w:val="21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administrative and other expenses</w:t>
            </w: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3,648</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3,648</w:t>
            </w:r>
          </w:p>
        </w:tc>
      </w:tr>
      <w:tr>
        <w:trPr>
          <w:trHeight w:val="196"/>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1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2,457</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(1,645) (2)</w:t>
            </w:r>
          </w:p>
        </w:tc>
        <w:tc>
          <w:tcPr>
            <w:tcW w:w="34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812</w:t>
            </w:r>
          </w:p>
        </w:tc>
      </w:tr>
      <w:tr>
        <w:trPr>
          <w:trHeight w:val="228"/>
        </w:trPr>
        <w:tc>
          <w:tcPr>
            <w:tcW w:w="51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Non-compensation expense</w:t>
            </w:r>
          </w:p>
        </w:tc>
        <w:tc>
          <w:tcPr>
            <w:tcW w:w="1160" w:type="dxa"/>
            <w:vAlign w:val="bottom"/>
            <w:tcBorders>
              <w:top w:val="single" w:sz="8" w:color="auto"/>
              <w:bottom w:val="single" w:sz="8" w:color="auto"/>
            </w:tcBorders>
            <w:shd w:val="clear" w:color="auto" w:fill="CCEEFF"/>
          </w:tcPr>
          <w:p>
            <w:pPr>
              <w:jc w:val="right"/>
              <w:ind w:right="100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30,938</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(3,152)</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27,786</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78" w:lineRule="exact"/>
        <w:rPr>
          <w:sz w:val="20"/>
          <w:szCs w:val="20"/>
          <w:color w:val="auto"/>
        </w:rPr>
      </w:pPr>
    </w:p>
    <w:tbl>
      <w:tblPr>
        <w:tblLayout w:type="fixed"/>
        <w:tblInd w:w="260" w:type="dxa"/>
        <w:tblCellMar>
          <w:top w:w="0" w:type="dxa"/>
          <w:left w:w="0" w:type="dxa"/>
          <w:bottom w:w="0" w:type="dxa"/>
          <w:right w:w="0" w:type="dxa"/>
        </w:tblCellMar>
      </w:tblPr>
      <w:tr>
        <w:trPr>
          <w:trHeight w:val="190"/>
        </w:trPr>
        <w:tc>
          <w:tcPr>
            <w:tcW w:w="5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120" w:type="dxa"/>
            <w:vAlign w:val="bottom"/>
            <w:gridSpan w:val="6"/>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Three Months Ended September 30, 2021</w:t>
            </w:r>
          </w:p>
        </w:tc>
        <w:tc>
          <w:tcPr>
            <w:tcW w:w="1320" w:type="dxa"/>
            <w:vAlign w:val="bottom"/>
          </w:tcPr>
          <w:p>
            <w:pPr>
              <w:spacing w:after="0"/>
              <w:rPr>
                <w:sz w:val="16"/>
                <w:szCs w:val="16"/>
                <w:color w:val="auto"/>
              </w:rPr>
            </w:pPr>
          </w:p>
        </w:tc>
      </w:tr>
      <w:tr>
        <w:trPr>
          <w:trHeight w:val="23"/>
        </w:trPr>
        <w:tc>
          <w:tcPr>
            <w:tcW w:w="51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0"/>
        </w:trPr>
        <w:tc>
          <w:tcPr>
            <w:tcW w:w="5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U.S. GAAP</w:t>
            </w: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gridSpan w:val="2"/>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40" w:type="dxa"/>
            <w:vAlign w:val="bottom"/>
          </w:tcPr>
          <w:p>
            <w:pPr>
              <w:spacing w:after="0"/>
              <w:rPr>
                <w:sz w:val="16"/>
                <w:szCs w:val="16"/>
                <w:color w:val="auto"/>
              </w:rPr>
            </w:pPr>
          </w:p>
        </w:tc>
        <w:tc>
          <w:tcPr>
            <w:tcW w:w="132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Adjusted</w:t>
            </w:r>
          </w:p>
        </w:tc>
      </w:tr>
      <w:tr>
        <w:trPr>
          <w:trHeight w:val="202"/>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Professional fees</w:t>
            </w:r>
          </w:p>
        </w:tc>
        <w:tc>
          <w:tcPr>
            <w:tcW w:w="1160" w:type="dxa"/>
            <w:vAlign w:val="bottom"/>
            <w:tcBorders>
              <w:top w:val="single" w:sz="8" w:color="auto"/>
            </w:tcBorders>
            <w:shd w:val="clear" w:color="auto" w:fill="CCEEFF"/>
          </w:tcPr>
          <w:p>
            <w:pPr>
              <w:jc w:val="right"/>
              <w:ind w:right="100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11,006</w:t>
            </w:r>
          </w:p>
        </w:tc>
        <w:tc>
          <w:tcPr>
            <w:tcW w:w="3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(1,610)</w:t>
            </w:r>
          </w:p>
        </w:tc>
        <w:tc>
          <w:tcPr>
            <w:tcW w:w="320" w:type="dxa"/>
            <w:vAlign w:val="bottom"/>
            <w:tcBorders>
              <w:top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97"/>
              </w:rPr>
              <w:t>(1)</w:t>
            </w:r>
          </w:p>
        </w:tc>
        <w:tc>
          <w:tcPr>
            <w:tcW w:w="340" w:type="dxa"/>
            <w:vAlign w:val="bottom"/>
            <w:tcBorders>
              <w:top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9,396</w:t>
            </w:r>
          </w:p>
        </w:tc>
      </w:tr>
      <w:tr>
        <w:trPr>
          <w:trHeight w:val="195"/>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Technology and infrastructure</w:t>
            </w:r>
          </w:p>
        </w:tc>
        <w:tc>
          <w:tcPr>
            <w:tcW w:w="11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7,368</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7,368</w:t>
            </w:r>
          </w:p>
        </w:tc>
      </w:tr>
      <w:tr>
        <w:trPr>
          <w:trHeight w:val="21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Rent and occupancy</w:t>
            </w: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6,773</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6,773</w:t>
            </w:r>
          </w:p>
        </w:tc>
      </w:tr>
      <w:tr>
        <w:trPr>
          <w:trHeight w:val="195"/>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Travel and related expenses</w:t>
            </w:r>
          </w:p>
        </w:tc>
        <w:tc>
          <w:tcPr>
            <w:tcW w:w="11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1,629</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1,629</w:t>
            </w:r>
          </w:p>
        </w:tc>
      </w:tr>
      <w:tr>
        <w:trPr>
          <w:trHeight w:val="21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administrative and other expenses</w:t>
            </w: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6,127</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6,127</w:t>
            </w:r>
          </w:p>
        </w:tc>
      </w:tr>
      <w:tr>
        <w:trPr>
          <w:trHeight w:val="196"/>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1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3,479</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(1,645) (2)</w:t>
            </w:r>
          </w:p>
        </w:tc>
        <w:tc>
          <w:tcPr>
            <w:tcW w:w="34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1,834</w:t>
            </w:r>
          </w:p>
        </w:tc>
      </w:tr>
      <w:tr>
        <w:trPr>
          <w:trHeight w:val="228"/>
        </w:trPr>
        <w:tc>
          <w:tcPr>
            <w:tcW w:w="51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Non-compensation expense</w:t>
            </w:r>
          </w:p>
        </w:tc>
        <w:tc>
          <w:tcPr>
            <w:tcW w:w="1160" w:type="dxa"/>
            <w:vAlign w:val="bottom"/>
            <w:tcBorders>
              <w:top w:val="single" w:sz="8" w:color="auto"/>
              <w:bottom w:val="single" w:sz="8" w:color="auto"/>
            </w:tcBorders>
            <w:shd w:val="clear" w:color="auto" w:fill="CCEEFF"/>
          </w:tcPr>
          <w:p>
            <w:pPr>
              <w:jc w:val="right"/>
              <w:ind w:right="100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36,382</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(3,255)</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33,127</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78" w:lineRule="exact"/>
        <w:rPr>
          <w:sz w:val="20"/>
          <w:szCs w:val="20"/>
          <w:color w:val="auto"/>
        </w:rPr>
      </w:pPr>
    </w:p>
    <w:tbl>
      <w:tblPr>
        <w:tblLayout w:type="fixed"/>
        <w:tblInd w:w="260" w:type="dxa"/>
        <w:tblCellMar>
          <w:top w:w="0" w:type="dxa"/>
          <w:left w:w="0" w:type="dxa"/>
          <w:bottom w:w="0" w:type="dxa"/>
          <w:right w:w="0" w:type="dxa"/>
        </w:tblCellMar>
      </w:tblPr>
      <w:tr>
        <w:trPr>
          <w:trHeight w:val="190"/>
        </w:trPr>
        <w:tc>
          <w:tcPr>
            <w:tcW w:w="5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100" w:type="dxa"/>
            <w:vAlign w:val="bottom"/>
            <w:gridSpan w:val="6"/>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Nine Months Ended September 30, 2022</w:t>
            </w:r>
          </w:p>
        </w:tc>
        <w:tc>
          <w:tcPr>
            <w:tcW w:w="1340" w:type="dxa"/>
            <w:vAlign w:val="bottom"/>
          </w:tcPr>
          <w:p>
            <w:pPr>
              <w:spacing w:after="0"/>
              <w:rPr>
                <w:sz w:val="16"/>
                <w:szCs w:val="16"/>
                <w:color w:val="auto"/>
              </w:rPr>
            </w:pPr>
          </w:p>
        </w:tc>
      </w:tr>
      <w:tr>
        <w:trPr>
          <w:trHeight w:val="23"/>
        </w:trPr>
        <w:tc>
          <w:tcPr>
            <w:tcW w:w="51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0"/>
        </w:trPr>
        <w:tc>
          <w:tcPr>
            <w:tcW w:w="5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U.S. GAAP</w:t>
            </w: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gridSpan w:val="2"/>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20" w:type="dxa"/>
            <w:vAlign w:val="bottom"/>
          </w:tcPr>
          <w:p>
            <w:pPr>
              <w:spacing w:after="0"/>
              <w:rPr>
                <w:sz w:val="16"/>
                <w:szCs w:val="16"/>
                <w:color w:val="auto"/>
              </w:rPr>
            </w:pPr>
          </w:p>
        </w:tc>
        <w:tc>
          <w:tcPr>
            <w:tcW w:w="134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Adjusted</w:t>
            </w:r>
          </w:p>
        </w:tc>
      </w:tr>
      <w:tr>
        <w:trPr>
          <w:trHeight w:val="202"/>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Professional fees</w:t>
            </w:r>
          </w:p>
        </w:tc>
        <w:tc>
          <w:tcPr>
            <w:tcW w:w="1160" w:type="dxa"/>
            <w:vAlign w:val="bottom"/>
            <w:tcBorders>
              <w:top w:val="single" w:sz="8" w:color="auto"/>
            </w:tcBorders>
            <w:shd w:val="clear" w:color="auto" w:fill="CCEEFF"/>
          </w:tcPr>
          <w:p>
            <w:pPr>
              <w:jc w:val="right"/>
              <w:ind w:right="100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25,902</w:t>
            </w:r>
          </w:p>
        </w:tc>
        <w:tc>
          <w:tcPr>
            <w:tcW w:w="3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(2,221)</w:t>
            </w:r>
          </w:p>
        </w:tc>
        <w:tc>
          <w:tcPr>
            <w:tcW w:w="320" w:type="dxa"/>
            <w:vAlign w:val="bottom"/>
            <w:tcBorders>
              <w:top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97"/>
              </w:rPr>
              <w:t>(1)</w:t>
            </w: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23,681</w:t>
            </w:r>
          </w:p>
        </w:tc>
      </w:tr>
      <w:tr>
        <w:trPr>
          <w:trHeight w:val="195"/>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Technology and infrastructure</w:t>
            </w:r>
          </w:p>
        </w:tc>
        <w:tc>
          <w:tcPr>
            <w:tcW w:w="11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22,414</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gridSpan w:val="2"/>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22,414</w:t>
            </w:r>
          </w:p>
        </w:tc>
      </w:tr>
      <w:tr>
        <w:trPr>
          <w:trHeight w:val="21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Rent and occupancy</w:t>
            </w: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17,511</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17,511</w:t>
            </w:r>
          </w:p>
        </w:tc>
      </w:tr>
      <w:tr>
        <w:trPr>
          <w:trHeight w:val="195"/>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Travel and related expenses</w:t>
            </w:r>
          </w:p>
        </w:tc>
        <w:tc>
          <w:tcPr>
            <w:tcW w:w="11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8,847</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gridSpan w:val="2"/>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8,847</w:t>
            </w:r>
          </w:p>
        </w:tc>
      </w:tr>
      <w:tr>
        <w:trPr>
          <w:trHeight w:val="21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administrative and other expenses</w:t>
            </w: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15,414</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15,414</w:t>
            </w:r>
          </w:p>
        </w:tc>
      </w:tr>
      <w:tr>
        <w:trPr>
          <w:trHeight w:val="206"/>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1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8,053</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(4,935) (2)</w:t>
            </w:r>
          </w:p>
        </w:tc>
        <w:tc>
          <w:tcPr>
            <w:tcW w:w="320" w:type="dxa"/>
            <w:vAlign w:val="bottom"/>
          </w:tcPr>
          <w:p>
            <w:pPr>
              <w:spacing w:after="0"/>
              <w:rPr>
                <w:sz w:val="17"/>
                <w:szCs w:val="17"/>
                <w:color w:val="auto"/>
              </w:rPr>
            </w:pPr>
          </w:p>
        </w:tc>
        <w:tc>
          <w:tcPr>
            <w:tcW w:w="1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3,118</w:t>
            </w:r>
          </w:p>
        </w:tc>
      </w:tr>
      <w:tr>
        <w:trPr>
          <w:trHeight w:val="23"/>
        </w:trPr>
        <w:tc>
          <w:tcPr>
            <w:tcW w:w="51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1"/>
        </w:trPr>
        <w:tc>
          <w:tcPr>
            <w:tcW w:w="51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Non-compensation expense</w:t>
            </w:r>
          </w:p>
        </w:tc>
        <w:tc>
          <w:tcPr>
            <w:tcW w:w="1160" w:type="dxa"/>
            <w:vAlign w:val="bottom"/>
            <w:tcBorders>
              <w:bottom w:val="single" w:sz="8" w:color="auto"/>
            </w:tcBorders>
            <w:shd w:val="clear" w:color="auto" w:fill="CCEEFF"/>
          </w:tcPr>
          <w:p>
            <w:pPr>
              <w:jc w:val="right"/>
              <w:ind w:right="100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98,141</w:t>
            </w:r>
          </w:p>
        </w:tc>
        <w:tc>
          <w:tcPr>
            <w:tcW w:w="3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(7,156)</w:t>
            </w:r>
          </w:p>
        </w:tc>
        <w:tc>
          <w:tcPr>
            <w:tcW w:w="3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90,985</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78" w:lineRule="exact"/>
        <w:rPr>
          <w:sz w:val="20"/>
          <w:szCs w:val="20"/>
          <w:color w:val="auto"/>
        </w:rPr>
      </w:pPr>
    </w:p>
    <w:tbl>
      <w:tblPr>
        <w:tblLayout w:type="fixed"/>
        <w:tblInd w:w="260" w:type="dxa"/>
        <w:tblCellMar>
          <w:top w:w="0" w:type="dxa"/>
          <w:left w:w="0" w:type="dxa"/>
          <w:bottom w:w="0" w:type="dxa"/>
          <w:right w:w="0" w:type="dxa"/>
        </w:tblCellMar>
      </w:tblPr>
      <w:tr>
        <w:trPr>
          <w:trHeight w:val="190"/>
        </w:trPr>
        <w:tc>
          <w:tcPr>
            <w:tcW w:w="5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100" w:type="dxa"/>
            <w:vAlign w:val="bottom"/>
            <w:gridSpan w:val="6"/>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Nine Months Ended September 30, 2021</w:t>
            </w:r>
          </w:p>
        </w:tc>
        <w:tc>
          <w:tcPr>
            <w:tcW w:w="1340" w:type="dxa"/>
            <w:vAlign w:val="bottom"/>
          </w:tcPr>
          <w:p>
            <w:pPr>
              <w:spacing w:after="0"/>
              <w:rPr>
                <w:sz w:val="16"/>
                <w:szCs w:val="16"/>
                <w:color w:val="auto"/>
              </w:rPr>
            </w:pPr>
          </w:p>
        </w:tc>
      </w:tr>
      <w:tr>
        <w:trPr>
          <w:trHeight w:val="23"/>
        </w:trPr>
        <w:tc>
          <w:tcPr>
            <w:tcW w:w="51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0"/>
        </w:trPr>
        <w:tc>
          <w:tcPr>
            <w:tcW w:w="5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U.S. GAAP</w:t>
            </w: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gridSpan w:val="2"/>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20" w:type="dxa"/>
            <w:vAlign w:val="bottom"/>
          </w:tcPr>
          <w:p>
            <w:pPr>
              <w:spacing w:after="0"/>
              <w:rPr>
                <w:sz w:val="16"/>
                <w:szCs w:val="16"/>
                <w:color w:val="auto"/>
              </w:rPr>
            </w:pPr>
          </w:p>
        </w:tc>
        <w:tc>
          <w:tcPr>
            <w:tcW w:w="134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Adjusted</w:t>
            </w:r>
          </w:p>
        </w:tc>
      </w:tr>
      <w:tr>
        <w:trPr>
          <w:trHeight w:val="202"/>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Professional fees</w:t>
            </w:r>
          </w:p>
        </w:tc>
        <w:tc>
          <w:tcPr>
            <w:tcW w:w="1160" w:type="dxa"/>
            <w:vAlign w:val="bottom"/>
            <w:tcBorders>
              <w:top w:val="single" w:sz="8" w:color="auto"/>
            </w:tcBorders>
            <w:shd w:val="clear" w:color="auto" w:fill="CCEEFF"/>
          </w:tcPr>
          <w:p>
            <w:pPr>
              <w:jc w:val="right"/>
              <w:ind w:right="100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28,954</w:t>
            </w:r>
          </w:p>
        </w:tc>
        <w:tc>
          <w:tcPr>
            <w:tcW w:w="3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(4,552)</w:t>
            </w:r>
          </w:p>
        </w:tc>
        <w:tc>
          <w:tcPr>
            <w:tcW w:w="320" w:type="dxa"/>
            <w:vAlign w:val="bottom"/>
            <w:tcBorders>
              <w:top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97"/>
              </w:rPr>
              <w:t>(1)</w:t>
            </w: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24,402</w:t>
            </w:r>
          </w:p>
        </w:tc>
      </w:tr>
      <w:tr>
        <w:trPr>
          <w:trHeight w:val="195"/>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Technology and infrastructure</w:t>
            </w:r>
          </w:p>
        </w:tc>
        <w:tc>
          <w:tcPr>
            <w:tcW w:w="11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21,465</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21,465</w:t>
            </w:r>
          </w:p>
        </w:tc>
      </w:tr>
      <w:tr>
        <w:trPr>
          <w:trHeight w:val="21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Rent and occupancy</w:t>
            </w: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20,068</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20,068</w:t>
            </w:r>
          </w:p>
        </w:tc>
      </w:tr>
      <w:tr>
        <w:trPr>
          <w:trHeight w:val="195"/>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Travel and related expenses</w:t>
            </w:r>
          </w:p>
        </w:tc>
        <w:tc>
          <w:tcPr>
            <w:tcW w:w="11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3,505</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3,505</w:t>
            </w:r>
          </w:p>
        </w:tc>
      </w:tr>
      <w:tr>
        <w:trPr>
          <w:trHeight w:val="21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administrative and other expenses</w:t>
            </w: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12,005</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12,005</w:t>
            </w:r>
          </w:p>
        </w:tc>
      </w:tr>
      <w:tr>
        <w:trPr>
          <w:trHeight w:val="196"/>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1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11,081</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(4,935) (2)</w:t>
            </w:r>
          </w:p>
        </w:tc>
        <w:tc>
          <w:tcPr>
            <w:tcW w:w="320" w:type="dxa"/>
            <w:vAlign w:val="bottom"/>
          </w:tcPr>
          <w:p>
            <w:pPr>
              <w:spacing w:after="0"/>
              <w:rPr>
                <w:sz w:val="17"/>
                <w:szCs w:val="17"/>
                <w:color w:val="auto"/>
              </w:rPr>
            </w:pPr>
          </w:p>
        </w:tc>
        <w:tc>
          <w:tcPr>
            <w:tcW w:w="1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6,146</w:t>
            </w:r>
          </w:p>
        </w:tc>
      </w:tr>
      <w:tr>
        <w:trPr>
          <w:trHeight w:val="228"/>
        </w:trPr>
        <w:tc>
          <w:tcPr>
            <w:tcW w:w="51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Non-compensation expense</w:t>
            </w:r>
          </w:p>
        </w:tc>
        <w:tc>
          <w:tcPr>
            <w:tcW w:w="1160" w:type="dxa"/>
            <w:vAlign w:val="bottom"/>
            <w:tcBorders>
              <w:top w:val="single" w:sz="8" w:color="auto"/>
              <w:bottom w:val="single" w:sz="8" w:color="auto"/>
            </w:tcBorders>
            <w:shd w:val="clear" w:color="auto" w:fill="CCEEFF"/>
          </w:tcPr>
          <w:p>
            <w:pPr>
              <w:jc w:val="right"/>
              <w:ind w:right="100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97,078</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(9,487)</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87,591</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left="400" w:hanging="226"/>
        <w:spacing w:after="0"/>
        <w:tabs>
          <w:tab w:leader="none" w:pos="400"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an adjustment to exclude transaction costs associated with the Business Combination and the Warrant Exchange.</w:t>
      </w:r>
    </w:p>
    <w:p>
      <w:pPr>
        <w:spacing w:after="0" w:line="221" w:lineRule="exact"/>
        <w:rPr>
          <w:rFonts w:ascii="Times New Roman" w:cs="Times New Roman" w:eastAsia="Times New Roman" w:hAnsi="Times New Roman"/>
          <w:sz w:val="16"/>
          <w:szCs w:val="16"/>
          <w:color w:val="auto"/>
        </w:rPr>
      </w:pPr>
    </w:p>
    <w:p>
      <w:pPr>
        <w:ind w:left="400" w:hanging="226"/>
        <w:spacing w:after="0"/>
        <w:tabs>
          <w:tab w:leader="none" w:pos="400"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an adjustment to exclude the amortization of intangible assets related to the TPH business combination.</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90" w:lineRule="exact"/>
        <w:rPr>
          <w:rFonts w:ascii="Times New Roman" w:cs="Times New Roman" w:eastAsia="Times New Roman" w:hAnsi="Times New Roman"/>
          <w:sz w:val="16"/>
          <w:szCs w:val="16"/>
          <w:color w:val="auto"/>
        </w:rPr>
      </w:pPr>
    </w:p>
    <w:p>
      <w:pPr>
        <w:spacing w:after="0" w:line="28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 Throughout this release, adjusted figures represent Non-GAAP information. See “Non-GAAP Financial Measures” and the tables at the end of this release for an explanation of the adjustments and reconciliations to the comparable GAAP numbers.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sectPr>
      <w:pgSz w:w="11900" w:h="16838" w:orient="portrait"/>
      <w:cols w:equalWidth="0" w:num="1">
        <w:col w:w="11240"/>
      </w:cols>
      <w:pgMar w:left="320" w:top="14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1)"/>
      <w:numFmt w:val="decimal"/>
      <w:start w:val="1"/>
    </w:lvl>
  </w:abstractNum>
  <w:abstractNum w:abstractNumId="17">
    <w:nsid w:val="3F2DBA31"/>
    <w:multiLevelType w:val="hybridMultilevel"/>
    <w:lvl w:ilvl="0">
      <w:lvlJc w:val="left"/>
      <w:lvlText w:val="*"/>
      <w:numFmt w:val="bullet"/>
      <w:start w:val="1"/>
    </w:lvl>
  </w:abstractNum>
  <w:abstractNum w:abstractNumId="18">
    <w:nsid w:val="7C83E458"/>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2022-11-03T07:13:11Z</dcterms:created>
  <dcterms:modified xsi:type="dcterms:W3CDTF">2022-11-03T07:13:11Z</dcterms:modified>
</cp:coreProperties>
</file>