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1031875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997585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spacing w:after="0" w:line="214"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904875</wp:posOffset>
            </wp:positionH>
            <wp:positionV relativeFrom="paragraph">
              <wp:posOffset>38735</wp:posOffset>
            </wp:positionV>
            <wp:extent cx="53403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0350" cy="1714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904875</wp:posOffset>
            </wp:positionH>
            <wp:positionV relativeFrom="paragraph">
              <wp:posOffset>60960</wp:posOffset>
            </wp:positionV>
            <wp:extent cx="53403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0350" cy="17145"/>
                    </a:xfrm>
                    <a:prstGeom prst="rect">
                      <a:avLst/>
                    </a:prstGeom>
                    <a:noFill/>
                  </pic:spPr>
                </pic:pic>
              </a:graphicData>
            </a:graphic>
          </wp:anchor>
        </w:drawing>
      </w:r>
    </w:p>
    <w:p>
      <w:pPr>
        <w:spacing w:after="0" w:line="20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ind w:left="406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28, 2025</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904875</wp:posOffset>
            </wp:positionH>
            <wp:positionV relativeFrom="paragraph">
              <wp:posOffset>85090</wp:posOffset>
            </wp:positionV>
            <wp:extent cx="53403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0350" cy="1714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904875</wp:posOffset>
            </wp:positionH>
            <wp:positionV relativeFrom="paragraph">
              <wp:posOffset>45085</wp:posOffset>
            </wp:positionV>
            <wp:extent cx="53403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035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0"/>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97"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0"/>
        <w:spacing w:after="0" w:line="207" w:lineRule="exact"/>
        <w:tabs>
          <w:tab w:leader="none" w:pos="30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2025 Annual Meeting of Stockholders (the “Annual Meeting”) held on May 28, 2025, the stockholders of Perella Weinberg Partners (the “Company”) voted on the matters described below.</w:t>
      </w:r>
    </w:p>
    <w:p>
      <w:pPr>
        <w:spacing w:after="0" w:line="189" w:lineRule="exact"/>
        <w:rPr>
          <w:sz w:val="20"/>
          <w:szCs w:val="20"/>
          <w:color w:val="auto"/>
        </w:rPr>
      </w:pPr>
    </w:p>
    <w:p>
      <w:pPr>
        <w:ind w:firstLine="8"/>
        <w:spacing w:after="0" w:line="266"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elected three Class I directors, each of whom will hold office until the 2028 annual meeting of stockholders, and until his or her respective successor has been duly elected and qualified, based on the following votes:</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1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WITHHELD</w:t>
            </w:r>
          </w:p>
        </w:tc>
        <w:tc>
          <w:tcPr>
            <w:tcW w:w="8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BROKER NON-VOTE</w:t>
            </w:r>
          </w:p>
        </w:tc>
        <w:tc>
          <w:tcPr>
            <w:tcW w:w="340" w:type="dxa"/>
            <w:vAlign w:val="bottom"/>
          </w:tcPr>
          <w:p>
            <w:pPr>
              <w:spacing w:after="0"/>
              <w:rPr>
                <w:sz w:val="17"/>
                <w:szCs w:val="17"/>
                <w:color w:val="auto"/>
              </w:rPr>
            </w:pPr>
          </w:p>
        </w:tc>
      </w:tr>
      <w:tr>
        <w:trPr>
          <w:trHeight w:val="30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Andrew Bednar</w:t>
            </w:r>
          </w:p>
        </w:tc>
        <w:tc>
          <w:tcPr>
            <w:tcW w:w="2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284,732,279</w:t>
            </w:r>
          </w:p>
        </w:tc>
        <w:tc>
          <w:tcPr>
            <w:tcW w:w="280" w:type="dxa"/>
            <w:vAlign w:val="bottom"/>
          </w:tcPr>
          <w:p>
            <w:pPr>
              <w:spacing w:after="0"/>
              <w:rPr>
                <w:sz w:val="24"/>
                <w:szCs w:val="24"/>
                <w:color w:val="auto"/>
              </w:rPr>
            </w:pPr>
          </w:p>
        </w:tc>
        <w:tc>
          <w:tcPr>
            <w:tcW w:w="152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24,463,405</w:t>
            </w:r>
          </w:p>
        </w:tc>
        <w:tc>
          <w:tcPr>
            <w:tcW w:w="5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9,739,606</w:t>
            </w:r>
          </w:p>
        </w:tc>
        <w:tc>
          <w:tcPr>
            <w:tcW w:w="340" w:type="dxa"/>
            <w:vAlign w:val="bottom"/>
            <w:tcBorders>
              <w:bottom w:val="single" w:sz="8" w:color="auto"/>
            </w:tcBorders>
          </w:tcPr>
          <w:p>
            <w:pPr>
              <w:spacing w:after="0"/>
              <w:rPr>
                <w:sz w:val="24"/>
                <w:szCs w:val="24"/>
                <w:color w:val="auto"/>
              </w:rPr>
            </w:pPr>
          </w:p>
        </w:tc>
      </w:t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Kristin W. Mugford</w:t>
            </w:r>
          </w:p>
        </w:tc>
        <w:tc>
          <w:tcPr>
            <w:tcW w:w="2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274,158,564</w:t>
            </w:r>
          </w:p>
        </w:tc>
        <w:tc>
          <w:tcPr>
            <w:tcW w:w="280" w:type="dxa"/>
            <w:vAlign w:val="bottom"/>
          </w:tcPr>
          <w:p>
            <w:pPr>
              <w:spacing w:after="0"/>
              <w:rPr>
                <w:sz w:val="20"/>
                <w:szCs w:val="20"/>
                <w:color w:val="auto"/>
              </w:rPr>
            </w:pPr>
          </w:p>
        </w:tc>
        <w:tc>
          <w:tcPr>
            <w:tcW w:w="152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35,037,120</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9,739,606</w:t>
            </w:r>
          </w:p>
        </w:tc>
        <w:tc>
          <w:tcPr>
            <w:tcW w:w="340" w:type="dxa"/>
            <w:vAlign w:val="bottom"/>
            <w:tcBorders>
              <w:bottom w:val="single" w:sz="8" w:color="auto"/>
            </w:tcBorders>
          </w:tcPr>
          <w:p>
            <w:pPr>
              <w:spacing w:after="0"/>
              <w:rPr>
                <w:sz w:val="20"/>
                <w:szCs w:val="20"/>
                <w:color w:val="auto"/>
              </w:rPr>
            </w:pPr>
          </w:p>
        </w:tc>
      </w:tr>
      <w:tr>
        <w:trPr>
          <w:trHeight w:val="23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Joseph R. Perella</w:t>
            </w:r>
          </w:p>
        </w:tc>
        <w:tc>
          <w:tcPr>
            <w:tcW w:w="20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282,171,263</w:t>
            </w:r>
          </w:p>
        </w:tc>
        <w:tc>
          <w:tcPr>
            <w:tcW w:w="280" w:type="dxa"/>
            <w:vAlign w:val="bottom"/>
          </w:tcPr>
          <w:p>
            <w:pPr>
              <w:spacing w:after="0"/>
              <w:rPr>
                <w:sz w:val="20"/>
                <w:szCs w:val="20"/>
                <w:color w:val="auto"/>
              </w:rPr>
            </w:pPr>
          </w:p>
        </w:tc>
        <w:tc>
          <w:tcPr>
            <w:tcW w:w="152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27,024,421</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Borders>
              <w:bottom w:val="single" w:sz="8" w:color="auto"/>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9,739,606</w:t>
            </w:r>
          </w:p>
        </w:tc>
        <w:tc>
          <w:tcPr>
            <w:tcW w:w="340" w:type="dxa"/>
            <w:vAlign w:val="bottom"/>
            <w:tcBorders>
              <w:bottom w:val="single" w:sz="8" w:color="auto"/>
            </w:tcBorders>
          </w:tcPr>
          <w:p>
            <w:pPr>
              <w:spacing w:after="0"/>
              <w:rPr>
                <w:sz w:val="20"/>
                <w:szCs w:val="20"/>
                <w:color w:val="auto"/>
              </w:rPr>
            </w:pPr>
          </w:p>
        </w:tc>
      </w:tr>
    </w:tbl>
    <w:p>
      <w:pPr>
        <w:spacing w:after="0" w:line="306" w:lineRule="exact"/>
        <w:rPr>
          <w:sz w:val="20"/>
          <w:szCs w:val="20"/>
          <w:color w:val="auto"/>
        </w:rPr>
      </w:pPr>
    </w:p>
    <w:p>
      <w:pPr>
        <w:ind w:right="240" w:firstLine="8"/>
        <w:spacing w:after="0" w:line="266"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fiscal year ending December 31, 2025, based on the following votes: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20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color w:val="auto"/>
                <w:w w:val="96"/>
              </w:rPr>
              <w:t>FOR</w:t>
            </w:r>
          </w:p>
        </w:tc>
        <w:tc>
          <w:tcPr>
            <w:tcW w:w="34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8"/>
              </w:rPr>
              <w:t>AGAINST</w:t>
            </w:r>
          </w:p>
        </w:tc>
        <w:tc>
          <w:tcPr>
            <w:tcW w:w="1160" w:type="dxa"/>
            <w:vAlign w:val="bottom"/>
          </w:tcPr>
          <w:p>
            <w:pPr>
              <w:spacing w:after="0"/>
              <w:rPr>
                <w:sz w:val="17"/>
                <w:szCs w:val="17"/>
                <w:color w:val="auto"/>
              </w:rPr>
            </w:pPr>
          </w:p>
        </w:tc>
        <w:tc>
          <w:tcPr>
            <w:tcW w:w="192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7"/>
              </w:rPr>
              <w:t>ABSTAIN</w:t>
            </w:r>
          </w:p>
        </w:tc>
      </w:tr>
      <w:tr>
        <w:trPr>
          <w:trHeight w:val="20"/>
        </w:trPr>
        <w:tc>
          <w:tcPr>
            <w:tcW w:w="1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7"/>
        </w:trPr>
        <w:tc>
          <w:tcPr>
            <w:tcW w:w="3040" w:type="dxa"/>
            <w:vAlign w:val="bottom"/>
            <w:tcBorders>
              <w:bottom w:val="single" w:sz="8" w:color="auto"/>
            </w:tcBorders>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318,637,383</w:t>
            </w:r>
          </w:p>
        </w:tc>
        <w:tc>
          <w:tcPr>
            <w:tcW w:w="380" w:type="dxa"/>
            <w:vAlign w:val="bottom"/>
          </w:tcPr>
          <w:p>
            <w:pPr>
              <w:spacing w:after="0"/>
              <w:rPr>
                <w:sz w:val="24"/>
                <w:szCs w:val="24"/>
                <w:color w:val="auto"/>
              </w:rPr>
            </w:pPr>
          </w:p>
        </w:tc>
        <w:tc>
          <w:tcPr>
            <w:tcW w:w="1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281,142</w:t>
            </w:r>
          </w:p>
        </w:tc>
        <w:tc>
          <w:tcPr>
            <w:tcW w:w="11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16,765</w:t>
            </w:r>
          </w:p>
        </w:tc>
        <w:tc>
          <w:tcPr>
            <w:tcW w:w="1160" w:type="dxa"/>
            <w:vAlign w:val="bottom"/>
            <w:tcBorders>
              <w:bottom w:val="single" w:sz="8" w:color="auto"/>
            </w:tcBorders>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The Company’s stockholders approved, by advisory vote, the compensation of the Company's named executive officers, based on the following votes:</w:t>
      </w:r>
    </w:p>
    <w:p>
      <w:pPr>
        <w:spacing w:after="0" w:line="25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1240" w:type="dxa"/>
            <w:vAlign w:val="bottom"/>
            <w:gridSpan w:val="2"/>
          </w:tcPr>
          <w:p>
            <w:pPr>
              <w:spacing w:after="0"/>
              <w:rPr>
                <w:sz w:val="18"/>
                <w:szCs w:val="18"/>
                <w:color w:val="auto"/>
              </w:rPr>
            </w:pPr>
          </w:p>
        </w:tc>
        <w:tc>
          <w:tcPr>
            <w:tcW w:w="23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AGAINST</w:t>
            </w:r>
          </w:p>
        </w:tc>
        <w:tc>
          <w:tcPr>
            <w:tcW w:w="66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ABSTAIN</w:t>
            </w:r>
          </w:p>
        </w:tc>
        <w:tc>
          <w:tcPr>
            <w:tcW w:w="26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BROKER NON-VOTE</w:t>
            </w: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7"/>
        </w:trPr>
        <w:tc>
          <w:tcPr>
            <w:tcW w:w="206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268,428,713</w:t>
            </w:r>
          </w:p>
        </w:tc>
        <w:tc>
          <w:tcPr>
            <w:tcW w:w="400" w:type="dxa"/>
            <w:vAlign w:val="bottom"/>
          </w:tcPr>
          <w:p>
            <w:pPr>
              <w:spacing w:after="0"/>
              <w:rPr>
                <w:sz w:val="24"/>
                <w:szCs w:val="24"/>
                <w:color w:val="auto"/>
              </w:rPr>
            </w:pPr>
          </w:p>
        </w:tc>
        <w:tc>
          <w:tcPr>
            <w:tcW w:w="20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39,659,086</w:t>
            </w:r>
          </w:p>
        </w:tc>
        <w:tc>
          <w:tcPr>
            <w:tcW w:w="380" w:type="dxa"/>
            <w:vAlign w:val="bottom"/>
          </w:tcPr>
          <w:p>
            <w:pPr>
              <w:spacing w:after="0"/>
              <w:rPr>
                <w:sz w:val="24"/>
                <w:szCs w:val="24"/>
                <w:color w:val="auto"/>
              </w:rPr>
            </w:pPr>
          </w:p>
        </w:tc>
        <w:tc>
          <w:tcPr>
            <w:tcW w:w="14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w w:val="99"/>
              </w:rPr>
              <w:t>1,107,885</w:t>
            </w: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9,739,606</w:t>
            </w:r>
          </w:p>
        </w:tc>
        <w:tc>
          <w:tcPr>
            <w:tcW w:w="4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349" w:lineRule="exact"/>
        <w:rPr>
          <w:sz w:val="20"/>
          <w:szCs w:val="20"/>
          <w:color w:val="auto"/>
        </w:rPr>
      </w:pPr>
    </w:p>
    <w:p>
      <w:pPr>
        <w:ind w:right="80" w:firstLine="8"/>
        <w:spacing w:after="0" w:line="266"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approved, by advisory vote, the frequency of future advisory votes on named executive officer compensation, based on the following votes: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3 YEARS</w:t>
            </w:r>
          </w:p>
        </w:tc>
        <w:tc>
          <w:tcPr>
            <w:tcW w:w="620" w:type="dxa"/>
            <w:vAlign w:val="bottom"/>
          </w:tcPr>
          <w:p>
            <w:pPr>
              <w:spacing w:after="0"/>
              <w:rPr>
                <w:sz w:val="18"/>
                <w:szCs w:val="18"/>
                <w:color w:val="auto"/>
              </w:rPr>
            </w:pPr>
          </w:p>
        </w:tc>
        <w:tc>
          <w:tcPr>
            <w:tcW w:w="15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rPr>
              <w:t>2 YEARS</w:t>
            </w:r>
          </w:p>
        </w:tc>
        <w:tc>
          <w:tcPr>
            <w:tcW w:w="720" w:type="dxa"/>
            <w:vAlign w:val="bottom"/>
          </w:tcPr>
          <w:p>
            <w:pPr>
              <w:spacing w:after="0"/>
              <w:rPr>
                <w:sz w:val="18"/>
                <w:szCs w:val="18"/>
                <w:color w:val="auto"/>
              </w:rPr>
            </w:pPr>
          </w:p>
        </w:tc>
        <w:tc>
          <w:tcPr>
            <w:tcW w:w="1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1 YEAR</w:t>
            </w:r>
          </w:p>
        </w:tc>
        <w:tc>
          <w:tcPr>
            <w:tcW w:w="6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ABSTAIN</w:t>
            </w:r>
          </w:p>
        </w:tc>
        <w:tc>
          <w:tcPr>
            <w:tcW w:w="24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BROKER NON-VOTE</w:t>
            </w:r>
          </w:p>
        </w:tc>
      </w:tr>
      <w:tr>
        <w:trPr>
          <w:trHeight w:val="20"/>
        </w:trPr>
        <w:tc>
          <w:tcPr>
            <w:tcW w:w="7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21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263,601,224</w:t>
            </w:r>
          </w:p>
        </w:tc>
        <w:tc>
          <w:tcPr>
            <w:tcW w:w="160" w:type="dxa"/>
            <w:vAlign w:val="bottom"/>
          </w:tcPr>
          <w:p>
            <w:pPr>
              <w:spacing w:after="0"/>
              <w:rPr>
                <w:sz w:val="24"/>
                <w:szCs w:val="24"/>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2,119</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44,489,312</w:t>
            </w:r>
          </w:p>
        </w:tc>
        <w:tc>
          <w:tcPr>
            <w:tcW w:w="160" w:type="dxa"/>
            <w:vAlign w:val="bottom"/>
          </w:tcPr>
          <w:p>
            <w:pPr>
              <w:spacing w:after="0"/>
              <w:rPr>
                <w:sz w:val="24"/>
                <w:szCs w:val="24"/>
                <w:color w:val="auto"/>
              </w:rPr>
            </w:pP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9"/>
              </w:rPr>
              <w:t>1,103,029</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9,739,606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5"/>
        </w:trPr>
        <w:tc>
          <w:tcPr>
            <w:tcW w:w="120" w:type="dxa"/>
            <w:vAlign w:val="bottom"/>
            <w:tcBorders>
              <w:bottom w:val="single" w:sz="8" w:color="9A9A9A"/>
            </w:tcBorders>
          </w:tcPr>
          <w:p>
            <w:pPr>
              <w:spacing w:after="0"/>
              <w:rPr>
                <w:sz w:val="24"/>
                <w:szCs w:val="24"/>
                <w:color w:val="auto"/>
              </w:rPr>
            </w:pPr>
          </w:p>
        </w:tc>
        <w:tc>
          <w:tcPr>
            <w:tcW w:w="640" w:type="dxa"/>
            <w:vAlign w:val="bottom"/>
            <w:tcBorders>
              <w:top w:val="single" w:sz="8" w:color="auto"/>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74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720" w:type="dxa"/>
            <w:vAlign w:val="bottom"/>
            <w:tcBorders>
              <w:top w:val="single" w:sz="8" w:color="auto"/>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70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6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51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2025</w:t>
            </w: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8"/>
        </w:trPr>
        <w:tc>
          <w:tcPr>
            <w:tcW w:w="3660" w:type="dxa"/>
            <w:vAlign w:val="bottom"/>
          </w:tcPr>
          <w:p>
            <w:pPr>
              <w:spacing w:after="0"/>
              <w:rPr>
                <w:sz w:val="18"/>
                <w:szCs w:val="18"/>
                <w:color w:val="auto"/>
              </w:rPr>
            </w:pP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Alexandra Gottschalk</w:t>
            </w:r>
          </w:p>
        </w:tc>
      </w:tr>
      <w:tr>
        <w:trPr>
          <w:trHeight w:val="234"/>
        </w:trPr>
        <w:tc>
          <w:tcPr>
            <w:tcW w:w="3660" w:type="dxa"/>
            <w:vAlign w:val="bottom"/>
          </w:tcPr>
          <w:p>
            <w:pPr>
              <w:spacing w:after="0"/>
              <w:rPr>
                <w:sz w:val="20"/>
                <w:szCs w:val="20"/>
                <w:color w:val="auto"/>
              </w:rPr>
            </w:pP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2025-05-30T05:12:26Z</dcterms:created>
  <dcterms:modified xsi:type="dcterms:W3CDTF">2025-05-30T05:12:26Z</dcterms:modified>
</cp:coreProperties>
</file>