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23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97"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4" w:lineRule="exact"/>
        <w:rPr>
          <w:sz w:val="24"/>
          <w:szCs w:val="24"/>
          <w:color w:val="auto"/>
        </w:rPr>
      </w:pPr>
    </w:p>
    <w:p>
      <w:pPr>
        <w:ind w:left="480" w:hanging="440"/>
        <w:spacing w:after="0"/>
        <w:tabs>
          <w:tab w:leader="none" w:pos="48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4" w:lineRule="exact"/>
        <w:rPr>
          <w:sz w:val="24"/>
          <w:szCs w:val="24"/>
          <w:color w:val="auto"/>
        </w:rPr>
      </w:pPr>
    </w:p>
    <w:p>
      <w:pPr>
        <w:ind w:left="480" w:hanging="440"/>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5" w:lineRule="exact"/>
        <w:rPr>
          <w:sz w:val="24"/>
          <w:szCs w:val="24"/>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6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44"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40" w:lineRule="exact"/>
        <w:rPr>
          <w:sz w:val="24"/>
          <w:szCs w:val="24"/>
          <w:color w:val="auto"/>
        </w:rPr>
      </w:pPr>
    </w:p>
    <w:tbl>
      <w:tblPr>
        <w:tblLayout w:type="fixed"/>
        <w:tblInd w:w="2200" w:type="dxa"/>
        <w:tblCellMar>
          <w:top w:w="0" w:type="dxa"/>
          <w:left w:w="0" w:type="dxa"/>
          <w:bottom w:w="0" w:type="dxa"/>
          <w:right w:w="0" w:type="dxa"/>
        </w:tblCellMar>
      </w:tblPr>
      <w:tr>
        <w:trPr>
          <w:trHeight w:val="238"/>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84-1770732</w:t>
            </w:r>
          </w:p>
        </w:tc>
      </w:tr>
      <w:tr>
        <w:trPr>
          <w:trHeight w:val="268"/>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304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202"/>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4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77"/>
        </w:trPr>
        <w:tc>
          <w:tcPr>
            <w:tcW w:w="410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040" w:type="dxa"/>
            <w:vAlign w:val="bottom"/>
          </w:tcPr>
          <w:p>
            <w:pPr>
              <w:spacing w:after="0"/>
              <w:rPr>
                <w:sz w:val="24"/>
                <w:szCs w:val="24"/>
                <w:color w:val="auto"/>
              </w:rPr>
            </w:pPr>
          </w:p>
        </w:tc>
      </w:tr>
      <w:tr>
        <w:trPr>
          <w:trHeight w:val="232"/>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040" w:type="dxa"/>
            <w:vAlign w:val="bottom"/>
          </w:tcPr>
          <w:p>
            <w:pPr>
              <w:jc w:val="right"/>
              <w:ind w:right="206"/>
              <w:spacing w:after="0"/>
              <w:rPr>
                <w:sz w:val="20"/>
                <w:szCs w:val="20"/>
                <w:color w:val="auto"/>
              </w:rPr>
            </w:pPr>
            <w:r>
              <w:rPr>
                <w:rFonts w:ascii="Times New Roman" w:cs="Times New Roman" w:eastAsia="Times New Roman" w:hAnsi="Times New Roman"/>
                <w:sz w:val="18"/>
                <w:szCs w:val="18"/>
                <w:b w:val="1"/>
                <w:bCs w:val="1"/>
                <w:color w:val="auto"/>
              </w:rPr>
              <w:t>10153</w:t>
            </w:r>
          </w:p>
        </w:tc>
      </w:tr>
      <w:tr>
        <w:trPr>
          <w:trHeight w:val="166"/>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40" w:type="dxa"/>
            <w:vAlign w:val="bottom"/>
          </w:tcPr>
          <w:p>
            <w:pPr>
              <w:jc w:val="center"/>
              <w:ind w:left="19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7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8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r>
      <w:tr>
        <w:trPr>
          <w:trHeight w:val="21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PWP</w:t>
            </w: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68"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2" w:lineRule="exact"/>
        <w:rPr>
          <w:sz w:val="24"/>
          <w:szCs w:val="24"/>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40" w:type="dxa"/>
            <w:vAlign w:val="bottom"/>
          </w:tcPr>
          <w:p>
            <w:pPr>
              <w:ind w:left="1160"/>
              <w:spacing w:after="0"/>
              <w:rPr>
                <w:sz w:val="20"/>
                <w:szCs w:val="20"/>
                <w:color w:val="auto"/>
              </w:rPr>
            </w:pPr>
            <w:r>
              <w:rPr>
                <w:rFonts w:ascii="Wingdings" w:cs="Wingdings" w:eastAsia="Wingdings" w:hAnsi="Wingdings"/>
                <w:sz w:val="16"/>
                <w:szCs w:val="16"/>
                <w:b w:val="1"/>
                <w:bCs w:val="1"/>
                <w:color w:val="auto"/>
              </w:rPr>
              <w:t>o</w:t>
            </w:r>
          </w:p>
        </w:tc>
        <w:tc>
          <w:tcPr>
            <w:tcW w:w="36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Accelerated filer</w:t>
            </w:r>
          </w:p>
        </w:tc>
        <w:tc>
          <w:tcPr>
            <w:tcW w:w="1180" w:type="dxa"/>
            <w:vAlign w:val="bottom"/>
          </w:tcPr>
          <w:p>
            <w:pPr>
              <w:ind w:left="1000"/>
              <w:spacing w:after="0"/>
              <w:rPr>
                <w:sz w:val="20"/>
                <w:szCs w:val="20"/>
                <w:color w:val="auto"/>
              </w:rPr>
            </w:pPr>
            <w:r>
              <w:rPr>
                <w:rFonts w:ascii="Wingdings" w:cs="Wingdings" w:eastAsia="Wingdings" w:hAnsi="Wingdings"/>
                <w:sz w:val="16"/>
                <w:szCs w:val="16"/>
                <w:b w:val="1"/>
                <w:bCs w:val="1"/>
                <w:color w:val="auto"/>
                <w:w w:val="94"/>
              </w:rPr>
              <w:t>x</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40" w:type="dxa"/>
            <w:vAlign w:val="bottom"/>
          </w:tcPr>
          <w:p>
            <w:pPr>
              <w:ind w:left="1160"/>
              <w:spacing w:after="0"/>
              <w:rPr>
                <w:sz w:val="20"/>
                <w:szCs w:val="20"/>
                <w:color w:val="auto"/>
              </w:rPr>
            </w:pPr>
            <w:r>
              <w:rPr>
                <w:rFonts w:ascii="Wingdings" w:cs="Wingdings" w:eastAsia="Wingdings" w:hAnsi="Wingdings"/>
                <w:sz w:val="16"/>
                <w:szCs w:val="16"/>
                <w:b w:val="1"/>
                <w:bCs w:val="1"/>
                <w:color w:val="auto"/>
              </w:rPr>
              <w:t>o</w:t>
            </w:r>
          </w:p>
        </w:tc>
        <w:tc>
          <w:tcPr>
            <w:tcW w:w="36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80" w:type="dxa"/>
            <w:vAlign w:val="bottom"/>
          </w:tcPr>
          <w:p>
            <w:pPr>
              <w:ind w:left="1000"/>
              <w:spacing w:after="0"/>
              <w:rPr>
                <w:sz w:val="20"/>
                <w:szCs w:val="20"/>
                <w:color w:val="auto"/>
              </w:rPr>
            </w:pPr>
            <w:r>
              <w:rPr>
                <w:rFonts w:ascii="Wingdings" w:cs="Wingdings" w:eastAsia="Wingdings" w:hAnsi="Wingdings"/>
                <w:sz w:val="16"/>
                <w:szCs w:val="16"/>
                <w:b w:val="1"/>
                <w:bCs w:val="1"/>
                <w:color w:val="auto"/>
              </w:rPr>
              <w:t>o</w:t>
            </w:r>
          </w:p>
        </w:tc>
      </w:tr>
      <w:tr>
        <w:trPr>
          <w:trHeight w:val="216"/>
        </w:trPr>
        <w:tc>
          <w:tcPr>
            <w:tcW w:w="26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6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80" w:type="dxa"/>
            <w:vAlign w:val="bottom"/>
          </w:tcPr>
          <w:p>
            <w:pPr>
              <w:ind w:left="100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54"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30" w:lineRule="exact"/>
        <w:rPr>
          <w:sz w:val="24"/>
          <w:szCs w:val="24"/>
          <w:color w:val="auto"/>
        </w:rPr>
      </w:pPr>
    </w:p>
    <w:p>
      <w:pPr>
        <w:spacing w:after="0"/>
        <w:tabs>
          <w:tab w:leader="none" w:pos="79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x</w:t>
      </w:r>
    </w:p>
    <w:p>
      <w:pPr>
        <w:spacing w:after="0" w:line="86"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As of July 30, 2024, the registrant had 52,535,701 shares of Class A common stock, par value $0.0001 per share, and 33,303,517 shares of Class B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00" w:type="dxa"/>
            <w:vAlign w:val="bottom"/>
            <w:gridSpan w:val="2"/>
            <w:vMerge w:val="restart"/>
          </w:tcPr>
          <w:p>
            <w:pPr>
              <w:spacing w:after="0"/>
              <w:rPr>
                <w:sz w:val="2"/>
                <w:szCs w:val="2"/>
                <w:color w:val="auto"/>
              </w:rPr>
            </w:pPr>
          </w:p>
        </w:tc>
        <w:tc>
          <w:tcPr>
            <w:tcW w:w="908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 w:type="dxa"/>
            <w:vAlign w:val="bottom"/>
            <w:gridSpan w:val="3"/>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9080" w:type="dxa"/>
            <w:vAlign w:val="bottom"/>
            <w:gridSpan w:val="18"/>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20" w:type="dxa"/>
            <w:vAlign w:val="bottom"/>
            <w:gridSpan w:val="2"/>
          </w:tcPr>
          <w:p>
            <w:pPr>
              <w:spacing w:after="0"/>
              <w:rPr>
                <w:sz w:val="22"/>
                <w:szCs w:val="22"/>
                <w:color w:val="auto"/>
              </w:rPr>
            </w:pPr>
          </w:p>
        </w:tc>
        <w:tc>
          <w:tcPr>
            <w:tcW w:w="600" w:type="dxa"/>
            <w:vAlign w:val="bottom"/>
            <w:gridSpan w:val="2"/>
          </w:tcPr>
          <w:p>
            <w:pPr>
              <w:spacing w:after="0"/>
              <w:rPr>
                <w:sz w:val="22"/>
                <w:szCs w:val="22"/>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Financial Statements (Unaudited)</w:t>
            </w:r>
          </w:p>
        </w:tc>
        <w:tc>
          <w:tcPr>
            <w:tcW w:w="6700" w:type="dxa"/>
            <w:vAlign w:val="bottom"/>
            <w:gridSpan w:val="11"/>
          </w:tcPr>
          <w:p>
            <w:pPr>
              <w:spacing w:after="0"/>
              <w:rPr>
                <w:sz w:val="22"/>
                <w:szCs w:val="22"/>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Financial Condition as of June 30, 2024 and December 31, 2023</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2024 and 2023</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Six Months Ended June 30, 2024</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and 2023</w:t>
            </w:r>
          </w:p>
        </w:tc>
        <w:tc>
          <w:tcPr>
            <w:tcW w:w="8140" w:type="dxa"/>
            <w:vAlign w:val="bottom"/>
            <w:tcBorders>
              <w:top w:val="single" w:sz="8" w:color="0000FF"/>
            </w:tcBorders>
            <w:gridSpan w:val="14"/>
          </w:tcPr>
          <w:p>
            <w:pPr>
              <w:spacing w:after="0"/>
              <w:rPr>
                <w:sz w:val="19"/>
                <w:szCs w:val="19"/>
                <w:color w:val="auto"/>
              </w:rPr>
            </w:pPr>
          </w:p>
        </w:tc>
        <w:tc>
          <w:tcPr>
            <w:tcW w:w="280" w:type="dxa"/>
            <w:vAlign w:val="bottom"/>
            <w:gridSpan w:val="2"/>
          </w:tcPr>
          <w:p>
            <w:pPr>
              <w:spacing w:after="0"/>
              <w:rPr>
                <w:sz w:val="19"/>
                <w:szCs w:val="19"/>
                <w:color w:val="auto"/>
              </w:rPr>
            </w:pPr>
          </w:p>
        </w:tc>
        <w:tc>
          <w:tcPr>
            <w:tcW w:w="9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and Redeemable Non-Controlling Interests for the Three and Six</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4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Months Ended June 30, 2024 and 2023</w:t>
            </w:r>
          </w:p>
        </w:tc>
        <w:tc>
          <w:tcPr>
            <w:tcW w:w="4560" w:type="dxa"/>
            <w:vAlign w:val="bottom"/>
            <w:tcBorders>
              <w:top w:val="single" w:sz="8" w:color="0000FF"/>
            </w:tcBorders>
            <w:gridSpan w:val="8"/>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1960" w:type="dxa"/>
            <w:vAlign w:val="bottom"/>
            <w:tcBorders>
              <w:left w:val="single" w:sz="8" w:color="0000FF"/>
            </w:tcBorders>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00" w:type="dxa"/>
            <w:vAlign w:val="bottom"/>
            <w:gridSpan w:val="5"/>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2024 and 2023</w:t>
            </w:r>
          </w:p>
        </w:tc>
        <w:tc>
          <w:tcPr>
            <w:tcW w:w="1700" w:type="dxa"/>
            <w:vAlign w:val="bottom"/>
            <w:gridSpan w:val="5"/>
          </w:tcPr>
          <w:p>
            <w:pPr>
              <w:spacing w:after="0"/>
              <w:rPr>
                <w:sz w:val="23"/>
                <w:szCs w:val="23"/>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700" w:type="dxa"/>
            <w:vAlign w:val="bottom"/>
            <w:gridSpan w:val="5"/>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700" w:type="dxa"/>
            <w:vAlign w:val="bottom"/>
            <w:gridSpan w:val="3"/>
          </w:tcPr>
          <w:p>
            <w:pPr>
              <w:spacing w:after="0"/>
              <w:rPr>
                <w:sz w:val="22"/>
                <w:szCs w:val="22"/>
                <w:color w:val="auto"/>
              </w:rPr>
            </w:pPr>
          </w:p>
        </w:tc>
        <w:tc>
          <w:tcPr>
            <w:tcW w:w="64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20" w:type="dxa"/>
            <w:vAlign w:val="bottom"/>
            <w:gridSpan w:val="6"/>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600" w:type="dxa"/>
            <w:vAlign w:val="bottom"/>
            <w:gridSpan w:val="2"/>
          </w:tcPr>
          <w:p>
            <w:pPr>
              <w:spacing w:after="0"/>
              <w:rPr>
                <w:sz w:val="22"/>
                <w:szCs w:val="22"/>
                <w:color w:val="auto"/>
              </w:rPr>
            </w:pP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20" w:type="dxa"/>
            <w:vAlign w:val="bottom"/>
            <w:gridSpan w:val="8"/>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720" w:type="dxa"/>
            <w:vAlign w:val="bottom"/>
            <w:gridSpan w:val="4"/>
          </w:tcPr>
          <w:p>
            <w:pPr>
              <w:spacing w:after="0"/>
              <w:rPr>
                <w:sz w:val="22"/>
                <w:szCs w:val="22"/>
                <w:color w:val="auto"/>
              </w:rPr>
            </w:pPr>
          </w:p>
        </w:tc>
        <w:tc>
          <w:tcPr>
            <w:tcW w:w="9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74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0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220" w:type="dxa"/>
            <w:vAlign w:val="bottom"/>
            <w:tcBorders>
              <w:top w:val="single" w:sz="8" w:color="0000FF"/>
            </w:tcBorders>
            <w:gridSpan w:val="2"/>
          </w:tcPr>
          <w:p>
            <w:pPr>
              <w:spacing w:after="0"/>
              <w:rPr>
                <w:sz w:val="22"/>
                <w:szCs w:val="22"/>
                <w:color w:val="auto"/>
              </w:rPr>
            </w:pPr>
          </w:p>
        </w:tc>
        <w:tc>
          <w:tcPr>
            <w:tcW w:w="480" w:type="dxa"/>
            <w:vAlign w:val="bottom"/>
          </w:tcPr>
          <w:p>
            <w:pPr>
              <w:spacing w:after="0"/>
              <w:rPr>
                <w:sz w:val="22"/>
                <w:szCs w:val="22"/>
                <w:color w:val="auto"/>
              </w:rPr>
            </w:pPr>
          </w:p>
        </w:tc>
        <w:tc>
          <w:tcPr>
            <w:tcW w:w="20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60" w:type="dxa"/>
            <w:vAlign w:val="bottom"/>
            <w:gridSpan w:val="12"/>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74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74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20" w:type="dxa"/>
            <w:vAlign w:val="bottom"/>
            <w:tcBorders>
              <w:top w:val="single" w:sz="8" w:color="0000FF"/>
            </w:tcBorders>
            <w:gridSpan w:val="2"/>
          </w:tcPr>
          <w:p>
            <w:pPr>
              <w:spacing w:after="0"/>
              <w:rPr>
                <w:sz w:val="22"/>
                <w:szCs w:val="22"/>
                <w:color w:val="auto"/>
              </w:rPr>
            </w:pPr>
          </w:p>
        </w:tc>
        <w:tc>
          <w:tcPr>
            <w:tcW w:w="480" w:type="dxa"/>
            <w:vAlign w:val="bottom"/>
          </w:tcPr>
          <w:p>
            <w:pPr>
              <w:spacing w:after="0"/>
              <w:rPr>
                <w:sz w:val="22"/>
                <w:szCs w:val="22"/>
                <w:color w:val="auto"/>
              </w:rPr>
            </w:pPr>
          </w:p>
        </w:tc>
        <w:tc>
          <w:tcPr>
            <w:tcW w:w="23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960" w:type="dxa"/>
            <w:vAlign w:val="bottom"/>
            <w:tcBorders>
              <w:top w:val="single" w:sz="8" w:color="0000FF"/>
            </w:tcBorders>
            <w:gridSpan w:val="2"/>
          </w:tcPr>
          <w:p>
            <w:pPr>
              <w:spacing w:after="0"/>
              <w:rPr>
                <w:sz w:val="22"/>
                <w:szCs w:val="22"/>
                <w:color w:val="auto"/>
              </w:rPr>
            </w:pPr>
          </w:p>
        </w:tc>
        <w:tc>
          <w:tcPr>
            <w:tcW w:w="4740" w:type="dxa"/>
            <w:vAlign w:val="bottom"/>
            <w:gridSpan w:val="9"/>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700" w:type="dxa"/>
            <w:vAlign w:val="bottom"/>
            <w:gridSpan w:val="3"/>
          </w:tcPr>
          <w:p>
            <w:pPr>
              <w:spacing w:after="0"/>
              <w:rPr>
                <w:sz w:val="22"/>
                <w:szCs w:val="22"/>
                <w:color w:val="auto"/>
              </w:rPr>
            </w:pPr>
          </w:p>
        </w:tc>
        <w:tc>
          <w:tcPr>
            <w:tcW w:w="9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700" w:type="dxa"/>
            <w:vAlign w:val="bottom"/>
            <w:gridSpan w:val="3"/>
          </w:tcPr>
          <w:p>
            <w:pPr>
              <w:spacing w:after="0"/>
              <w:rPr>
                <w:sz w:val="22"/>
                <w:szCs w:val="22"/>
                <w:color w:val="auto"/>
              </w:rPr>
            </w:pP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20" w:type="dxa"/>
            <w:vAlign w:val="bottom"/>
            <w:gridSpan w:val="13"/>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700" w:type="dxa"/>
            <w:vAlign w:val="bottom"/>
            <w:gridSpan w:val="3"/>
          </w:tcPr>
          <w:p>
            <w:pPr>
              <w:spacing w:after="0"/>
              <w:rPr>
                <w:sz w:val="22"/>
                <w:szCs w:val="22"/>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3"/>
          </w:tcPr>
          <w:p>
            <w:pPr>
              <w:spacing w:after="0"/>
              <w:rPr>
                <w:sz w:val="22"/>
                <w:szCs w:val="22"/>
                <w:color w:val="auto"/>
              </w:rPr>
            </w:pPr>
          </w:p>
        </w:tc>
        <w:tc>
          <w:tcPr>
            <w:tcW w:w="7760" w:type="dxa"/>
            <w:vAlign w:val="bottom"/>
            <w:gridSpan w:val="14"/>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90170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sectPr>
      </w:pPr>
    </w:p>
    <w:bookmarkStart w:id="2" w:name="page3"/>
    <w:bookmarkEnd w:id="2"/>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On June 24, 2021 (the “Closing Date” or the “Closing”), Perella Weinberg Partners consummated a business combination pursuant to that certain Business Combination Agreement, dated as of December 29, 2020 (the “Business Combination Agreement”). Unless the context otherwise requires, 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“PWP,” the “Company,” “we,” “us” or “our” refer to Perella Weinberg Partners and its consolidated subsidiaries.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statements made in this Quarterly Report on Form 10-Q are “forward-looking statements” within the meaning of the federal securities laws,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“forward-looking statements.” In addition, words such as “estimates,” “projected,” “expects,” “estimated,” “anticipates,” “forecasts,” “plans,” “intends,”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important factors, many of which are outside the control of the parties, that could cause actual results or outcomes to differ materially from those discussed in the forward-looking statements.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Important factors, among others, that may affect actual results or outcomes include (but are not limited to): changing market conditions;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Company’s 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 high volatility of the Company’s revenue as a result of its reliance on advisory fees that are largely contingent on the completion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 financial services industry; cybersecurity and other operational risks; extensive regulation of the corporate advisory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industry and U.S. and foreign regulatory developments relating to, among other things, financial institutions and markets, government oversight, fiscal and tax policy and laws; and other risks and uncertainties described under the section entitled “</w:t>
      </w:r>
      <w:r>
        <w:rPr>
          <w:rFonts w:ascii="Times New Roman" w:cs="Times New Roman" w:eastAsia="Times New Roman" w:hAnsi="Times New Roman"/>
          <w:sz w:val="18"/>
          <w:szCs w:val="18"/>
          <w:i w:val="1"/>
          <w:iCs w:val="1"/>
          <w:color w:val="auto"/>
        </w:rPr>
        <w:t>Part I—Item 1A. Risk Factors</w:t>
      </w:r>
      <w:r>
        <w:rPr>
          <w:rFonts w:ascii="Times New Roman" w:cs="Times New Roman" w:eastAsia="Times New Roman" w:hAnsi="Times New Roman"/>
          <w:sz w:val="18"/>
          <w:szCs w:val="18"/>
          <w:color w:val="auto"/>
        </w:rPr>
        <w:t>” included in our Annual Report on Form 10-K.</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future events or otherwise, except as may be required under applicable securities laws.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00" w:lineRule="exact"/>
        <w:rPr>
          <w:sz w:val="20"/>
          <w:szCs w:val="20"/>
          <w:color w:val="auto"/>
        </w:rPr>
      </w:pPr>
    </w:p>
    <w:p>
      <w:pPr>
        <w:spacing w:after="0" w:line="25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 (unaudited)</w:t>
      </w:r>
    </w:p>
    <w:p>
      <w:pPr>
        <w:spacing w:after="0" w:line="4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46"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Per Unit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247,171</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short-term marketable debt securities</w:t>
            </w:r>
          </w:p>
        </w:tc>
        <w:tc>
          <w:tcPr>
            <w:tcW w:w="18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91,174</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47,771</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assets, net of accumulated depreciation and amortization</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93,652</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30,871</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lease assets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139,376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143,935</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46,453</w:t>
            </w:r>
          </w:p>
        </w:tc>
      </w:tr>
      <w:tr>
        <w:trPr>
          <w:trHeight w:val="277"/>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645,510</w:t>
            </w:r>
          </w:p>
        </w:tc>
        <w:tc>
          <w:tcPr>
            <w:tcW w:w="10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761,108</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132,777</w:t>
            </w:r>
          </w:p>
        </w:tc>
        <w:tc>
          <w:tcPr>
            <w:tcW w:w="100" w:type="dxa"/>
            <w:vAlign w:val="bottom"/>
          </w:tcPr>
          <w:p>
            <w:pPr>
              <w:spacing w:after="0"/>
              <w:rPr>
                <w:sz w:val="22"/>
                <w:szCs w:val="22"/>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233,927</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52,106</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181,478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175,901</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 due pursuant to tax receivable agreement</w:t>
            </w: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30,928</w:t>
            </w:r>
          </w:p>
        </w:tc>
      </w:tr>
      <w:tr>
        <w:trPr>
          <w:trHeight w:val="250"/>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422,119</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492,862</w:t>
            </w:r>
          </w:p>
        </w:tc>
      </w:tr>
      <w:tr>
        <w:trPr>
          <w:trHeight w:val="27"/>
        </w:trPr>
        <w:tc>
          <w:tcPr>
            <w:tcW w:w="7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52"/>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 32,884,770 units at redemption value of $15.40 per unit as of June 30,</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8"/>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52"/>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common stock, par value $0.0001 per share (1,500,000,000 shares authorized, 66,115,225 issued</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4"/>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52,535,701 outstanding at June 30, 2024; 1,500,000,000 shares authorized, 57,361,073 issued and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44,642,849 outstanding at December 31, 2023)</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2"/>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 common stock, par value $0.0001 per share (600,000,000 shares authorized, 33,303,517 issued and</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at June 30, 2024; 600,000,000 shares authorized, 41,589,339 issued and outstanding at</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50"/>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2"/>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par value $0.0001 per share (100,000,000 shares authorized, no shares issued and</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8"/>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at June 30, 2024 and December 31, 2023)</w:t>
            </w:r>
          </w:p>
        </w:tc>
        <w:tc>
          <w:tcPr>
            <w:tcW w:w="18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312,523</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(167,852)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(54,650)</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r>
      <w:tr>
        <w:trPr>
          <w:trHeight w:val="252"/>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 at cost (13,579,524 and 12,718,224 shares of Class A common stock at June 30, 2024 and</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8"/>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(100,747)</w:t>
            </w:r>
          </w:p>
        </w:tc>
      </w:tr>
      <w:tr>
        <w:trPr>
          <w:trHeight w:val="27"/>
        </w:trPr>
        <w:tc>
          <w:tcPr>
            <w:tcW w:w="7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Perella Weinberg Partners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(282,975)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152,656</w:t>
            </w:r>
          </w:p>
        </w:tc>
      </w:tr>
      <w:tr>
        <w:trPr>
          <w:trHeight w:val="256"/>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Pr>
          <w:p>
            <w:pPr>
              <w:spacing w:after="0"/>
              <w:rPr>
                <w:sz w:val="22"/>
                <w:szCs w:val="22"/>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115,590</w:t>
            </w:r>
          </w:p>
        </w:tc>
      </w:tr>
      <w:tr>
        <w:trPr>
          <w:trHeight w:val="27"/>
        </w:trPr>
        <w:tc>
          <w:tcPr>
            <w:tcW w:w="7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7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(282,975)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268,246</w:t>
            </w:r>
          </w:p>
        </w:tc>
      </w:tr>
      <w:tr>
        <w:trPr>
          <w:trHeight w:val="277"/>
        </w:trPr>
        <w:tc>
          <w:tcPr>
            <w:tcW w:w="7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redeemable non-controlling interests,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645,510</w:t>
            </w:r>
          </w:p>
        </w:tc>
        <w:tc>
          <w:tcPr>
            <w:tcW w:w="10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761,108</w:t>
            </w:r>
          </w:p>
        </w:tc>
      </w:tr>
      <w:tr>
        <w:trPr>
          <w:trHeight w:val="20"/>
        </w:trPr>
        <w:tc>
          <w:tcPr>
            <w:tcW w:w="7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59" w:right="3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7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r>
      <w:tr>
        <w:trPr>
          <w:trHeight w:val="40"/>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50"/>
        </w:trPr>
        <w:tc>
          <w:tcPr>
            <w:tcW w:w="4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296,971</w:t>
            </w:r>
          </w:p>
        </w:tc>
      </w:tr>
      <w:tr>
        <w:trPr>
          <w:trHeight w:val="25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218,563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176,179</w:t>
            </w:r>
          </w:p>
        </w:tc>
      </w:tr>
      <w:tr>
        <w:trPr>
          <w:trHeight w:val="257"/>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160,498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207,305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89,883</w:t>
            </w:r>
          </w:p>
        </w:tc>
      </w:tr>
      <w:tr>
        <w:trPr>
          <w:trHeight w:val="27"/>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425,868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266,062</w:t>
            </w:r>
          </w:p>
        </w:tc>
      </w:tr>
      <w:tr>
        <w:trPr>
          <w:trHeight w:val="257"/>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16,290</w:t>
            </w: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17,805</w:t>
            </w:r>
          </w:p>
        </w:tc>
      </w:tr>
      <w:tr>
        <w:trPr>
          <w:trHeight w:val="257"/>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Rent and occupancy</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14,092</w:t>
            </w: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57"/>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11,190</w:t>
            </w: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3"/>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r>
      <w:tr>
        <w:trPr>
          <w:trHeight w:val="250"/>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354,230</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187,297</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509,920</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341,413</w:t>
            </w:r>
          </w:p>
        </w:tc>
      </w:tr>
      <w:tr>
        <w:trPr>
          <w:trHeight w:val="27"/>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(135,795)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(44,442)</w:t>
            </w:r>
          </w:p>
        </w:tc>
      </w:tr>
      <w:tr>
        <w:trPr>
          <w:trHeight w:val="25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Related party income</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57"/>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7"/>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4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50"/>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(81,487)</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(132,393)</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(44,947)</w:t>
            </w: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3"/>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50"/>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(80,845)</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(150,845)</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(45,690)</w:t>
            </w: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(40,926)</w:t>
            </w:r>
          </w:p>
        </w:tc>
      </w:tr>
      <w:tr>
        <w:trPr>
          <w:trHeight w:val="27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(66,028)</w:t>
            </w:r>
          </w:p>
        </w:tc>
        <w:tc>
          <w:tcPr>
            <w:tcW w:w="10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(101,872)</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5"/>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Class A common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59"/>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57"/>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5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of Class A common stock outstanding</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54,589,542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42,743,611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51,894,913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42,531,895</w:t>
            </w:r>
          </w:p>
        </w:tc>
      </w:tr>
      <w:tr>
        <w:trPr>
          <w:trHeight w:val="257"/>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54,589,542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86,521,626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51,894,913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86,566,075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7"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7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(45,690)</w:t>
            </w:r>
          </w:p>
        </w:tc>
        <w:tc>
          <w:tcPr>
            <w:tcW w:w="0" w:type="dxa"/>
            <w:vAlign w:val="bottom"/>
          </w:tcPr>
          <w:p>
            <w:pPr>
              <w:spacing w:after="0"/>
              <w:rPr>
                <w:sz w:val="1"/>
                <w:szCs w:val="1"/>
                <w:color w:val="auto"/>
              </w:rPr>
            </w:pPr>
          </w:p>
        </w:tc>
      </w:tr>
      <w:tr>
        <w:trPr>
          <w:trHeight w:val="257"/>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gain (loss), net of tax</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(42,207)</w:t>
            </w:r>
          </w:p>
        </w:tc>
        <w:tc>
          <w:tcPr>
            <w:tcW w:w="0" w:type="dxa"/>
            <w:vAlign w:val="bottom"/>
          </w:tcPr>
          <w:p>
            <w:pPr>
              <w:spacing w:after="0"/>
              <w:rPr>
                <w:sz w:val="1"/>
                <w:szCs w:val="1"/>
                <w:color w:val="auto"/>
              </w:rPr>
            </w:pPr>
          </w:p>
        </w:tc>
      </w:tr>
      <w:tr>
        <w:trPr>
          <w:trHeight w:val="252"/>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(14,781)</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(49,493)</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(39,159)</w:t>
            </w:r>
          </w:p>
        </w:tc>
        <w:tc>
          <w:tcPr>
            <w:tcW w:w="0" w:type="dxa"/>
            <w:vAlign w:val="bottom"/>
          </w:tcPr>
          <w:p>
            <w:pPr>
              <w:spacing w:after="0"/>
              <w:rPr>
                <w:sz w:val="1"/>
                <w:szCs w:val="1"/>
                <w:color w:val="auto"/>
              </w:rPr>
            </w:pPr>
          </w:p>
        </w:tc>
      </w:tr>
      <w:tr>
        <w:trPr>
          <w:trHeight w:val="22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Perella Weinberg</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(66,080)</w:t>
            </w:r>
          </w:p>
        </w:tc>
        <w:tc>
          <w:tcPr>
            <w:tcW w:w="100" w:type="dxa"/>
            <w:vAlign w:val="bottom"/>
            <w:shd w:val="clear" w:color="auto" w:fill="CCEEFF"/>
          </w:tcPr>
          <w:p>
            <w:pPr>
              <w:spacing w:after="0"/>
              <w:rPr>
                <w:sz w:val="19"/>
                <w:szCs w:val="19"/>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(102,558)</w:t>
            </w:r>
          </w:p>
        </w:tc>
        <w:tc>
          <w:tcPr>
            <w:tcW w:w="100" w:type="dxa"/>
            <w:vAlign w:val="bottom"/>
            <w:shd w:val="clear" w:color="auto" w:fill="CCEEFF"/>
          </w:tcPr>
          <w:p>
            <w:pPr>
              <w:spacing w:after="0"/>
              <w:rPr>
                <w:sz w:val="19"/>
                <w:szCs w:val="19"/>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0" w:type="dxa"/>
            <w:vAlign w:val="bottom"/>
          </w:tcPr>
          <w:p>
            <w:pPr>
              <w:spacing w:after="0"/>
              <w:rPr>
                <w:sz w:val="1"/>
                <w:szCs w:val="1"/>
                <w:color w:val="auto"/>
              </w:rPr>
            </w:pPr>
          </w:p>
        </w:tc>
      </w:tr>
      <w:tr>
        <w:trPr>
          <w:trHeight w:val="26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340" w:type="dxa"/>
            <w:vAlign w:val="bottom"/>
            <w:tcBorders>
              <w:bottom w:val="single" w:sz="8" w:color="auto"/>
            </w:tcBorders>
            <w:vMerge w:val="continue"/>
            <w:shd w:val="clear" w:color="auto" w:fill="CCEEFF"/>
          </w:tcPr>
          <w:p>
            <w:pPr>
              <w:spacing w:after="0"/>
              <w:rPr>
                <w:sz w:val="23"/>
                <w:szCs w:val="23"/>
                <w:color w:val="auto"/>
              </w:rPr>
            </w:pPr>
          </w:p>
        </w:tc>
        <w:tc>
          <w:tcPr>
            <w:tcW w:w="114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vMerge w:val="continue"/>
            <w:shd w:val="clear" w:color="auto" w:fill="CCEEFF"/>
          </w:tcPr>
          <w:p>
            <w:pPr>
              <w:spacing w:after="0"/>
              <w:rPr>
                <w:sz w:val="23"/>
                <w:szCs w:val="23"/>
                <w:color w:val="auto"/>
              </w:rPr>
            </w:pPr>
          </w:p>
        </w:tc>
        <w:tc>
          <w:tcPr>
            <w:tcW w:w="104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vMerge w:val="continue"/>
            <w:shd w:val="clear" w:color="auto" w:fill="CCEEFF"/>
          </w:tcPr>
          <w:p>
            <w:pPr>
              <w:spacing w:after="0"/>
              <w:rPr>
                <w:sz w:val="23"/>
                <w:szCs w:val="23"/>
                <w:color w:val="auto"/>
              </w:rPr>
            </w:pPr>
          </w:p>
        </w:tc>
        <w:tc>
          <w:tcPr>
            <w:tcW w:w="114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vMerge w:val="continue"/>
            <w:shd w:val="clear" w:color="auto" w:fill="CCEEFF"/>
          </w:tcPr>
          <w:p>
            <w:pPr>
              <w:spacing w:after="0"/>
              <w:rPr>
                <w:sz w:val="23"/>
                <w:szCs w:val="23"/>
                <w:color w:val="auto"/>
              </w:rPr>
            </w:pPr>
          </w:p>
        </w:tc>
        <w:tc>
          <w:tcPr>
            <w:tcW w:w="1060" w:type="dxa"/>
            <w:vAlign w:val="bottom"/>
            <w:tcBorders>
              <w:bottom w:val="single" w:sz="8" w:color="auto"/>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and Redeemable Non-Controlling Interests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60" w:type="dxa"/>
            <w:vAlign w:val="bottom"/>
          </w:tcPr>
          <w:p>
            <w:pPr>
              <w:spacing w:after="0"/>
              <w:rPr>
                <w:sz w:val="3"/>
                <w:szCs w:val="3"/>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Redeemable</w:t>
            </w:r>
          </w:p>
        </w:tc>
        <w:tc>
          <w:tcPr>
            <w:tcW w:w="0" w:type="dxa"/>
            <w:vAlign w:val="bottom"/>
          </w:tcPr>
          <w:p>
            <w:pPr>
              <w:spacing w:after="0"/>
              <w:rPr>
                <w:sz w:val="1"/>
                <w:szCs w:val="1"/>
                <w:color w:val="auto"/>
              </w:rPr>
            </w:pPr>
          </w:p>
        </w:tc>
      </w:tr>
      <w:tr>
        <w:trPr>
          <w:trHeight w:val="88"/>
        </w:trPr>
        <w:tc>
          <w:tcPr>
            <w:tcW w:w="2100" w:type="dxa"/>
            <w:vAlign w:val="bottom"/>
          </w:tcPr>
          <w:p>
            <w:pPr>
              <w:spacing w:after="0"/>
              <w:rPr>
                <w:sz w:val="7"/>
                <w:szCs w:val="7"/>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7"/>
                <w:szCs w:val="7"/>
                <w:color w:val="auto"/>
              </w:rPr>
            </w:pPr>
          </w:p>
        </w:tc>
        <w:tc>
          <w:tcPr>
            <w:tcW w:w="5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Non-</w:t>
            </w: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6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60" w:type="dxa"/>
            <w:vAlign w:val="bottom"/>
          </w:tcPr>
          <w:p>
            <w:pPr>
              <w:spacing w:after="0"/>
              <w:rPr>
                <w:sz w:val="9"/>
                <w:szCs w:val="9"/>
                <w:color w:val="auto"/>
              </w:rPr>
            </w:pPr>
          </w:p>
        </w:tc>
        <w:tc>
          <w:tcPr>
            <w:tcW w:w="7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9"/>
                <w:szCs w:val="9"/>
                <w:color w:val="auto"/>
              </w:rPr>
            </w:pPr>
          </w:p>
        </w:tc>
        <w:tc>
          <w:tcPr>
            <w:tcW w:w="6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7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7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860" w:type="dxa"/>
            <w:vAlign w:val="bottom"/>
            <w:gridSpan w:val="3"/>
          </w:tcPr>
          <w:p>
            <w:pPr>
              <w:jc w:val="right"/>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9"/>
                <w:szCs w:val="9"/>
                <w:color w:val="auto"/>
              </w:rPr>
            </w:pPr>
          </w:p>
        </w:tc>
        <w:tc>
          <w:tcPr>
            <w:tcW w:w="7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Controlling</w:t>
            </w:r>
          </w:p>
        </w:tc>
        <w:tc>
          <w:tcPr>
            <w:tcW w:w="1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9"/>
              </w:rPr>
              <w:t>Controlling</w:t>
            </w: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Pr>
          <w:p>
            <w:pPr>
              <w:spacing w:after="0"/>
              <w:rPr>
                <w:sz w:val="13"/>
                <w:szCs w:val="13"/>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3"/>
                <w:szCs w:val="13"/>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3"/>
                <w:szCs w:val="13"/>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8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4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80" w:type="dxa"/>
            <w:vAlign w:val="bottom"/>
          </w:tcPr>
          <w:p>
            <w:pPr>
              <w:spacing w:after="0"/>
              <w:rPr>
                <w:sz w:val="13"/>
                <w:szCs w:val="13"/>
                <w:color w:val="auto"/>
              </w:rPr>
            </w:pPr>
          </w:p>
        </w:tc>
        <w:tc>
          <w:tcPr>
            <w:tcW w:w="68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0" w:type="dxa"/>
            <w:vAlign w:val="bottom"/>
          </w:tcPr>
          <w:p>
            <w:pPr>
              <w:spacing w:after="0"/>
              <w:rPr>
                <w:sz w:val="1"/>
                <w:szCs w:val="1"/>
                <w:color w:val="auto"/>
              </w:rPr>
            </w:pPr>
          </w:p>
        </w:tc>
      </w:tr>
      <w:tr>
        <w:trPr>
          <w:trHeight w:val="169"/>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57,361,073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41,589,339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(12,718,224)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(100,747)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312,523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(54,650)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115,590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268,246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(35,844)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(34,156)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33,371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13,942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47,313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PWP Incentive Plan Awards</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2,086,273</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113,673</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1,364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Withholding tax payments on vested PWP</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Incentive Plan Awards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(24,568)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 common stock)</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(5,265)</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656</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in public</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offering (Note 9—Stockholders’ Equity and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Redeemable Non-Controlling Interests)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5,750,000</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65,986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65,987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corresponding Class B common stock for</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Class A common stock (Note 9—</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Stockholders’ Equity and Redeemable Non-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Controlling Interests)</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794,146</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(793,354)</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(25,168)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25,168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65,991,492</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40,795,985</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(12,604,551)</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(99,383)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362,377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(95,980)</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117,110</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279,021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Effect of the Merger and related transactions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(6,149,211)</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(109,737)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(109,674)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97,496</w:t>
            </w:r>
          </w:p>
        </w:tc>
        <w:tc>
          <w:tcPr>
            <w:tcW w:w="0" w:type="dxa"/>
            <w:vAlign w:val="bottom"/>
          </w:tcPr>
          <w:p>
            <w:pPr>
              <w:spacing w:after="0"/>
              <w:rPr>
                <w:sz w:val="1"/>
                <w:szCs w:val="1"/>
                <w:color w:val="auto"/>
              </w:rPr>
            </w:pPr>
          </w:p>
        </w:tc>
      </w:tr>
      <w:tr>
        <w:trPr>
          <w:trHeight w:val="36"/>
        </w:trPr>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(66,028)</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(66,028)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(14,817)</w:t>
            </w:r>
          </w:p>
        </w:tc>
        <w:tc>
          <w:tcPr>
            <w:tcW w:w="0" w:type="dxa"/>
            <w:vAlign w:val="bottom"/>
          </w:tcPr>
          <w:p>
            <w:pPr>
              <w:spacing w:after="0"/>
              <w:rPr>
                <w:sz w:val="1"/>
                <w:szCs w:val="1"/>
                <w:color w:val="auto"/>
              </w:rPr>
            </w:pPr>
          </w:p>
        </w:tc>
      </w:tr>
      <w:tr>
        <w:trPr>
          <w:trHeight w:val="153"/>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30,967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30,967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60,794</w:t>
            </w:r>
          </w:p>
        </w:tc>
        <w:tc>
          <w:tcPr>
            <w:tcW w:w="0" w:type="dxa"/>
            <w:vAlign w:val="bottom"/>
          </w:tcPr>
          <w:p>
            <w:pPr>
              <w:spacing w:after="0"/>
              <w:rPr>
                <w:sz w:val="1"/>
                <w:szCs w:val="1"/>
                <w:color w:val="auto"/>
              </w:rPr>
            </w:pPr>
          </w:p>
        </w:tc>
      </w:tr>
      <w:tr>
        <w:trPr>
          <w:trHeight w:val="36"/>
        </w:trPr>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(2,331)</w:t>
            </w:r>
          </w:p>
        </w:tc>
        <w:tc>
          <w:tcPr>
            <w:tcW w:w="0" w:type="dxa"/>
            <w:vAlign w:val="bottom"/>
          </w:tcPr>
          <w:p>
            <w:pPr>
              <w:spacing w:after="0"/>
              <w:rPr>
                <w:sz w:val="1"/>
                <w:szCs w:val="1"/>
                <w:color w:val="auto"/>
              </w:rPr>
            </w:pPr>
          </w:p>
        </w:tc>
      </w:tr>
      <w:tr>
        <w:trPr>
          <w:trHeight w:val="148"/>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PWP Incentive Plan Awards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123,733</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25,027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Withholding tax payments on vested PWP</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Incentive Plan Awards and equity-classified</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ACUs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(12,534)</w:t>
            </w:r>
          </w:p>
        </w:tc>
        <w:tc>
          <w:tcPr>
            <w:tcW w:w="0" w:type="dxa"/>
            <w:vAlign w:val="bottom"/>
          </w:tcPr>
          <w:p>
            <w:pPr>
              <w:spacing w:after="0"/>
              <w:rPr>
                <w:sz w:val="1"/>
                <w:szCs w:val="1"/>
                <w:color w:val="auto"/>
              </w:rPr>
            </w:pPr>
          </w:p>
        </w:tc>
      </w:tr>
      <w:tr>
        <w:trPr>
          <w:trHeight w:val="148"/>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 common stock)</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53"/>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634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634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35"/>
        </w:trPr>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98"/>
              </w:rPr>
              <w:t>corresponding Class B common stock for cash</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(Note 9—Stockholders’ Equity and</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Redeemable Non-Controlling Interests)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(1,343,257)</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(7,373)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(7,392)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(10,862)</w:t>
            </w:r>
          </w:p>
        </w:tc>
        <w:tc>
          <w:tcPr>
            <w:tcW w:w="0" w:type="dxa"/>
            <w:vAlign w:val="bottom"/>
          </w:tcPr>
          <w:p>
            <w:pPr>
              <w:spacing w:after="0"/>
              <w:rPr>
                <w:sz w:val="1"/>
                <w:szCs w:val="1"/>
                <w:color w:val="auto"/>
              </w:rPr>
            </w:pPr>
          </w:p>
        </w:tc>
      </w:tr>
      <w:tr>
        <w:trPr>
          <w:trHeight w:val="153"/>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Treasury stock purchase</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37,735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37,735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(37,735)</w:t>
            </w:r>
          </w:p>
        </w:tc>
        <w:tc>
          <w:tcPr>
            <w:tcW w:w="0" w:type="dxa"/>
            <w:vAlign w:val="bottom"/>
          </w:tcPr>
          <w:p>
            <w:pPr>
              <w:spacing w:after="0"/>
              <w:rPr>
                <w:sz w:val="1"/>
                <w:szCs w:val="1"/>
                <w:color w:val="auto"/>
              </w:rPr>
            </w:pPr>
          </w:p>
        </w:tc>
      </w:tr>
      <w:tr>
        <w:trPr>
          <w:trHeight w:val="148"/>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Changes in redemption value of redeemable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non-controlling interests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(426,305)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(426,305)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426,305</w:t>
            </w:r>
          </w:p>
        </w:tc>
        <w:tc>
          <w:tcPr>
            <w:tcW w:w="0" w:type="dxa"/>
            <w:vAlign w:val="bottom"/>
          </w:tcPr>
          <w:p>
            <w:pPr>
              <w:spacing w:after="0"/>
              <w:rPr>
                <w:sz w:val="1"/>
                <w:szCs w:val="1"/>
                <w:color w:val="auto"/>
              </w:rPr>
            </w:pPr>
          </w:p>
        </w:tc>
      </w:tr>
      <w:tr>
        <w:trPr>
          <w:trHeight w:val="35"/>
        </w:trPr>
        <w:tc>
          <w:tcPr>
            <w:tcW w:w="2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2024</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66,115,225</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33,303,517</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(13,579,524)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(114,082)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(167,852)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(282,975)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506,366</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and Redeemable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3"/>
                <w:szCs w:val="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440" w:type="dxa"/>
            <w:vAlign w:val="bottom"/>
          </w:tcPr>
          <w:p>
            <w:pPr>
              <w:spacing w:after="0"/>
              <w:rPr>
                <w:sz w:val="7"/>
                <w:szCs w:val="7"/>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7"/>
                <w:szCs w:val="7"/>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Non-</w:t>
            </w: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7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92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44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0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2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0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2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8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9"/>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52,237,247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44,563,877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(10,492,286)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(80,067)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242,129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(18,071)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122,678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260,140</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(22,297)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(27,420)</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27,932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20,334</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48,266</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(3,119)</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 PWP</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Incentive Plan Awards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1,250,162</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99,057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Withholding tax payments on vested PWP Incentive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Plan Awards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(11,356)</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 A</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(4,756)</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1,585</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8"/>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 corresponding</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Class B common stock for Class A common stock</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8"/>
              </w:rPr>
              <w:t>(Note 9—Stockholders’ Equity and Redeemable Non-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Controlling Interests)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786,644</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(785,862)</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457</w:t>
            </w: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Treasury stock purchase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(1,457,304)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(14,754)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(14,754)</w:t>
            </w:r>
          </w:p>
        </w:tc>
        <w:tc>
          <w:tcPr>
            <w:tcW w:w="0" w:type="dxa"/>
            <w:vAlign w:val="bottom"/>
          </w:tcPr>
          <w:p>
            <w:pPr>
              <w:spacing w:after="0"/>
              <w:rPr>
                <w:sz w:val="1"/>
                <w:szCs w:val="1"/>
                <w:color w:val="auto"/>
              </w:rPr>
            </w:pPr>
          </w:p>
        </w:tc>
      </w:tr>
      <w:tr>
        <w:trPr>
          <w:trHeight w:val="167"/>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24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2023</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54,274,053</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43,778,015</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(11,850,533)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(93,632)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260,806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(28,119)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115,700</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249,012</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(18,629)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(18,270)</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24,173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18,407</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42,580</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(5,692)</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 PWP</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Incentive Plan Awards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97,163</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24,386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48"/>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Withholding tax payments on vested PWP Incentive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Plan Awards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 A</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(4,602)</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1,898</w:t>
            </w: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777</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1,524</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Treasury stock purchase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(919,379)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(7,735)</w:t>
            </w: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8"/>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2023</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54,371,216</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43,778,015</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(12,745,526)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(101,074)</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279,317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(32,616)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(4,822)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117,454</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258,268</w:t>
            </w:r>
          </w:p>
        </w:tc>
        <w:tc>
          <w:tcPr>
            <w:tcW w:w="0" w:type="dxa"/>
            <w:vAlign w:val="bottom"/>
          </w:tcPr>
          <w:p>
            <w:pPr>
              <w:spacing w:after="0"/>
              <w:rPr>
                <w:sz w:val="1"/>
                <w:szCs w:val="1"/>
                <w:color w:val="auto"/>
              </w:rPr>
            </w:pPr>
          </w:p>
        </w:tc>
      </w:tr>
      <w:tr>
        <w:trPr>
          <w:trHeight w:val="25"/>
        </w:trPr>
        <w:tc>
          <w:tcPr>
            <w:tcW w:w="24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66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79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(150,845)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(45,690)</w:t>
            </w:r>
          </w:p>
        </w:tc>
        <w:tc>
          <w:tcPr>
            <w:tcW w:w="0" w:type="dxa"/>
            <w:vAlign w:val="bottom"/>
          </w:tcPr>
          <w:p>
            <w:pPr>
              <w:spacing w:after="0"/>
              <w:rPr>
                <w:sz w:val="1"/>
                <w:szCs w:val="1"/>
                <w:color w:val="auto"/>
              </w:rPr>
            </w:pPr>
          </w:p>
        </w:tc>
      </w:tr>
      <w:tr>
        <w:trPr>
          <w:trHeight w:val="206"/>
        </w:trPr>
        <w:tc>
          <w:tcPr>
            <w:tcW w:w="7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Equity-based awards vesting expense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137,392</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90,846</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6,474</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Bad debt expense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 currency revaluation</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taxes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6"/>
        </w:trPr>
        <w:tc>
          <w:tcPr>
            <w:tcW w:w="7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Decrease (increase) in operating assets: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(46,903)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16,431</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Due from related parties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0" w:type="dxa"/>
            <w:vAlign w:val="bottom"/>
          </w:tcPr>
          <w:p>
            <w:pPr>
              <w:spacing w:after="0"/>
              <w:rPr>
                <w:sz w:val="1"/>
                <w:szCs w:val="1"/>
                <w:color w:val="auto"/>
              </w:rPr>
            </w:pPr>
          </w:p>
        </w:tc>
      </w:tr>
      <w:tr>
        <w:trPr>
          <w:trHeight w:val="206"/>
        </w:trPr>
        <w:tc>
          <w:tcPr>
            <w:tcW w:w="7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(106,841)</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(126,207)</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(8,033)</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Lease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0" w:type="dxa"/>
            <w:vAlign w:val="bottom"/>
          </w:tcPr>
          <w:p>
            <w:pPr>
              <w:spacing w:after="0"/>
              <w:rPr>
                <w:sz w:val="1"/>
                <w:szCs w:val="1"/>
                <w:color w:val="auto"/>
              </w:rPr>
            </w:pPr>
          </w:p>
        </w:tc>
      </w:tr>
      <w:tr>
        <w:trPr>
          <w:trHeight w:val="200"/>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(116,336)</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(50,367)</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(14,724)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(34,829)</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Purchases of investments in short-term marketable debt securities</w:t>
            </w:r>
          </w:p>
        </w:tc>
        <w:tc>
          <w:tcPr>
            <w:tcW w:w="9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(49,733)</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Maturities of investments in short-term marketable debt securities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91,188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140,551</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200"/>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76,464</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56,477</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issuance of Class A common stock in public offering, net of underwriting discount and offering costs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65,986</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Exchange of PWP OpCo Units and corresponding Class B common stock for cash</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(19,382)</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Withholding tax payments for vested PWP Incentive Plan Awards and equity-classified ACUs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(38,366)</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(11,809)</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(8,811)</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Dividends paid on Class A and Class B common stock</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(6,502)</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Treasury stock purchases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(22,489)</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Payments pursuant to tax receivable agreement</w:t>
            </w:r>
          </w:p>
        </w:tc>
        <w:tc>
          <w:tcPr>
            <w:tcW w:w="9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(22,957)</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(50,083)</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0" w:type="dxa"/>
            <w:vAlign w:val="bottom"/>
          </w:tcPr>
          <w:p>
            <w:pPr>
              <w:spacing w:after="0"/>
              <w:rPr>
                <w:sz w:val="1"/>
                <w:szCs w:val="1"/>
                <w:color w:val="auto"/>
              </w:rPr>
            </w:pPr>
          </w:p>
        </w:tc>
      </w:tr>
      <w:tr>
        <w:trPr>
          <w:trHeight w:val="20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(63,591)</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(41,756)</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250,102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174,166</w:t>
            </w:r>
          </w:p>
        </w:tc>
        <w:tc>
          <w:tcPr>
            <w:tcW w:w="0" w:type="dxa"/>
            <w:vAlign w:val="bottom"/>
          </w:tcPr>
          <w:p>
            <w:pPr>
              <w:spacing w:after="0"/>
              <w:rPr>
                <w:sz w:val="1"/>
                <w:szCs w:val="1"/>
                <w:color w:val="auto"/>
              </w:rPr>
            </w:pPr>
          </w:p>
        </w:tc>
      </w:tr>
      <w:tr>
        <w:trPr>
          <w:trHeight w:val="232"/>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60" w:type="dxa"/>
            <w:vAlign w:val="bottom"/>
            <w:tcBorders>
              <w:top w:val="single" w:sz="8" w:color="auto"/>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186,511</w:t>
            </w:r>
          </w:p>
        </w:tc>
        <w:tc>
          <w:tcPr>
            <w:tcW w:w="1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132,410</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Lease liabilities arising from obtaining right-of-use lease assets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tcPr>
          <w:p>
            <w:pPr>
              <w:spacing w:after="0"/>
              <w:rPr>
                <w:sz w:val="17"/>
                <w:szCs w:val="17"/>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6,906</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dividends and dividend equivalent units on unvested PWP Incentive Plan Awards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w:t>
            </w:r>
          </w:p>
        </w:tc>
        <w:tc>
          <w:tcPr>
            <w:tcW w:w="100" w:type="dxa"/>
            <w:vAlign w:val="bottom"/>
          </w:tcPr>
          <w:p>
            <w:pPr>
              <w:spacing w:after="0"/>
              <w:rPr>
                <w:sz w:val="17"/>
                <w:szCs w:val="17"/>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Non-cash paydown of Partner promissory notes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tax effect resulting from changes in ownership and exchanges of PWP OpCo Units, net of amounts payable under tax</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receivable agreement</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Pr>
          <w:p>
            <w:pPr>
              <w:spacing w:after="0"/>
              <w:rPr>
                <w:sz w:val="17"/>
                <w:szCs w:val="17"/>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7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 (unaudited)</w:t>
      </w:r>
    </w:p>
    <w:p>
      <w:pPr>
        <w:spacing w:after="0" w:line="4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726"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Nature of Business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Perella Weinberg Partners and its consolidated subsidiaries, including PWP Holdings LP (“PWP OpCo”) (collectively, “PWP” and the “Company”),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 global independent advisory firm that provides strategic and financial advice to a wide range of clients. The Company’s activities as an investment banking advisory firm constitute a single business segment that provides a range of advisory services, including advice related to strategic and financial decisions, mergers and acquisitions (“M&amp;A”) execution, shareholder and defense advisory, financing and capital solutions advice with resources focused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restructuring and liability management, capital markets advisory, private capital placement, as well as specialized underwriting and research services primarily for the energy and related industries.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24, 2021, the Company consummated a business combination pursuant to a Business Combination Agreement that resulted in PWP OpCo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becoming jointly-owned by Perella Weinberg Partners, PWP Professional Partners LP (together with its successors (including pursuant to the Division and Merger (each as defined below)) and assigns, as applicable, “Professional Partners”) and certain existing partners of PWP OpCo as part of an umbrella limited partnership C-corporation (Up-C) structure (the “Business Combination”).</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December 31, 2023, as part of an internal reorganization, Professional Partners was divided into three partnerships pursuant to a plan of division (the “Division”), which, among other things, provided that (i) all of its limited partnership interests in PWP OpCo were allocated to one of the divided partnerships, PWP AdCo Professionals LP (“AdCo Professionals”), (ii) all of its shares of Class B-1 common stock of the Company were allocated to</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another divided partnership, PWP VoteCo Professionals LP (“VoteCo Professionals”) and (iii) PWP Professional Partners LP changed its name to PWP AmCo Professionals LP. On April 1, 2024, as part of this internal reorganization, AdCo Professionals merged with and into PWP OpCo (the “Merger”). At the time of the Merger, (i) the original capital units (“OCUs”), value capital units (“VCUs”), and alignment capital units (“ACUs”) of AdCo Professionals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were converted into an equivalent number of newly created OCUs, VCUs and ACUs of PWP OpCo, (ii) the net assets of AdCo Professionals became the net assets of PWP OpCo and (iii) PWP OpCo adopted an amended and restated limited partnership agreement (the “PWP OpCo LPA”) that permits the Company to settle quarterly exchanges in cash or shares at the Company’s discretion. The principal purpose of the internal reorganization was to simplify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structure for the partners in Professional Partners with respect to their indirect interests in PWP OpCo. There was no consideration exchanged in connection with the Division or the Merger, and neither the Division nor the Merger affected the respective rights or economic interests of the Company, PWP GP LLC (“PWP GP”), or any limited partner with respect to PWP OpCo. Refer to Note 9—Stockholders’ Equity and Redeemable Non-Controlling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and Note 11—Equity-Based Compensation for additional information on the Merger and related transactions.</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operations of PWP OpCo are conducted through a wholly-owned subsidiary, Perella Weinberg Partners Group LP, and its subsidiaries which are consolidated in these financial statements. PWP GP is the general partner that controls PWP OpCo. The limited partner interests of PWP OpCo are held by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 an Investor Limited Partner (the “ILP”), and certain current and former working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have been prepared in accordance with generally accepted accounting principles in the United States (“U.S. GAAP”) and all intercompany balances and transactions have been eliminated.</w:t>
      </w:r>
    </w:p>
    <w:p>
      <w:pPr>
        <w:spacing w:after="0" w:line="149"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These condensed consolidated financial statements and notes thereto are unaudited, and as permitted by the interim reporting rules and regulations set forth by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financial statements for the year ended December 31, 2023, included in the Company’s Annual Report on Form 10-K. The condensed consolidated financial statements reflect all material adjustments of a normal recurring nature that, in the opinion of management, are necessary for a fair presentation of the results for the interim periods.</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policy is to consolidate entities in which the Company has a controlling financial interest and variable interest entities where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VIE. As of June 30, 2024 and December 31, 2023, the net assets of PWP OpCo were $217.2 million and $249.6 million, respectively. As of June 30, 2024 and December 31, 2023, the Company did not consolidate any VIEs other than PWP OpCo.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from those estimates. Estimates and the assumptions underlying these estimates are reviewed periodically, and the effects of revisions are reflected in the period in which they are determined to be necessary.</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preparing the condensed consolidated financial statements, management makes certain estimates regarding the measurement of amounts due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pursuant to the tax receivable agreement, measurement and timing of revenue recognition, assumptions used in the provision for income taxes, measurement of equity-based compensation, expected insurance reimbursements related to litigation costs, evaluation of goodwill and intangible assets, fair value measurement of financial instruments, and other matters that affect the reported amounts and disclosures of contingencies in the condensed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include cash held at banks, including interest-bearing money market accounts, and any highly liquid investments with</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original maturities of three months or less from the date of purchase. Cash account balances often exceed federally insured limits. Restricted cash represents cash that is not readily available for general purpose cash needs. As of June 30, 2024 and December 31, 2023, the Company had no cash equivalents and had restricted cash of $1.2 million and $2.9 million, respectively, maintained as collateral for letters of credit related to certain office leases.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sum of Cash and cash equivalents and Restricted cash on the Condensed Consolidated Statements of Financial Condition corresponds to the total cash, cash equivalents, and restricted cash presented on the Condensed Consolidated Statements of Cash Flows.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In the normal course of business, the Company and its subsidiaries may enter into transactions denominated in a non-functional currency. The Company recognized net foreign exchange gains (losses) arising from such transactions of $(0.2) million and $0.3 million during the three and six months ended June 30, 2024, respectively, and $(1.1) million and $(2.2) million for the three and six months ended June 30, 2023, respectively, which are included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Other income (expense) in the Condensed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profit and loss activity is generally translated using the average exchange rate throughout the period. Cumulative translation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adjustments arising from the translation of non-U.S. dollar denominated operations are included as a component of Accumulated other comprehensive income (loss) on the Condensed Consolidated Statements of Changes in Equity and Redeemable Non-Controlling Interests.</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Equity-based compensation relates to equity-based awards granted to employees and partners of the Company. Equity-based compensation expense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recognized over the requisite vesting period or requisite service period in an amount equal to the grant date fair value (for equity-classified awards) or the settlement fair value (for liability-classified awards). Equity-based compensation expense for employees and partners is included in Equity-based compensation on the Condensed Consolidated Statements of Operations and equity-based compensation expense for non-employees is included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Professional fees on the Condensed Consolidated Statements of Operations.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portion of the award at each reporting date.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entities that are consolidated but not 100% owned, a portion of the income or loss and equity is allocated to holders of the non-controlling interest.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Profits and losses of PWP OpCo are allocated to the non-controlling interests in proportion to their ownership interest regardless of their basis, with an exception for certain equity-based compensation expense which was fully attributed to non-controlling interests prior to the Merger. Refer to Note 11— Equity-Based Compensation for further information.</w:t>
      </w:r>
    </w:p>
    <w:p>
      <w:pPr>
        <w:spacing w:after="0" w:line="172" w:lineRule="exact"/>
        <w:rPr>
          <w:sz w:val="20"/>
          <w:szCs w:val="20"/>
          <w:color w:val="auto"/>
        </w:rPr>
      </w:pPr>
    </w:p>
    <w:p>
      <w:pPr>
        <w:jc w:val="both"/>
        <w:ind w:firstLine="324"/>
        <w:spacing w:after="0" w:line="229" w:lineRule="auto"/>
        <w:rPr>
          <w:sz w:val="20"/>
          <w:szCs w:val="20"/>
          <w:color w:val="auto"/>
        </w:rPr>
      </w:pPr>
      <w:r>
        <w:rPr>
          <w:rFonts w:ascii="Times New Roman" w:cs="Times New Roman" w:eastAsia="Times New Roman" w:hAnsi="Times New Roman"/>
          <w:sz w:val="17"/>
          <w:szCs w:val="17"/>
          <w:color w:val="auto"/>
        </w:rPr>
        <w:t>As a result of the Merger, Non-controlling interests presented within equity on the Condensed Consolidated Statements of Financial Condition were reclassified to Redeemable non-controlling interests within temporary equity. Redeemable non-controlling interests are recorded at their current redemption value, which corresponds to the price of the Company’s Class A common stock. Changes in the current redemption value are recorded to Additional paid-in</w:t>
      </w:r>
    </w:p>
    <w:p>
      <w:pPr>
        <w:jc w:val="both"/>
        <w:spacing w:after="0" w:line="208" w:lineRule="auto"/>
        <w:rPr>
          <w:sz w:val="20"/>
          <w:szCs w:val="20"/>
          <w:color w:val="auto"/>
        </w:rPr>
      </w:pPr>
      <w:r>
        <w:rPr>
          <w:rFonts w:ascii="Times New Roman" w:cs="Times New Roman" w:eastAsia="Times New Roman" w:hAnsi="Times New Roman"/>
          <w:sz w:val="18"/>
          <w:szCs w:val="18"/>
          <w:color w:val="auto"/>
        </w:rPr>
        <w:t>capital, or Retained earnings (deficit) to the extent there is insufficient Additional paid-in capital, immediately as they occur. When the Company has an unconditional obligation to purchase the Redeemable non-controlling interests for cash, the mandatorily redeemable interests are reclassified from temporary equity to a liability with changes in fair value recorded to Other income (loss) in the Condensed Consolidated Statements of Operations. As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there were no non-controlling interests considered mandatorily redeemable.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recently adopted accounting pronouncements that had a material effect on the Company’s condensed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Adoption of Accounting Pronouncements</w:t>
      </w:r>
    </w:p>
    <w:p>
      <w:pPr>
        <w:spacing w:after="0" w:line="187" w:lineRule="exact"/>
        <w:rPr>
          <w:sz w:val="20"/>
          <w:szCs w:val="20"/>
          <w:color w:val="auto"/>
        </w:rPr>
      </w:pPr>
    </w:p>
    <w:p>
      <w:pPr>
        <w:jc w:val="both"/>
        <w:ind w:firstLine="324"/>
        <w:spacing w:after="0" w:line="224"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2023-07, </w:t>
      </w:r>
      <w:r>
        <w:rPr>
          <w:rFonts w:ascii="Times New Roman" w:cs="Times New Roman" w:eastAsia="Times New Roman" w:hAnsi="Times New Roman"/>
          <w:sz w:val="18"/>
          <w:szCs w:val="18"/>
          <w:i w:val="1"/>
          <w:iCs w:val="1"/>
          <w:color w:val="auto"/>
        </w:rPr>
        <w:t>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Disclosures </w:t>
      </w:r>
      <w:r>
        <w:rPr>
          <w:rFonts w:ascii="Times New Roman" w:cs="Times New Roman" w:eastAsia="Times New Roman" w:hAnsi="Times New Roman"/>
          <w:sz w:val="18"/>
          <w:szCs w:val="18"/>
          <w:color w:val="auto"/>
        </w:rPr>
        <w:t>(“ASU 2023-07”), which amends the guidance in Accounting Standards Codification (“ASC” or the “Codification”) Topic 280,</w:t>
      </w:r>
    </w:p>
    <w:p>
      <w:pPr>
        <w:jc w:val="both"/>
        <w:spacing w:after="0" w:line="208" w:lineRule="auto"/>
        <w:rPr>
          <w:sz w:val="20"/>
          <w:szCs w:val="20"/>
          <w:color w:val="auto"/>
        </w:rPr>
      </w:pPr>
      <w:r>
        <w:rPr>
          <w:rFonts w:ascii="Times New Roman" w:cs="Times New Roman" w:eastAsia="Times New Roman" w:hAnsi="Times New Roman"/>
          <w:sz w:val="18"/>
          <w:szCs w:val="18"/>
          <w:color w:val="auto"/>
        </w:rPr>
        <w:t>Segment Reporting, to require enhanced disclosures about reportable segments on an annual and interim basis. The amendments will require disclosure of significant segment expenses, identification of the chief operating decision maker (“CODM”), and an explanation of how the CODM uses the reported measure(s) of segment profit or loss in assessing segment performance and deciding how to allocate resources. ASU 2023-07 clarifies that an entity that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has a single reportable segment is subject to all the disclosures required by the amendments and all existing segment disclosures in Topic 280. The amendments in ASU 2023-07 are effective for the Company beginning with the annual period ended December 31, 2024 and interim periods within the year ended December 31, 2025. The amendments are required to be applied retrospectively to all period presented and early adoption is permitted.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does not expect the adoption of ASU 2023-07 to have a material impact on the consolidated financial statements.</w:t>
      </w:r>
    </w:p>
    <w:p>
      <w:pPr>
        <w:spacing w:after="0" w:line="163" w:lineRule="exact"/>
        <w:rPr>
          <w:sz w:val="20"/>
          <w:szCs w:val="20"/>
          <w:color w:val="auto"/>
        </w:rPr>
      </w:pPr>
    </w:p>
    <w:p>
      <w:pPr>
        <w:jc w:val="both"/>
        <w:ind w:firstLine="324"/>
        <w:spacing w:after="0" w:line="217"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amends the guidance in ASC Topic 740, Income Taxes (“ASC 740”), to improve the transparency of income tax disclosures by requiring (1) consistent categories and greater disaggregation of information in the rate reconciliation and (2) income taxes paid disaggregated by jurisdiction. The amendments in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ASU 2023-09 are effective for the Company beginning with the annual period ended December 31, 2025. The amendments are to be applied prospectively with both retrospective application and early adoption permitted. The Company does not expect the adoption of ASU 2023-09 to have a material impact on the consolidated financial statements.</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3—Revenue and Receivables from Contracts with Customers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2"/>
        </w:trPr>
        <w:tc>
          <w:tcPr>
            <w:tcW w:w="814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between over time and point in time recognition:</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0"/>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7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5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261,860</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157,469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362,865</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281,798</w:t>
            </w:r>
          </w:p>
        </w:tc>
      </w:tr>
      <w:tr>
        <w:trPr>
          <w:trHeight w:val="25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15,173</w:t>
            </w:r>
          </w:p>
        </w:tc>
      </w:tr>
      <w:tr>
        <w:trPr>
          <w:trHeight w:val="27"/>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2"/>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271,998</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165,545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374,125</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296,971</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Reimbursable expenses billed to clients were $1.5 million and $3.4 million for the three and six months ended June 30, 2024, respectively, and $1.3 million and $2.5 million for the three and six months ended June 30, 2023,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and Contract Balances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the aggregate amount of the transaction price, as defined in the Codification, allocated to performance obligations yet to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satisfied was $0.3 million, and the Company generally expects to recognize this revenue within the next twelve months. Such amounts primarily relate to the Company’s performance obligations of providing transaction-related advisory services. The Company recognized revenue of $207.2 million and $265.4 million during the three and six months ended June 30, 2024, respectively, and $86.8 million and $181.0 million during the three and six months ended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June 30, 2023, respectively, related to performance obligations that were satisfied or partially satisfied in prior periods. These amounts were recognized upon the resolution of revenue constraints and uncertainties in the respective periods and were generally related to transaction-related advisory services.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and December 31, 2023, the Company recorded $6.8 million and $0.9 million, respectively, for contract liabilities which 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presented within Accounts payable, accrued expenses and other liabilities on the Condensed Consolidated Statements of Financial Condition. The Company recognized previously deferred revenue of $1.6 million and $0.7 million for the three and six months ended June 30, 2024, respectively, and $1.2 million and $3.4 million for the three and six months ended June 30, 2023, respectively, which was primarily related to transaction-related advisory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that are recognized over time.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June 30, 2024 and December 31, 2023, $16.2 million and $7.1 million, respectively, of accrued revenue was included in Accounts receivable, net</w:t>
      </w:r>
    </w:p>
    <w:p>
      <w:pPr>
        <w:spacing w:after="0" w:line="1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allowance on the Condensed Consolidated Statements of Financial Condition. These amounts have been recognized as revenue in accordance with the Company’s revenue recognition policies but remain unbilled at the end of the period. As of June 30, 2024, certain accounts receivable in the aggregate amount of $38.0 million were individually greater than 10% of the Company’s gross accounts receivable and were concentrated with one client. Of that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amount, all was subsequently received after June 30, 2024. As of December 31, 2023, certain accounts receivable in the aggregate amount of $17.3 million, were individually greater than 10% of the Company’s gross accounts receivable and were concentrated with two clients. Of that amount, all was subsequently received after year end.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allowance for credit losses activity for the three and six months ended June 30, 2024 and 2023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5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50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7"/>
        </w:trPr>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(4,465)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920" w:type="dxa"/>
            <w:vAlign w:val="bottom"/>
          </w:tcPr>
          <w:p>
            <w:pPr>
              <w:spacing w:after="0"/>
              <w:rPr>
                <w:sz w:val="22"/>
                <w:szCs w:val="2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9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0"/>
        </w:trPr>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4—Leases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leases office space and equipment under operating lease agreements. The following is information related to such operating leases: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0" w:type="dxa"/>
            <w:vAlign w:val="bottom"/>
          </w:tcPr>
          <w:p>
            <w:pPr>
              <w:spacing w:after="0"/>
              <w:rPr>
                <w:sz w:val="20"/>
                <w:szCs w:val="20"/>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7"/>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92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4.7%</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13.9 years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14.3 years</w:t>
            </w:r>
          </w:p>
        </w:tc>
      </w:tr>
      <w:tr>
        <w:trPr>
          <w:trHeight w:val="594"/>
        </w:trPr>
        <w:tc>
          <w:tcPr>
            <w:tcW w:w="5020" w:type="dxa"/>
            <w:vAlign w:val="bottom"/>
          </w:tcPr>
          <w:p>
            <w:pPr>
              <w:spacing w:after="0"/>
              <w:rPr>
                <w:sz w:val="24"/>
                <w:szCs w:val="24"/>
                <w:color w:val="auto"/>
              </w:rPr>
            </w:pPr>
          </w:p>
        </w:tc>
        <w:tc>
          <w:tcPr>
            <w:tcW w:w="24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6"/>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3"/>
        </w:trPr>
        <w:tc>
          <w:tcPr>
            <w:tcW w:w="50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tcBorders>
              <w:bottom w:val="single" w:sz="8" w:color="auto"/>
            </w:tcBorders>
          </w:tcPr>
          <w:p>
            <w:pPr>
              <w:spacing w:after="0"/>
              <w:rPr>
                <w:sz w:val="21"/>
                <w:szCs w:val="21"/>
                <w:color w:val="auto"/>
              </w:rPr>
            </w:pPr>
          </w:p>
        </w:tc>
      </w:tr>
      <w:tr>
        <w:trPr>
          <w:trHeight w:val="250"/>
        </w:trPr>
        <w:tc>
          <w:tcPr>
            <w:tcW w:w="50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9,429</w:t>
            </w:r>
          </w:p>
        </w:tc>
        <w:tc>
          <w:tcPr>
            <w:tcW w:w="4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7"/>
        </w:trPr>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 – operating leases</w:t>
            </w:r>
          </w:p>
        </w:tc>
        <w:tc>
          <w:tcPr>
            <w:tcW w:w="9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92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5,822</w:t>
            </w:r>
          </w:p>
        </w:tc>
        <w:tc>
          <w:tcPr>
            <w:tcW w:w="8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10,933</w:t>
            </w: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w:t>
            </w:r>
          </w:p>
        </w:tc>
      </w:tr>
      <w:tr>
        <w:trPr>
          <w:trHeight w:val="27"/>
        </w:trPr>
        <w:tc>
          <w:tcPr>
            <w:tcW w:w="5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3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outflows on operating leases</w:t>
            </w:r>
            <w:r>
              <w:rPr>
                <w:rFonts w:ascii="Times New Roman" w:cs="Times New Roman" w:eastAsia="Times New Roman" w:hAnsi="Times New Roman"/>
                <w:sz w:val="23"/>
                <w:szCs w:val="23"/>
                <w:color w:val="auto"/>
                <w:vertAlign w:val="superscript"/>
              </w:rPr>
              <w:t>(1)</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(2,653)</w:t>
            </w:r>
          </w:p>
        </w:tc>
        <w:tc>
          <w:tcPr>
            <w:tcW w:w="100" w:type="dxa"/>
            <w:vAlign w:val="bottom"/>
          </w:tcPr>
          <w:p>
            <w:pPr>
              <w:spacing w:after="0"/>
              <w:rPr>
                <w:sz w:val="24"/>
                <w:szCs w:val="24"/>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(2,857)</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(749)</w:t>
            </w:r>
          </w:p>
        </w:tc>
        <w:tc>
          <w:tcPr>
            <w:tcW w:w="4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0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net of lease incentives received, including landlord contributions to tenant improvements.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June 30, 2024, the maturities of undiscounted operating lease liabilities of the Company are as follows:</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7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2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7"/>
        </w:trPr>
        <w:tc>
          <w:tcPr>
            <w:tcW w:w="9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18,822</w:t>
            </w:r>
          </w:p>
        </w:tc>
      </w:tr>
      <w:tr>
        <w:trPr>
          <w:trHeight w:val="27"/>
        </w:trPr>
        <w:tc>
          <w:tcPr>
            <w:tcW w:w="9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w:t>
            </w: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19,357</w:t>
            </w:r>
          </w:p>
        </w:tc>
      </w:tr>
      <w:tr>
        <w:trPr>
          <w:trHeight w:val="27"/>
        </w:trPr>
        <w:tc>
          <w:tcPr>
            <w:tcW w:w="9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17,565</w:t>
            </w: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173,464</w:t>
            </w:r>
          </w:p>
        </w:tc>
      </w:tr>
      <w:tr>
        <w:trPr>
          <w:trHeight w:val="27"/>
        </w:trPr>
        <w:tc>
          <w:tcPr>
            <w:tcW w:w="9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7"/>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252,898</w:t>
            </w: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(71,420)</w:t>
            </w:r>
          </w:p>
        </w:tc>
      </w:tr>
      <w:tr>
        <w:trPr>
          <w:trHeight w:val="27"/>
        </w:trPr>
        <w:tc>
          <w:tcPr>
            <w:tcW w:w="9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0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181,478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future lease payments are presented net of expected lease incentives, including landlord contributions to tenant improvements.</w:t>
      </w:r>
    </w:p>
    <w:p>
      <w:pPr>
        <w:spacing w:after="0" w:line="200" w:lineRule="exact"/>
        <w:rPr>
          <w:sz w:val="20"/>
          <w:szCs w:val="20"/>
          <w:color w:val="auto"/>
        </w:rPr>
      </w:pPr>
    </w:p>
    <w:p>
      <w:pPr>
        <w:spacing w:after="0" w:line="3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5—Intangible Assets</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provides the detail of the Company’s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735965</wp:posOffset>
            </wp:positionV>
            <wp:extent cx="710628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20574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848995</wp:posOffset>
            </wp:positionV>
            <wp:extent cx="710628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20574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40"/>
        </w:trPr>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vMerge w:val="restart"/>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3"/>
                <w:szCs w:val="3"/>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8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66"/>
        </w:trPr>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Pr>
          <w:p>
            <w:pPr>
              <w:spacing w:after="0"/>
              <w:rPr>
                <w:sz w:val="23"/>
                <w:szCs w:val="23"/>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(35,945)</w:t>
            </w:r>
          </w:p>
        </w:tc>
        <w:tc>
          <w:tcPr>
            <w:tcW w:w="80" w:type="dxa"/>
            <w:vAlign w:val="bottom"/>
          </w:tcPr>
          <w:p>
            <w:pPr>
              <w:spacing w:after="0"/>
              <w:rPr>
                <w:sz w:val="23"/>
                <w:szCs w:val="23"/>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0" w:type="dxa"/>
            <w:vAlign w:val="bottom"/>
          </w:tcPr>
          <w:p>
            <w:pPr>
              <w:spacing w:after="0"/>
              <w:rPr>
                <w:sz w:val="1"/>
                <w:szCs w:val="1"/>
                <w:color w:val="auto"/>
              </w:rPr>
            </w:pPr>
          </w:p>
        </w:tc>
      </w:tr>
      <w:tr>
        <w:trPr>
          <w:trHeight w:val="283"/>
        </w:trPr>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0" w:type="dxa"/>
            <w:vAlign w:val="bottom"/>
          </w:tcPr>
          <w:p>
            <w:pPr>
              <w:spacing w:after="0"/>
              <w:rPr>
                <w:sz w:val="1"/>
                <w:szCs w:val="1"/>
                <w:color w:val="auto"/>
              </w:rPr>
            </w:pPr>
          </w:p>
        </w:tc>
      </w:tr>
      <w:tr>
        <w:trPr>
          <w:trHeight w:val="25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(49,898)</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15,902</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5"/>
                <w:szCs w:val="15"/>
                <w:color w:val="auto"/>
              </w:rPr>
            </w:pPr>
          </w:p>
        </w:tc>
        <w:tc>
          <w:tcPr>
            <w:tcW w:w="1320" w:type="dxa"/>
            <w:vAlign w:val="bottom"/>
          </w:tcPr>
          <w:p>
            <w:pPr>
              <w:jc w:val="center"/>
              <w:ind w:right="190"/>
              <w:spacing w:after="0" w:line="174"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vMerge w:val="restart"/>
          </w:tcPr>
          <w:p>
            <w:pPr>
              <w:jc w:val="center"/>
              <w:ind w:right="19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40"/>
        </w:trPr>
        <w:tc>
          <w:tcPr>
            <w:tcW w:w="180" w:type="dxa"/>
            <w:vAlign w:val="bottom"/>
          </w:tcPr>
          <w:p>
            <w:pPr>
              <w:spacing w:after="0"/>
              <w:rPr>
                <w:sz w:val="3"/>
                <w:szCs w:val="3"/>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3"/>
                <w:szCs w:val="3"/>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50"/>
        </w:trPr>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(33,575)</w:t>
            </w:r>
          </w:p>
        </w:tc>
        <w:tc>
          <w:tcPr>
            <w:tcW w:w="8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0" w:type="dxa"/>
            <w:vAlign w:val="bottom"/>
          </w:tcPr>
          <w:p>
            <w:pPr>
              <w:spacing w:after="0"/>
              <w:rPr>
                <w:sz w:val="1"/>
                <w:szCs w:val="1"/>
                <w:color w:val="auto"/>
              </w:rPr>
            </w:pPr>
          </w:p>
        </w:tc>
      </w:tr>
      <w:tr>
        <w:trPr>
          <w:trHeight w:val="283"/>
        </w:trPr>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(46,608)</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720" w:space="520"/>
            <w:col w:w="5000"/>
          </w:cols>
          <w:pgMar w:left="320" w:top="117" w:right="339" w:bottom="1440" w:gutter="0" w:footer="0" w:header="0"/>
          <w:type w:val="continuous"/>
        </w:sectPr>
      </w:pPr>
    </w:p>
    <w:p>
      <w:pPr>
        <w:spacing w:after="0" w:line="7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intangible assets are being amortized over an average useful life of ten years and resulted in amortization expense of $1.6 million and $3.3 million for the three and six months ended, respectively, for both June 30, 2024 and 2023, all of which is included in Depreciation and amortization in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Condensed Consolidated Statements of Operations. Amortization of intangible assets held at June 30, 2024 is expected to be $6.6 million for each of the years ending December 31, 2024 and 2025 and $6.0 million for the year ending December 31, 2026. These intangible assets will be fully amortized by November 30,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6—Regulatory Requirements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has a number of consolidated subsidiaries registered as broker-dealers with regulatory agencies in their respective countries. None of the SEC-regulated subsidiaries hold funds or securities for, or owe money or securities to, clients or carry accounts of or for clients, and as such are all exempt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from the SEC Customer Protection Rule (Rule 15c3-3). As of June 30, 2024 and December 31, 2023, all regulated subsidiaries had capital in excess of their applicable minimum capital requirements. As a result of the minimum capital requirements and various regulations on these broker dealers, a portion of the capital of each subsidiary of the Company is restricted and may be unavailable to pay its creditors.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7—Fixed Assets</w:t>
      </w:r>
    </w:p>
    <w:p>
      <w:pPr>
        <w:spacing w:after="0" w:line="18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Fixed assets are recorded at cost less accumulated depreciation and amortization and consist of the following as of June 30, 2024 and December 31, 2023:</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7"/>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79,719</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w:t>
            </w:r>
          </w:p>
        </w:tc>
      </w:tr>
      <w:tr>
        <w:trPr>
          <w:trHeight w:val="27"/>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22,522</w:t>
            </w:r>
          </w:p>
        </w:tc>
      </w:tr>
      <w:tr>
        <w:trPr>
          <w:trHeight w:val="25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w:t>
            </w:r>
          </w:p>
        </w:tc>
      </w:tr>
      <w:tr>
        <w:trPr>
          <w:trHeight w:val="27"/>
        </w:trPr>
        <w:tc>
          <w:tcPr>
            <w:tcW w:w="7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124,175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120,439</w:t>
            </w:r>
          </w:p>
        </w:tc>
      </w:tr>
      <w:tr>
        <w:trPr>
          <w:trHeight w:val="25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(26,787)</w:t>
            </w:r>
          </w:p>
        </w:tc>
      </w:tr>
      <w:tr>
        <w:trPr>
          <w:trHeight w:val="27"/>
        </w:trPr>
        <w:tc>
          <w:tcPr>
            <w:tcW w:w="7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type w:val="continuous"/>
        </w:sectPr>
      </w:pPr>
    </w:p>
    <w:p>
      <w:pPr>
        <w:spacing w:after="0" w:line="2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Depreciation expense related to fixed assets was $3.4 million and $6.8 million for the three and six months ended June 30, 2024, respectively, and $1.9 million and $3.0 million for the three and six months ended June 30, 2023, respectively. Amortization expense related to software costs was immaterial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and six months ended June 30, 2024 and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tax position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0"/>
                <w:szCs w:val="20"/>
                <w:color w:val="auto"/>
              </w:rPr>
            </w:pPr>
          </w:p>
        </w:tc>
        <w:tc>
          <w:tcPr>
            <w:tcW w:w="288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4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bottom w:val="single" w:sz="8" w:color="auto"/>
            </w:tcBorders>
          </w:tcPr>
          <w:p>
            <w:pPr>
              <w:spacing w:after="0"/>
              <w:rPr>
                <w:sz w:val="20"/>
                <w:szCs w:val="20"/>
                <w:color w:val="auto"/>
              </w:rPr>
            </w:pPr>
          </w:p>
        </w:tc>
      </w:tr>
      <w:tr>
        <w:trPr>
          <w:trHeight w:val="252"/>
        </w:trPr>
        <w:tc>
          <w:tcPr>
            <w:tcW w:w="4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(81,487)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(22,813)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(132,393)</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(44,947)</w:t>
            </w:r>
          </w:p>
        </w:tc>
      </w:tr>
      <w:tr>
        <w:trPr>
          <w:trHeight w:val="25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18,452</w:t>
            </w:r>
          </w:p>
        </w:tc>
        <w:tc>
          <w:tcPr>
            <w:tcW w:w="8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743</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6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overall effective tax rate in each of the periods presented above varies from the U.S. federal statutory rate primarily because (i) 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portion of the Company’s income is allocated to non-controlling interests held in PWP OpCo in which the majority of any tax liability on such income is borne by the holders of such non-controlling interests and reported outside of the condensed consolidated financial statements and (ii) permanent differences related to compensation expenses.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Neither the Company nor its subsidiaries recognized any gain or loss for income tax purposes as a result of the Division or the Merger.</w:t>
      </w:r>
    </w:p>
    <w:p>
      <w:pPr>
        <w:spacing w:after="0" w:line="18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recorded a liability for unrecognized tax benefits of $3.7 million as of June 30, 2024 and December 31, 2023, primarily related to potential double taxation at certain of its foreign subsidiaries. The Company does not expect there to be any material changes to uncertain tax positions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12 months of the reporting date.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9—Stockholders’ Equity and Redeemable Non-Controlling Interests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 Offering</w:t>
      </w:r>
    </w:p>
    <w:p>
      <w:pPr>
        <w:spacing w:after="0" w:line="20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On March 1, 2024, the Company issued and sold 5,750,000 shares of Class A common stock at a price of $12.00 per share for net proceeds of $66.0 million after deducting underwriting discounts and offering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February 16, 2022, the Company’s Board of Directors initially approved a stock repurchase program and the authorized amount under such program was increased on February 8, 2023 such that the Company is authorized to repurchase up to $200.0 million of the Company’s Class A common stock. On June 3, 2024, the Company repurchased 1,000,000 founder shares at a purchase price of $15.00 per share for a total purchase price of $15.0</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million. Since inception of the share repurchase program, 12,920,699 shares have been purchased at an average price per share of $8.22 through June 30, 2024. Prior to the implementation of the stock repurchase program, on August 9, 2021, the Company repurchased 1,000,000 founder shares at a purchase price of $12.00 per share for a total purchase price of $12.0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89" w:lineRule="exact"/>
        <w:rPr>
          <w:sz w:val="20"/>
          <w:szCs w:val="20"/>
          <w:color w:val="auto"/>
        </w:rPr>
      </w:pPr>
    </w:p>
    <w:p>
      <w:pPr>
        <w:jc w:val="both"/>
        <w:ind w:right="20" w:firstLine="324"/>
        <w:spacing w:after="0" w:line="222" w:lineRule="auto"/>
        <w:rPr>
          <w:sz w:val="20"/>
          <w:szCs w:val="20"/>
          <w:color w:val="auto"/>
        </w:rPr>
      </w:pPr>
      <w:r>
        <w:rPr>
          <w:rFonts w:ascii="Times New Roman" w:cs="Times New Roman" w:eastAsia="Times New Roman" w:hAnsi="Times New Roman"/>
          <w:sz w:val="18"/>
          <w:szCs w:val="18"/>
          <w:color w:val="auto"/>
        </w:rPr>
        <w:t>As a result of the Merger, the Non-controlling interests on the Condensed Consolidated Statements of Financial Condition were reclassified to Redeemable non-controlling interests within temporary equity. Redeemable non-controlling interests are presented at the current redemption value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represent the ownership interests in PWP OpCo held by holders other than Perella Weinberg Partners. As of June 30, 2024, the current and former working partners and the ILP collectively own 32,884,770 PWP OpCo Units, which represent a 38.5% non-controlling ownership interest in PWP OpCo.</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PWP OpCo Units (the “PWP OpCo Unitholders”) other than the Company may exchange their units for (i) shares of Class A common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stock on a one-for-one basis or (ii) cash from an offering of shares of Class A common stock and (iii) subsequent to the Merger, cash from any other source. Concurrently with an exchange, such PWP OpCo Unitholder is required to surrender shares of Class B common stock for additional shares of Class A common stock or cash at a conversion rate of 0.001. Whether the exchanging PWP OpCo Unitholder receives cash or Class A common stock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exchange for their PWP OpCo Units and Class B common stock is at the Company’s option. Working partners are restricted in their ability to exchange PWP OpCo Units for a period between three to five years after the Closing. PWP GP may waive, and in certain cases has waived, the foregoing restrictions for any holder with respect to all or a portion of such holder’s units, with no obligation to do so for any other holder. During the three months ended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June 30, 2024, the Company elected to settle exchanges of certain PWP OpCo Units and corresponding shares of Class B common stock for $19.5 million in cash, of which $0.1 million of related tax withholding remained unpaid as of June 30, 2024. During the six months ended June 30, 2024, in addition to the cash-settled exchange, the Company settled exchanges in the first quarter of 2024 for 794,146 shares of Class A common stock. During the six months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ended June 30, 2023, the Company settled exchanges of certain PWP OpCo Units and corresponding shares of Class B common stock for 786,644 shares of Class A common stock. There were no exchanges during the three months ended June 30, 2023. To the extent an exchange creates a step-up in tax basis, the Company records an increase in Deferred tax assets, net, Amounts due pursuant to tax receivable agreement, and Additional paid-in-capital.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As of June 30, 2024, and December 31, 2023, the Company had no outstanding debt. The Company has a revolving credit facility (the “Revolving Credit Facility”) through a credit agreement with Cadence Bank, N.A. (“Cadence Bank”), dated November 30, 2016 (as amended, the “Credit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Agreement”), with an available line of credit of $50.0 million with up to $20.0 million of available incremental revolving commitments, and a maturity date of July 1, 2025. Issuance costs incurred related to the Credit Agreement are amortized as interest expense using the effective interest method over the life of the Revolving Credit Facility. The Company is also charged a quarterly commitment fee of 0.25% on any unused portion of the line of credit, which</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is recorded as interest expense. Interest expense related to the Revolving Credit Facility was immaterial during the three and six months ended June 30, 2024 and June 30, 2023 and is included within Other income (expense) in the Condensed Consolidated Statements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11—Equity-Based Compensation</w:t>
      </w:r>
    </w:p>
    <w:p>
      <w:pPr>
        <w:spacing w:after="0" w:line="20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Further information regarding the Company’s equity-based compensation awards is described in Note 12—Equity-Based Compensation in the Notes to Consolidated Financial Statements in “Part II. Item 8. Financial Statements and Supplementary Data” in the Company’s Annual Report on Form 10-K for the year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Omnibus Incentive Plan Awards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Concurrent with the Business Combination, the Company adopted the Perella Weinberg Partners 2021 Omnibus Incentive Plan (the “PWP Incentive Plan”), which establishes a plan for the granting of various forms of incentive compensation awards, including restricted stock units (“RSUs”)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performance restricted stock units (“PSUs”), measured by reference to PWP Class A common stock (“PWP Incentive Plan Awards”). The PWP Incentive Plan established a reserve for a one-time grant of awards in connection with the Business Combination as well as a reserve for general purpose grants (the “General Share Reserve”). Grantees have rights to dividends declared during the vesting period and receive such dividends only upon vesting in the form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cash or dividend equivalent units. The Company uses newly issued shares of Class A common stock to satisfy vested awards, with the exception of shares issued out of treasury stock for vested awards (and related dividend equivalent units) held by French employees. Pursuant to the PWP Incentive Plan, the number of shares of Class A common stock reserved for issuance from the General Share Reserve increases each year.</w:t>
      </w:r>
    </w:p>
    <w:p>
      <w:pPr>
        <w:spacing w:after="0" w:line="200" w:lineRule="exact"/>
        <w:rPr>
          <w:sz w:val="20"/>
          <w:szCs w:val="20"/>
          <w:color w:val="auto"/>
        </w:rPr>
      </w:pPr>
    </w:p>
    <w:p>
      <w:pPr>
        <w:spacing w:after="0" w:line="3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During the third quarter of 2021, in connection with the Business Combination, the Company granted awards (the “Business Combination Awards”) in the form of (a) RSUs that vest upon the achievement of service conditions (“Transaction RSUs”) and (b) PSUs that only vest upon the achievement of both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service and market conditions, including certain long-term incentive awards granted to management (“Transaction PSUs”). As of June 30, 2024, the $12.00, $13.50, and $15.00 price targets were met for the Transaction PSUs.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grants units from the General Share Reserve from time to time in the ordinary course of business in the form of (a) RSUs that vest upon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achievement of service conditions (“General RSUs”) and (b) PSUs that only vest upon the achievement of both service and market conditions (“General PSUs”). During the six months ended June 30, 2024 and 2023, the Company granted 6,773,129 and 6,857,726 General RSUs, respectively, at a weighted average grant date fair value of $13.47 and $10.13 per award, respectively. During the six months ended June 30, 2024 and 2023, 4,009,592 and 2,564,468</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General RSUs vested with a total fair value of $53.2 million and $25.8 million, respectively. During the six months ended June 30, 2023, the Company granted 1,000,000 General PSUs at a weighted average grant date fair value of $6.02 per award. No General PSUs were granted during the six months ended June 30, 2024. As of June 30, 2024, the $15.00 price target was met for General PSUs.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Awards and Professional Partners Awards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Prior to the Business Combination, Professional Partners granted certain equity-based awards to partners providing services to PWP OpCo (the “Legacy Awards”). In connection with the Business Combination and a related internal reorganization of Professional Partners, existing Legacy Awards</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were canceled and replaced by converting each limited partner’s capital interests in Professional Partners attributable to PWP OpCo into OCUs, VCUs, and/or ACUs. The OCUs were fully vested upon recapitalization. The VCUs and ACUs (collectively, “Professional Partners Awards”) were held by current working partners and required services to be performed on behalf of PWP OpCo. The Professional Partners Awards were generally subject to a service-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based graded vesting schedule over a three to five-year requisite service period. Once vested, the Professional Partners Awards became OCUs, other than the cash-settled ACUs referenced below, and are eligible for the same exchange rights as other PWP OpCo Units, subject to certain lock-up periods. Refer to Note 9—Stockholders’ Equity and Redeemable Non-Controlling Interests for more information on exchange rights.</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At the time of the Merger, the Company entered into vesting acceleration agreements with certain holders of Professional Partners Awards (the “Accelerated Units”) to accelerate vesting during the second quarter of 2024 (the “Vesting Acceleration”). The Accelerated Units are generally subject to a lock-up period that is identical to the lockup period applicable to such units prior to the Vesting Acceleration. The Company also provided each holder of</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Accelerated Units that are ACUs the ability to convert a portion of such holder’s ACUs into cash upon vesting in an aggregate amount up to such holder’s estimated tax liability. The principal purpose of the Vesting Acceleration was to facilitate the payment of taxes associated with ACU vesting to align with the treatment of vested restricted stock units of the Company.</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As a result of the Merger and Vesting Acceleration, certain Professional Partners Awards were modified from equity-classified to liability-classified awards with changes in fair value generally recorded as incremental equity-based compensation expense through the date of vesting. During the three months ended June 30, 2024, the Company recorded $130.0 million of equity-based compensation expense related to the acceleration of the Professional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Awards. Of that amount, $69.2 million was related to liability-classified awards.</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connection with the Vesting Acceleration, the Company paid or accrued a combined $86.6 million in settlement of 6,149,211 ACUs and corresponding shares of Class B common stock. Of that amount, the Company paid $60.6 million in settlement of liability-classified ACUs and</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$15.7 million for withholding tax payments on equity-classified ACUs and the settlement of other liabilities. These amounts are included within cash flows from operating activities and financing activities, respectively, on the Condensed Consolidated Statement of Cash Flows for the six months ended June 30, 2024. As of June 30, 2024, $10.3 million of withholding taxes payable is included in Accounts payable, accrued expenses and other liabilities on the Condensed Consolidated Statement of Financial Condition.</w:t>
      </w:r>
    </w:p>
    <w:p>
      <w:pPr>
        <w:spacing w:after="0" w:line="173"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Prior to the Merger, all of the compensation expense and corresponding capital contribution associated with the Legacy Awards and Professional Partners Awards were allocated to Non-controlling interests in the Condensed Consolidated Statements of Operations and Condensed Consolidated Statements of Financial Condition as the granting of the Professional Partners Awards did not change Professional Partners’ interest in PWP OpCo and did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 economically dilute Perella Weinberg Partners shareholders relative to Professional Partners. As a result of the Merger, the Professional Partners Awards are held directly at PWP OpCo and PWP OpCo as a whole bears the cost of the cash settlement feature of the awards. As a result, subsequent to the Merger, the Company allocates the costs associated with the Professional Partners Awards between Perella Weinberg Partners and non-controlling interests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proportion to their ownership interests, which is consistent with the allocation of the other profit and loss activity of PWP OpCo.</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following table presents the expense related to equity-based awards that were recorded in Professional fees and components of Equity-based compensation included in the Condensed Consolidated Statements of Operations: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7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Professional fees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Equity-based compensation</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23,805</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63,324</w:t>
            </w:r>
          </w:p>
        </w:tc>
        <w:tc>
          <w:tcPr>
            <w:tcW w:w="8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Awards</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0" w:type="dxa"/>
            <w:vAlign w:val="bottom"/>
          </w:tcPr>
          <w:p>
            <w:pPr>
              <w:spacing w:after="0"/>
              <w:rPr>
                <w:sz w:val="1"/>
                <w:szCs w:val="1"/>
                <w:color w:val="auto"/>
              </w:rPr>
            </w:pP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Partners Awards (equity-classified)</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Partners Awards (liability-classified)</w:t>
            </w: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69,245</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160,498</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42,212</w:t>
            </w:r>
          </w:p>
        </w:tc>
        <w:tc>
          <w:tcPr>
            <w:tcW w:w="8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207,305</w:t>
            </w:r>
          </w:p>
        </w:tc>
        <w:tc>
          <w:tcPr>
            <w:tcW w:w="8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89,883</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of equity-based awards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8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As of June 30, 2024, total unrecognized compensation expense related to all unvested equity-based awards was $166.9 million, which is expected to be recognized over a weighted average period of 2.1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12—Other Compensation and Benefits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Compensation and benefits expense consists of salaries, bonuses (discretionary awards and guaranteed amounts), severance, as well as payroll and related taxes and benefits for the Company’s employees. In all instances, compensation expense is accrued over the requisite service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employees participate in employee benefit plans, which consists of defined contribution plans including (i) profit-sharing plans qualified under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Section 401(k) of the Internal Revenue Code, (ii) a U.K. pension scheme for U.K. employees and (iii) a German pension plan for employees in Germany. Expenses related to the Company’s employee benefit plans were $1.8 million and $3.6 million for the three and six months ended June 30, 2024, respectively, and $1.7 million and $3.4 million for the three and six months ended June 30, 2023, respectively, and are included in Compensation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in the Condensed Consolidated Statements of Operations.</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Realignment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second quarter of 2023, the Company began a review of the business, which resulted in headcount reductions in order to improve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compensation alignment and to provide greater flexibility to advance strategic opportunities (the “Business Realignment”). In conjunction with the Business Realignment, the Company incurred expenses related to separation and transition benefits of $1.8 million for the six months ended June 30, 2024 and $3.8 million for both the three and six months ended June 30, 2023. Additionally, the Company incurred the acceleration of equity-based compensation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amortization (net of forfeitures) of $1.5 million for the six months ended June 30, 2024 and $1.3 million for both the three and six months ended June 30, 2023. Such amounts are presented in Compensation and benefits and Equity-based compensation in the Condensed Consolidated Statements of Operations, respectively. All of the expected Business Realignment costs were incurred as of March 31, 2024.</w:t>
      </w:r>
    </w:p>
    <w:p>
      <w:pPr>
        <w:spacing w:after="0" w:line="17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Activity within Accrued compensation and benefits on the Condensed Consolidated Statements of Financial Condition related to the Business Realignment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4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3"/>
        </w:trPr>
        <w:tc>
          <w:tcPr>
            <w:tcW w:w="5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50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expenses</w:t>
            </w:r>
          </w:p>
        </w:tc>
        <w:tc>
          <w:tcPr>
            <w:tcW w:w="920" w:type="dxa"/>
            <w:vAlign w:val="bottom"/>
          </w:tcPr>
          <w:p>
            <w:pPr>
              <w:spacing w:after="0"/>
              <w:rPr>
                <w:sz w:val="22"/>
                <w:szCs w:val="2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r>
      <w:tr>
        <w:trPr>
          <w:trHeight w:val="27"/>
        </w:trPr>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expenses</w:t>
            </w:r>
          </w:p>
        </w:tc>
        <w:tc>
          <w:tcPr>
            <w:tcW w:w="9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(1,257)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(2,431)</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7"/>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13—Net Income (Loss) Per Share Attributable to Class A Common Shareholders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calculations of basic and diluted net income (loss) per share attributable to Class A common shareholders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7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(66,028)</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(101,872)</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0" w:type="dxa"/>
            <w:vAlign w:val="bottom"/>
          </w:tcPr>
          <w:p>
            <w:pPr>
              <w:spacing w:after="0"/>
              <w:rPr>
                <w:sz w:val="1"/>
                <w:szCs w:val="1"/>
                <w:color w:val="auto"/>
              </w:rPr>
            </w:pPr>
          </w:p>
        </w:tc>
      </w:tr>
      <w:tr>
        <w:trPr>
          <w:trHeight w:val="252"/>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Dilutive effect from assumed exchange of PWP OpCo Units, net of</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w:t>
            </w: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(43,859)</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diluted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(66,028)</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(16,621)</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(101,872)</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54,589,542</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42,743,611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51,894,913</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42,531,895</w:t>
            </w:r>
          </w:p>
        </w:tc>
        <w:tc>
          <w:tcPr>
            <w:tcW w:w="0" w:type="dxa"/>
            <w:vAlign w:val="bottom"/>
          </w:tcPr>
          <w:p>
            <w:pPr>
              <w:spacing w:after="0"/>
              <w:rPr>
                <w:sz w:val="1"/>
                <w:szCs w:val="1"/>
                <w:color w:val="auto"/>
              </w:rPr>
            </w:pPr>
          </w:p>
        </w:tc>
      </w:tr>
      <w:tr>
        <w:trPr>
          <w:trHeight w:val="252"/>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number of incremental shares from assumed</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of PWP OpCo Units</w:t>
            </w: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43,778,015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44,034,180</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w:t>
            </w:r>
          </w:p>
        </w:tc>
        <w:tc>
          <w:tcPr>
            <w:tcW w:w="34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54,589,542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86,521,626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51,894,913</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86,566,075</w:t>
            </w:r>
          </w:p>
        </w:tc>
        <w:tc>
          <w:tcPr>
            <w:tcW w:w="0" w:type="dxa"/>
            <w:vAlign w:val="bottom"/>
          </w:tcPr>
          <w:p>
            <w:pPr>
              <w:spacing w:after="0"/>
              <w:rPr>
                <w:sz w:val="1"/>
                <w:szCs w:val="1"/>
                <w:color w:val="auto"/>
              </w:rPr>
            </w:pPr>
          </w:p>
        </w:tc>
      </w:tr>
      <w:tr>
        <w:trPr>
          <w:trHeight w:val="26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Class A common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9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5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Class B common shareholders has not been presented as these shares are entitled to an insignificant amount of economic participation.</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Company uses the treasury stock method to determine the potential dilutive effect of unvested PWP Incentive Plan Awards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between Class A common shareholders and non-controlling interests that result upon the assumed issuance of dilutive shares of Class A common stock as if the issuance occurred as of the beginning of the applicable period.</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weighted average potentially dilutive shares that were excluded from the calculation of diluted net income (loss) per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share under the treasury stock method or if-converted method, as applicable, because the effect of including such potentially dilutive shares was antidilutive for the period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0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3"/>
        </w:trPr>
        <w:tc>
          <w:tcPr>
            <w:tcW w:w="5000" w:type="dxa"/>
            <w:vAlign w:val="bottom"/>
          </w:tcPr>
          <w:p>
            <w:pPr>
              <w:spacing w:after="0"/>
              <w:rPr>
                <w:sz w:val="21"/>
                <w:szCs w:val="21"/>
                <w:color w:val="auto"/>
              </w:rPr>
            </w:pPr>
          </w:p>
        </w:tc>
        <w:tc>
          <w:tcPr>
            <w:tcW w:w="20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8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5000" w:type="dxa"/>
            <w:vAlign w:val="bottom"/>
          </w:tcPr>
          <w:p>
            <w:pPr>
              <w:spacing w:after="0"/>
              <w:rPr>
                <w:sz w:val="21"/>
                <w:szCs w:val="21"/>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0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PWP OpCo Units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33,022,579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37,170,827</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9,133,806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275,508</w:t>
            </w:r>
          </w:p>
        </w:tc>
        <w:tc>
          <w:tcPr>
            <w:tcW w:w="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7,205,942</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1,001,289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14—Fair Value Measurements and Investments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 is generally based on quoted prices, however if quoted market prices are not available, fair value is determined based on other relevant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7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in one of the following categories (from highest to lowest) based on inputs: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financial instruments as of the reporting date.</w:t>
      </w:r>
    </w:p>
    <w:p>
      <w:pPr>
        <w:spacing w:after="0" w:line="198" w:lineRule="exact"/>
        <w:rPr>
          <w:sz w:val="20"/>
          <w:szCs w:val="20"/>
          <w:color w:val="auto"/>
        </w:rPr>
      </w:pPr>
    </w:p>
    <w:p>
      <w:pPr>
        <w:ind w:left="660" w:right="20"/>
        <w:spacing w:after="0" w:line="237" w:lineRule="auto"/>
        <w:rPr>
          <w:sz w:val="20"/>
          <w:szCs w:val="20"/>
          <w:color w:val="auto"/>
        </w:rPr>
      </w:pPr>
      <w:r>
        <w:rPr>
          <w:rFonts w:ascii="Times New Roman" w:cs="Times New Roman" w:eastAsia="Times New Roman" w:hAnsi="Times New Roman"/>
          <w:sz w:val="18"/>
          <w:szCs w:val="18"/>
          <w:color w:val="auto"/>
        </w:rPr>
        <w:t>Level 2—Pricing inputs are observable inputs other than quoted prices included in Level 1, such as quoted prices for similar assets or liabilities in active markets or quoted prices for identical assets or liabilities in inactive markets.</w:t>
      </w:r>
    </w:p>
    <w:p>
      <w:pPr>
        <w:spacing w:after="0" w:line="158"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Level 3—Pricing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49" w:lineRule="exact"/>
        <w:rPr>
          <w:sz w:val="20"/>
          <w:szCs w:val="20"/>
          <w:color w:val="auto"/>
        </w:rPr>
      </w:pPr>
    </w:p>
    <w:p>
      <w:pPr>
        <w:ind w:firstLine="324"/>
        <w:spacing w:after="0" w:line="222"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determination of which level within the fair value hierarchy is appropriate for any given investment is based on the lowest level of input that is significant to the fair value</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measurement. The Company’s assessment of the significance of a particular input to the fair value measurement in its entirety requires judgment and considers factors specific to the instrument.</w:t>
      </w:r>
    </w:p>
    <w:p>
      <w:pPr>
        <w:spacing w:after="0" w:line="157"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As of June 30, 2024 and December 31, 2023, the fair values of cash, restricted cash, accounts receivable, due from related parties, accounts payable and certain accrued liabilities approximate their carrying amounts due to the short-term nature of these items.</w:t>
      </w:r>
    </w:p>
    <w:p>
      <w:pPr>
        <w:spacing w:after="0" w:line="200" w:lineRule="exact"/>
        <w:rPr>
          <w:sz w:val="20"/>
          <w:szCs w:val="20"/>
          <w:color w:val="auto"/>
        </w:rPr>
      </w:pPr>
    </w:p>
    <w:p>
      <w:pPr>
        <w:spacing w:after="0" w:line="3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following table summarizes the categorization and fair value estimate of the Company’s financial instruments that were measured on a recurring basis pursuant to the above fair value hierarchy levels as of December 31,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91,174</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Company held no financial instruments subject to fair value measurement as of June 30, 2024. The Company had no transfers between fair value levels during the three and six months ended June 30, 2024 and 2023.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the Company’s investment in U.S. Treasury securities is presented within Investments in short-term marketable debt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securities on the Condensed Consolidated Statements of Financial Condition, and the aggregate cost basis of the investment was $89.3 million. These U.S. Treasury securities matured in January 2024. The Company had nominal net realized and unrealized gains (losses) on these investments for the three and six months ended June 30, 2024, and $0.3 million and $0.7 million for the three and six months ended June 30, 2023,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Capital Holdings LP</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28, 2019, a reorganization of the existing investment banking advisory and asset management businesses of PWP Holdings LP was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effected which resulted in the spin-off of its asset management business (the “Separation”). PWP Holdings LP was divided into (i) PWP OpCo, which holds the advisory business and (ii) PWP Capital Holdings LP (“Capital Holdings”), which holds the asset management business. In connection with the Separation, the Company entered into a transition services agreement (the “TSA”) with Capital Holdings under which the Company agreed to provide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certain administrative services to Capital Holdings. The TSA was terminated as of January 1, 2024. The Company also subleased certain portions of its office space to Capital Holdings through October 2023. Income earned from Capital Holdings related to the TSA and the sublease is presented within Related party income in the Condensed Consolidated Statements of Operations. Amounts due from Capital Holdings are reflected as Due from related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on the Condensed Consolidated Statements of Financial Condition as of December 31, 2023, with no amounts due as of June 30, 2024.</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Separately, Capital Holdings entered into an arrangement with certain employees of the Company, including members of management, related to services provided directly to Capital Holdings. With respect to services provided to Capital Holdings, the amounts paid and payable to such employees now</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in the future are recognized by Capital Holdings. All compensation related to services these employees provide to the Company are included in Compensation and benefits in the Condensed Consolidated Statements of Operations.</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with PWP OpCo, Professional Partners and ILPs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June 30, 2024, the Company had an amount due of $33.8 million pursuant to the tax receivable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agreement, which represents management’s best estimate of the amounts currently expected to be owed in connection with the tax receivable agreement for the Business Combination and subsequent exchanges made to date and is reported within Amount due pursuant to tax receivable agreement on the Condensed Consolidated Statements of Financial Condition. The Company expects to make the following payments with respect to the tax receivable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which are exclusive of potential payments in respect of future exchanges and may differ significantly from actual payments made: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Payments Under</w:t>
            </w:r>
          </w:p>
        </w:tc>
      </w:tr>
      <w:tr>
        <w:trPr>
          <w:trHeight w:val="252"/>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Tax Receivable Agreement</w:t>
            </w:r>
          </w:p>
        </w:tc>
      </w:tr>
      <w:tr>
        <w:trPr>
          <w:trHeight w:val="27"/>
        </w:trPr>
        <w:tc>
          <w:tcPr>
            <w:tcW w:w="9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7"/>
        </w:trPr>
        <w:tc>
          <w:tcPr>
            <w:tcW w:w="9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7"/>
        </w:trPr>
        <w:tc>
          <w:tcPr>
            <w:tcW w:w="9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25,658</w:t>
            </w:r>
          </w:p>
        </w:tc>
      </w:tr>
      <w:tr>
        <w:trPr>
          <w:trHeight w:val="27"/>
        </w:trPr>
        <w:tc>
          <w:tcPr>
            <w:tcW w:w="9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02"/>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33,845</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Promissory Notes and Other Partner Loans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loaned money pursuant to promissory note agreements (the “Partner Promissory Notes”) to certain partners. The Partner Promissory Notes bear interest at a semi-annual rate equal to the Federal Mid-Term Rate. The Partner Promissory Notes are due on various dates or in the event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partner is terminated or leaves at will and are primarily secured by the partner’s equity interests in PWP OpCo or one of its affiliates. As the Partner Promissory Notes and associated interest receivable relate to equity transactions, they have been recognized as a reduction of equity on the Condensed Consolidated Statements of Financial Condition in the amounts of $1.2 million and $2.1 million as of June 30, 2024 and December 31, 2023. During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six months ended June 30, 2024, $0.9 million of principal and interest related to Partner Promissory Notes was effectively repaid through the cancellation of PWP OpCo units held by such partners. During the six months ended June 30, 2023, $1.5 million was effectively repaid by foregoing the amount due to such partners under deferred compensation agreements.</w:t>
      </w:r>
    </w:p>
    <w:p>
      <w:pPr>
        <w:spacing w:after="0" w:line="17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In November 2021, PWP OpCo agreed to provide loans to certain partners. As of June 30, 2024 and December 31, 2023, $3.6 million and $3.5 million, respectively, of outstanding loans to certain partners and related interest receivable are recognized in Due from related parties on the Condensed Consolidated Statements of Financial Condition.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Merger on April 1, 2024 was effected to simplify the structure for the partners in Professional Partners with respect to their indirect interests in PWP OpCo. The purpose of the related Vesting Acceleration was to facilitate the payment of taxes associated with ACU vesting to align with the treatment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of vested restricted stock units of the Company. Certain holders of these interests in PWP OpCo, including holders of Accelerated Units, are directors and officers of the Company. Refer to Note 11—Equity-Based Compensation for additional information on the Merger and related transactions.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Prior to the Merger, the Company’s U.K. subsidiary, Perella Weinberg UK Limited, as well as Professional Partners and certain partners (including one</w:t>
      </w:r>
    </w:p>
    <w:p>
      <w:pPr>
        <w:spacing w:after="0" w:line="1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partner who serves as a Company director and president) were party to a reimbursement agreement, pursuant to which such partners directed Professional Partners to pay distributions related to certain of their Professional Partners Awards first to a subsidiary of the Company, so that the subsidiary could make employment income tax payments on such distributions to the appropriate non-U.S. authorities.</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0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The Company enters into certain contracts that contain a variety of indemnification provisions. The Company’s maximum exposure under these arrangements is unknown. As of June 30, 2024 and December 31, 2023, the Company expects no claims or losses pursuant to these contracts; therefore, no liability has been recorded related to these indemnification provisions.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June 30, 2024 and December 31, 2023 and for the three and six months ended June 30, 2024 and 2023.</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In 2015, the Company filed a complaint against three former partners and one former employee which alleges they entered into a scheme while at PWP to lift out the Company’s restructuring group to form a new competing firm that they were secretly forming in breach of their contractual and fiduciary duties. The complaint contains 14 causes of action and seeks declaratory relief as well as damages. Trial is currently scheduled for January 24,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February 14, 2025.</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incurred $3.6 million and $5.9 million during the three and six months ended June 30, 2024, respectively, and immaterial amounts during the three and six months ended June 30, 2023 in legal and professional fees, net of expected insurance reimbursement, related to this litigation.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litigation costs are included in Professional fees in the Condensed Consolidated Statements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17—Business Information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activities of providing advisory services for M&amp;A, private placements and financial advisory, as well as services for underwriting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securities offered for sale in public markets,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For the three months ended June 30, 2024, revenues of $137.9 million related to two individual clients, each accounting for more than 10% of aggregate revenue, while revenues of $17.0 million related to one individual client, which accounted for more than 10% of aggregate revenue for the three months ended June 30, 2023. For the six months ended June 30, 2024, revenues of $137.9 million related to two individual clients, each accounting for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more than 10% of aggregate revenue, while no individual client accounted for more than 10% of aggregate revenue for the six months ended June 30, 2023.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generates the revenues or holds the assets and therefore may not be indicative of the geography in which the Company’s clients are located: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7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134,782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322,477</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230,320</w:t>
            </w:r>
          </w:p>
        </w:tc>
        <w:tc>
          <w:tcPr>
            <w:tcW w:w="0" w:type="dxa"/>
            <w:vAlign w:val="bottom"/>
          </w:tcPr>
          <w:p>
            <w:pPr>
              <w:spacing w:after="0"/>
              <w:rPr>
                <w:sz w:val="1"/>
                <w:szCs w:val="1"/>
                <w:color w:val="auto"/>
              </w:rPr>
            </w:pP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66,651</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165,545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374,125</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2"/>
        </w:trPr>
        <w:tc>
          <w:tcPr>
            <w:tcW w:w="8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569,332</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645,510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761,108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18—Subsequent Events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issuance date of these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w:t>
      </w:r>
    </w:p>
    <w:p>
      <w:pPr>
        <w:spacing w:after="0" w:line="20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On July 31, 2024, the Company’s Board of Directors declared a cash dividend of $0.07 per outstanding share of Class A common stock. This dividend will be paid on September 16, 2024 to Class A common stockholders of record on September 5, 2024. Holders of Class B common stock will also receive dividends equal to the amount of dividends declared on 0.001 shares of Class A common stock.</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w:t>
      </w:r>
    </w:p>
    <w:p>
      <w:pPr>
        <w:spacing w:after="0" w:line="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i w:val="1"/>
          <w:iCs w:val="1"/>
          <w:color w:val="auto"/>
        </w:rPr>
        <w:t>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10-Q.</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are a leading global independent advisory firm that provides strategic and financial advice to clients across some of the most active industry sectors</w:t>
      </w:r>
    </w:p>
    <w:p>
      <w:pPr>
        <w:spacing w:after="0" w:line="1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5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For further information regarding our business, refer to “Part I. Item 1. Business” and “Part I. Item1A. Risk Factors” in the Company’s Annual Report on Form 10-K for the year ended December 31, 2023 as filed with the SEC on February 23,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Economic and global financial market conditions impact our financial performance. The market environment for advisory services is improving, driving increased dialogue and activity levels across the traditional M&amp;A markets.</w:t>
      </w:r>
    </w:p>
    <w:p>
      <w:pPr>
        <w:spacing w:after="0" w:line="14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Our core advisory services benefit from macroeconomic changes that impact our client base and lead them to consider business combinations, acquisitions and divestitures, capital raises and restructurings. We continue to invest in our platform to achieve scale, accelerate growth, and deliver value.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“Risk Factors” included in our Annual Report on Form 10-K for a discussion of some of the factors that can affect our performance.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operate in a highly competitive environment, and each revenue-generating engagement is separately solicited and negotiated. Our fee-paying client engagements are not predictable, and we may experience fluctuations in revenues from quarter to quarter. To develop new business, we maintain an active business dialogue with existing and potential clients, and we expect to add new clients each year through expanding our relationships, hiring senior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advisory professionals, and receiving introductions from our relationship network. However, we also lose clients each year due to various factors, such as sales or mergers, changes in clients’ senior management, and competition from other financial services firms.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recognition is often tied to the completion of a transaction, which can be delayed or terminated due to various reasons, including failure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obtain regulatory or board approval, failure to secure financing, or adverse market conditions. Larger transactions may take longer to close, adding unpredictability to the timing of revenues. Despite our efforts, we may receive lower advisory fees or no fee at all if a transaction is not completed. Other barriers to the completion of restructuring transactions include a lack of anticipated bidders, failure to obtain court approval, or a failure to reach 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 creditors. In such cases, our advisory fees may be limited to monthly retainer fees plus the reimbursement of expenses.</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We do not present our revenue by the type of advice we provide because of the complexity of the transactions on which we may earn revenue and our holistic approach to client service. For instance, a traditional M&amp;A engagement may require additional advisory services, such as capital markets or capital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solutions advice or a private capital raise, which may call for cross-functional expertise from our professionals. We focus on dedicating the necessary resources and expertise to each engagement, regardless of product lines, to achieve the desired outcome for our clients. Consequently, tracking the type of advisory service offered in each instance is not practical.</w:t>
      </w:r>
    </w:p>
    <w:p>
      <w:pPr>
        <w:spacing w:after="0" w:line="200" w:lineRule="exact"/>
        <w:rPr>
          <w:sz w:val="20"/>
          <w:szCs w:val="20"/>
          <w:color w:val="auto"/>
        </w:rPr>
      </w:pPr>
    </w:p>
    <w:p>
      <w:pPr>
        <w:spacing w:after="0" w:line="3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operating expenses are classified as (i) total compensation and benefits expenses, including equity-based compensation, and (ii) non-compensation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and benefits expenses consist of salaries, bonuses (discretionary awards and guaranteed amounts), severance, payroll and related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taxes, benefits, and the amortization of equity-based compensation awards that are subject to a service-based vesting condition, and in some cases, a market-based performance vesting condition. These expenses also include signing bonuses and compensation paid pursuant to guarantees for new hires.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is determined by management based on revenues earned, headcount, labor market conditions, and anticipated compensation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requirements for our employees. Such factors can fluctuate, including headcount and revenues earned, and as a result, our compensation expenses may fluctuate materially in any particular period.</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to the Merger, the amortization expense for certain equity-based awards granted by Professional Partners was allocated fully to non-controlling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interests. As a result of the Merger, these awards are considered granted by PWP OpCo and PWP OpCo as a whole bears the cost of the cash settlement feature of the awards, which was added in conjunction with the Merger. As a result, subsequent to the Merger, the Company allocates the costs associated with these awards between Perella Weinberg Partners and non-controlling interests in proportion to their ownership interests, which is consistent with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of the other profit and loss activity of PWP OpCo.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Non-Compensation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non-compensation expenses include the costs of professional fees, technology and infrastructure, rent and occupancy, travel and related expenses,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depreciation and amortization and general, administrative and other expenses. Our non-compensation expenses also include certain expenses reimbursed by our clients. Overall, our non-compensation expenses are subject to variability due to multiple factors, including headcount, business needs, and inflation.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202" w:lineRule="exact"/>
        <w:rPr>
          <w:sz w:val="20"/>
          <w:szCs w:val="20"/>
          <w:color w:val="auto"/>
        </w:rPr>
      </w:pPr>
    </w:p>
    <w:p>
      <w:pPr>
        <w:jc w:val="both"/>
        <w:ind w:right="20" w:firstLine="324"/>
        <w:spacing w:after="0" w:line="226" w:lineRule="auto"/>
        <w:rPr>
          <w:sz w:val="20"/>
          <w:szCs w:val="20"/>
          <w:color w:val="auto"/>
        </w:rPr>
      </w:pPr>
      <w:r>
        <w:rPr>
          <w:rFonts w:ascii="Times New Roman" w:cs="Times New Roman" w:eastAsia="Times New Roman" w:hAnsi="Times New Roman"/>
          <w:sz w:val="18"/>
          <w:szCs w:val="18"/>
          <w:color w:val="auto"/>
        </w:rPr>
        <w:t>Non-operating income (expenses) includes the impact of income and expense items that we consider to be non-operational in nature, which typically includes related party income, interest income and expense, and other non-operating gains (losses), including the impact of foreign exchange rate fluctuations.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Non-controlling interests represent the ownership interests in PWP OpCo held by holders other than Perella Weinberg Partners, which are current and former working partners and the ILP. Profits and losses of PWP OpCo are allocated to the non-controlling interests in proportion to their ownership interest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regardless of their basis, with an exception for certain equity-based compensation expense which was fully attributed to non-controlling interests prior to the Merger.</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2"/>
        </w:trPr>
        <w:tc>
          <w:tcPr>
            <w:tcW w:w="7240" w:type="dxa"/>
            <w:vAlign w:val="bottom"/>
            <w:gridSpan w:val="12"/>
          </w:tcPr>
          <w:p>
            <w:pPr>
              <w:ind w:left="34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respective periods indicated: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77"/>
        </w:trPr>
        <w:tc>
          <w:tcPr>
            <w:tcW w:w="2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0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400" w:type="dxa"/>
            <w:vAlign w:val="bottom"/>
          </w:tcPr>
          <w:p>
            <w:pPr>
              <w:spacing w:after="0"/>
              <w:rPr>
                <w:sz w:val="24"/>
                <w:szCs w:val="24"/>
                <w:color w:val="auto"/>
              </w:rPr>
            </w:pPr>
          </w:p>
        </w:tc>
      </w:tr>
      <w:tr>
        <w:trPr>
          <w:trHeight w:val="238"/>
        </w:trPr>
        <w:tc>
          <w:tcPr>
            <w:tcW w:w="2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0" w:type="dxa"/>
            <w:vAlign w:val="bottom"/>
          </w:tcPr>
          <w:p>
            <w:pPr>
              <w:spacing w:after="0"/>
              <w:rPr>
                <w:sz w:val="20"/>
                <w:szCs w:val="20"/>
                <w:color w:val="auto"/>
              </w:rPr>
            </w:pPr>
          </w:p>
        </w:tc>
      </w:tr>
      <w:tr>
        <w:trPr>
          <w:trHeight w:val="40"/>
        </w:trPr>
        <w:tc>
          <w:tcPr>
            <w:tcW w:w="25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5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00" w:type="dxa"/>
            <w:vAlign w:val="bottom"/>
          </w:tcPr>
          <w:p>
            <w:pPr>
              <w:spacing w:after="0"/>
              <w:rPr>
                <w:sz w:val="21"/>
                <w:szCs w:val="21"/>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r>
      <w:tr>
        <w:trPr>
          <w:trHeight w:val="27"/>
        </w:trPr>
        <w:tc>
          <w:tcPr>
            <w:tcW w:w="2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7"/>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271,998</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165,545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296,971</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w:t>
            </w:r>
          </w:p>
        </w:tc>
      </w:tr>
      <w:tr>
        <w:trPr>
          <w:trHeight w:val="257"/>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
        </w:trPr>
        <w:tc>
          <w:tcPr>
            <w:tcW w:w="2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3"/>
        </w:trPr>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176,179</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r>
      <w:tr>
        <w:trPr>
          <w:trHeight w:val="283"/>
        </w:trPr>
        <w:tc>
          <w:tcPr>
            <w:tcW w:w="2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160,498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42,212</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280%</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207,305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89,883</w:t>
            </w:r>
          </w:p>
        </w:tc>
        <w:tc>
          <w:tcPr>
            <w:tcW w:w="10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w:t>
            </w:r>
          </w:p>
        </w:tc>
      </w:tr>
      <w:tr>
        <w:trPr>
          <w:trHeight w:val="277"/>
        </w:trPr>
        <w:tc>
          <w:tcPr>
            <w:tcW w:w="2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310,471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148,428</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109%</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266,062</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r>
      <w:tr>
        <w:trPr>
          <w:trHeight w:val="283"/>
        </w:trPr>
        <w:tc>
          <w:tcPr>
            <w:tcW w:w="2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Non-compensation expenses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38,869</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75,351</w:t>
            </w:r>
          </w:p>
        </w:tc>
        <w:tc>
          <w:tcPr>
            <w:tcW w:w="10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r>
      <w:tr>
        <w:trPr>
          <w:trHeight w:val="277"/>
        </w:trPr>
        <w:tc>
          <w:tcPr>
            <w:tcW w:w="2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354,230</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187,297</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509,920</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341,413</w:t>
            </w:r>
          </w:p>
        </w:tc>
        <w:tc>
          <w:tcPr>
            <w:tcW w:w="100" w:type="dxa"/>
            <w:vAlign w:val="bottom"/>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w:t>
            </w:r>
          </w:p>
        </w:tc>
      </w:tr>
      <w:tr>
        <w:trPr>
          <w:trHeight w:val="277"/>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(278)%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(135,795)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(206)%</w:t>
            </w:r>
          </w:p>
        </w:tc>
      </w:tr>
      <w:tr>
        <w:trPr>
          <w:trHeight w:val="248"/>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59"/>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84"/>
        </w:trPr>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Related party income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83"/>
        </w:trPr>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r>
        <w:trPr>
          <w:trHeight w:val="22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7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r>
        <w:trPr>
          <w:trHeight w:val="228"/>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r>
      <w:tr>
        <w:trPr>
          <w:trHeight w:val="27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(257)%</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(132,393)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(44,947)</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(195)%</w:t>
            </w:r>
          </w:p>
        </w:tc>
      </w:tr>
    </w:tbl>
    <w:p>
      <w:pPr>
        <w:spacing w:after="0" w:line="22" w:lineRule="exact"/>
        <w:rPr>
          <w:sz w:val="20"/>
          <w:szCs w:val="20"/>
          <w:color w:val="auto"/>
        </w:rPr>
      </w:pPr>
    </w:p>
    <w:p>
      <w:pPr>
        <w:sectPr>
          <w:pgSz w:w="11900" w:h="16838" w:orient="portrait"/>
          <w:cols w:equalWidth="0" w:num="1">
            <w:col w:w="11240"/>
          </w:cols>
          <w:pgMar w:left="320" w:top="1346" w:right="339" w:bottom="1440" w:gutter="0" w:footer="0" w:header="0"/>
        </w:sectPr>
      </w:pPr>
    </w:p>
    <w:p>
      <w:pPr>
        <w:ind w:left="60"/>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54" w:lineRule="exact"/>
        <w:rPr>
          <w:sz w:val="20"/>
          <w:szCs w:val="20"/>
          <w:color w:val="auto"/>
        </w:rPr>
      </w:pPr>
    </w:p>
    <w:p>
      <w:pPr>
        <w:ind w:left="20" w:right="460"/>
        <w:spacing w:after="0" w:line="226" w:lineRule="auto"/>
        <w:rPr>
          <w:sz w:val="20"/>
          <w:szCs w:val="20"/>
          <w:color w:val="auto"/>
        </w:rPr>
      </w:pPr>
      <w:r>
        <w:rPr>
          <w:rFonts w:ascii="Times New Roman" w:cs="Times New Roman" w:eastAsia="Times New Roman" w:hAnsi="Times New Roman"/>
          <w:sz w:val="18"/>
          <w:szCs w:val="18"/>
          <w:color w:val="auto"/>
        </w:rPr>
        <w:t>Less: Net income (loss) attributable to non-controlling interests</w:t>
      </w:r>
    </w:p>
    <w:tbl>
      <w:tblPr>
        <w:tblLayout w:type="fixed"/>
        <w:tblInd w:w="20" w:type="dxa"/>
        <w:tblCellMar>
          <w:top w:w="0" w:type="dxa"/>
          <w:left w:w="0" w:type="dxa"/>
          <w:bottom w:w="0" w:type="dxa"/>
          <w:right w:w="0" w:type="dxa"/>
        </w:tblCellMar>
      </w:tblPr>
      <w:tr>
        <w:trPr>
          <w:trHeight w:val="190"/>
        </w:trPr>
        <w:tc>
          <w:tcPr>
            <w:tcW w:w="25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80" w:type="dxa"/>
            <w:vAlign w:val="bottom"/>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18,452</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2"/>
                <w:szCs w:val="22"/>
                <w:color w:val="auto"/>
              </w:rPr>
            </w:pPr>
          </w:p>
        </w:tc>
        <w:tc>
          <w:tcPr>
            <w:tcW w:w="14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NM</w:t>
            </w:r>
          </w:p>
        </w:tc>
      </w:tr>
      <w:tr>
        <w:trPr>
          <w:trHeight w:val="277"/>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(80,845)</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(150,845)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(45,690)</w:t>
            </w:r>
          </w:p>
        </w:tc>
        <w:tc>
          <w:tcPr>
            <w:tcW w:w="100" w:type="dxa"/>
            <w:vAlign w:val="bottom"/>
          </w:tcPr>
          <w:p>
            <w:pPr>
              <w:spacing w:after="0"/>
              <w:rPr>
                <w:sz w:val="24"/>
                <w:szCs w:val="24"/>
                <w:color w:val="auto"/>
              </w:rPr>
            </w:pP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(230)%</w:t>
            </w:r>
          </w:p>
        </w:tc>
      </w:tr>
      <w:tr>
        <w:trPr>
          <w:trHeight w:val="594"/>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(14,817)</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(18,629)</w:t>
            </w:r>
          </w:p>
        </w:tc>
        <w:tc>
          <w:tcPr>
            <w:tcW w:w="8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(40,926)</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372"/>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(66,028)</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24"/>
                <w:szCs w:val="24"/>
                <w:color w:val="auto"/>
              </w:rPr>
            </w:pPr>
          </w:p>
        </w:tc>
        <w:tc>
          <w:tcPr>
            <w:tcW w:w="1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(101,872)</w:t>
            </w:r>
          </w:p>
        </w:tc>
        <w:tc>
          <w:tcPr>
            <w:tcW w:w="1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00" w:type="dxa"/>
            <w:vAlign w:val="bottom"/>
          </w:tcPr>
          <w:p>
            <w:pPr>
              <w:spacing w:after="0"/>
              <w:rPr>
                <w:sz w:val="24"/>
                <w:szCs w:val="24"/>
                <w:color w:val="auto"/>
              </w:rPr>
            </w:pPr>
          </w:p>
        </w:tc>
        <w:tc>
          <w:tcPr>
            <w:tcW w:w="1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-281940</wp:posOffset>
            </wp:positionV>
            <wp:extent cx="7132320" cy="282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-847725</wp:posOffset>
            </wp:positionV>
            <wp:extent cx="71323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29" w:lineRule="exact"/>
        <w:rPr>
          <w:sz w:val="20"/>
          <w:szCs w:val="20"/>
          <w:color w:val="auto"/>
        </w:rPr>
      </w:pPr>
    </w:p>
    <w:p>
      <w:pPr>
        <w:sectPr>
          <w:pgSz w:w="11900" w:h="16838" w:orient="portrait"/>
          <w:cols w:equalWidth="0" w:num="2">
            <w:col w:w="2660" w:space="600"/>
            <w:col w:w="7980"/>
          </w:cols>
          <w:pgMar w:left="320" w:top="1346" w:right="339" w:bottom="144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05"/>
        </w:trPr>
        <w:tc>
          <w:tcPr>
            <w:tcW w:w="8320" w:type="dxa"/>
            <w:vAlign w:val="bottom"/>
            <w:gridSpan w:val="11"/>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revenue statistics for the three and six months ended June 30, 2024 and 2023:</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73"/>
        </w:trPr>
        <w:tc>
          <w:tcPr>
            <w:tcW w:w="2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400" w:type="dxa"/>
            <w:vAlign w:val="bottom"/>
          </w:tcPr>
          <w:p>
            <w:pPr>
              <w:spacing w:after="0"/>
              <w:rPr>
                <w:sz w:val="24"/>
                <w:szCs w:val="24"/>
                <w:color w:val="auto"/>
              </w:rPr>
            </w:pPr>
          </w:p>
        </w:tc>
      </w:tr>
      <w:tr>
        <w:trPr>
          <w:trHeight w:val="243"/>
        </w:trPr>
        <w:tc>
          <w:tcPr>
            <w:tcW w:w="2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0" w:type="dxa"/>
            <w:vAlign w:val="bottom"/>
          </w:tcPr>
          <w:p>
            <w:pPr>
              <w:spacing w:after="0"/>
              <w:rPr>
                <w:sz w:val="21"/>
                <w:szCs w:val="21"/>
                <w:color w:val="auto"/>
              </w:rPr>
            </w:pPr>
          </w:p>
        </w:tc>
      </w:tr>
      <w:tr>
        <w:trPr>
          <w:trHeight w:val="27"/>
        </w:trPr>
        <w:tc>
          <w:tcPr>
            <w:tcW w:w="2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7"/>
        </w:trPr>
        <w:tc>
          <w:tcPr>
            <w:tcW w:w="25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2024 vs. 2023</w:t>
            </w:r>
          </w:p>
        </w:tc>
      </w:tr>
      <w:tr>
        <w:trPr>
          <w:trHeight w:val="26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Advisory Clients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Clients with Fees Greater</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than $1.0 million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79" w:lineRule="exact"/>
        <w:rPr>
          <w:sz w:val="20"/>
          <w:szCs w:val="20"/>
          <w:color w:val="auto"/>
        </w:rPr>
      </w:pPr>
    </w:p>
    <w:p>
      <w:pPr>
        <w:jc w:val="both"/>
        <w:ind w:right="20" w:firstLine="324"/>
        <w:spacing w:after="0" w:line="222" w:lineRule="auto"/>
        <w:rPr>
          <w:sz w:val="20"/>
          <w:szCs w:val="20"/>
          <w:color w:val="auto"/>
        </w:rPr>
      </w:pPr>
      <w:r>
        <w:rPr>
          <w:rFonts w:ascii="Times New Roman" w:cs="Times New Roman" w:eastAsia="Times New Roman" w:hAnsi="Times New Roman"/>
          <w:sz w:val="18"/>
          <w:szCs w:val="18"/>
          <w:color w:val="auto"/>
        </w:rPr>
        <w:t>Revenues were $272.0 million for the three months ended June 30, 2024 as compared with $165.5 million for the three months ended June 30, 2023, representing an increase of 64%. The increase was attributable to increased mergers and acquisition and financing and capital solutions activity, driven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larger transactions and related fee events across the business.</w:t>
      </w:r>
    </w:p>
    <w:p>
      <w:pPr>
        <w:sectPr>
          <w:pgSz w:w="11900" w:h="16838" w:orient="portrait"/>
          <w:cols w:equalWidth="0" w:num="1">
            <w:col w:w="11240"/>
          </w:cols>
          <w:pgMar w:left="320" w:top="1346" w:right="3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type w:val="continuous"/>
        </w:sectPr>
      </w:pPr>
    </w:p>
    <w:bookmarkStart w:id="29" w:name="page30"/>
    <w:bookmarkEnd w:id="29"/>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Revenues were $374.1 million for the six months ended June 30, 2024 as compared with $297.0 million for the six months ended June 30, 2023, representing an increase of 26%. Similar to the quarter-to-date period, revenues attributed to mergers and acquisition and financing and capital solutions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were higher year-over-year, driven by larger transactions and related fee events across the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June 30, 2024, total compensation and benefits expenses were $310.5 million, an increase of 109% compared with $148.4</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million for the three months ended June 30, 2023. The substantial increase in total compensation and benefits expenses was primarily the result of the Vesting Acceleration of the Professional Partners Awards that resulted in $130.0 million of equity-based compensation expense for those awards for the three months ended June 30, 2024, compared to $15.2 million of equity-based compensation expense in the prior year period for those same awards.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overall increase was also driven by higher equity-based compensation expense from the phase-in of our annual award grants and by a higher bonus accrual in the current year period due to a higher revenue base.</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2024, total compensation and benefits expenses were $425.9 million, an increase of 60% compared with $266.1</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million for the six months ended June 30, 2023. Consistent with the three months ended period, the increase in total compensation and benefits expenses was primarily the result of higher equity-based compensation expense as well as a higher bonus accrual due to increased revenues. The Vesting Acceleration resulted in $144.0 million of equity-based compensation related to the Professional Partners Awards as compared to $32.3 million in the prior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period for those same awards.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Non-Compensation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June 30, 2024, total non-compensation expenses were $43.8 million, an increase of 13% compared with $38.9 million for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three months ended June 30, 2023. The increase in non-compensation expenses was primarily the result of increased legal and consulting spend, bad debt expense, and higher depreciation expense due to new assets being placed in service subsequent to the second quarter of 2023 related to the renovation of the New York office space. These increases were partially offset by lower rent costs and reduced VAT expense.</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For the six months ended June 30, 2024, total non-compensation expenses were $84.1 million, an increase of 12% compared with $75.4 million for the six months ended June 30, 2023. Consistent with the three months ended period, the increase in non-compensation expenses was primarily the result of increased legal and consulting spend, bad debt expense, as well as higher depreciation expense due to the timing of leasehold assets being placed in service</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from our New York and London office renovation and relocation. These increases were partially offset by reduced rent costs, VAT expense, and D&amp;O insurance costs.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For the three months ended June 30, 2024, non-operating income was $0.7 million compared with non-operating expenses of $(1.1) million for the three months ended June 30, 2023. In the current period, non-operating income included interest income partially offset by a loss on fixed asset disposals and a net loss from foreign exchange rate fluctuations. In comparison to the current year, non-operating expenses for the three months ended June 30, 2023</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included slightly lower interest income, a larger net loss from foreign exchange rate fluctuations, and a non-operating loss on investment. For both periods, the impact of foreign exchange rate fluctuations was largely related to U.S. dollar-denominated cash and intercompany receivables held by our foreign subsidiaries.</w:t>
      </w:r>
    </w:p>
    <w:p>
      <w:pPr>
        <w:spacing w:after="0" w:line="172" w:lineRule="exact"/>
        <w:rPr>
          <w:sz w:val="20"/>
          <w:szCs w:val="20"/>
          <w:color w:val="auto"/>
        </w:rPr>
      </w:pPr>
    </w:p>
    <w:p>
      <w:pPr>
        <w:jc w:val="both"/>
        <w:ind w:firstLine="324"/>
        <w:spacing w:after="0" w:line="213" w:lineRule="auto"/>
        <w:rPr>
          <w:sz w:val="20"/>
          <w:szCs w:val="20"/>
          <w:color w:val="auto"/>
        </w:rPr>
      </w:pPr>
      <w:r>
        <w:rPr>
          <w:rFonts w:ascii="Times New Roman" w:cs="Times New Roman" w:eastAsia="Times New Roman" w:hAnsi="Times New Roman"/>
          <w:sz w:val="18"/>
          <w:szCs w:val="18"/>
          <w:color w:val="auto"/>
        </w:rPr>
        <w:t>For the six months ended June 30, 2024, non-operating income was $3.4 million compared with non-operating expenses of $(0.5) million for the six months ended June 30, 2023. In the current period, non-operating income included interest income, which increased from the prior year due to higher interest rates and larger interest-bearing cash balances. Non-operating expenses in the prior year period primarily included interest income offset by a non-operating loss on investment as well as a net loss from foreign exchange rate fluctuations as compared to a nominal net gain during the six months ended</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June 30, 2024. For both periods, the impact of foreign exchange rate fluctuations was largely related to U.S. dollar-denominated cash and intercompany receivables held by our foreign subsidiaries.</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income tax benefit and effective tax rate were $(0.6) million and 0.8%, respectively, for the three months ended June 30, 2024</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compared to an income tax benefit and effective tax rate of $(4.5) million and 19.9%, respectively, for the three months ended June 30, 2023. The change in the effective tax rate was primarily due to the relative size of our permanent differences in relation to the pre-tax loss in the respective periods.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income tax expense and effective tax rate were $18.5 million and (13.9)%, respectively, for the six months ended June 30, 2024</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compared to an income tax expense and effective tax rate of $0.7 million and (1.7)%, respectively, for the six months ended June 30, 2023. The change in the effective tax rate was primarily due to the relative size of our permanent differences in relation to the pre-tax loss in the respective periods, which was partially offset by the recognition of tax benefits associated with the appreciation in our share price upon vesting of RSUs above the original grant price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and cash equivalents, working capital assets and liabilities, commitments and other liquidity requirements. Our primary sources of liquidity are generally our cash balances, investments in short-term marketable debt securities, the net cash generated from operations, and the available borrowing capacity under our Revolving Credit Facility. Our primary cash needs are for working capital,</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operating expenses (including cash compensation for our employees), repurchasing shares of the Company’s Class A common stock, withholding tax payments for vested PWP Incentive Plan Awards, cash-settled exchanges of PWP OpCo Units, income taxes, dividends and distributions, capital expenditures, making payments pursuant to the tax receivable agreement, commitments, and strategic investments. We generally pay a significant portion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of our annual cash incentive compensation during the first quarter of each calendar year with respect to the prior year’s results. Therefore, levels of cash and/or investments in short-term marketable debt securities generally decline during the first quarter and build over the remainder of the year.</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current assets are primarily composed of cash, receivables related to fees earned from providing advisory services, certain prepaid expenses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certain amounts due from related parties. Our current liabilities are primarily composed of accrued employee compensation, accounts payable and other accrued expenses. Cash includes cash held at banks, including interest-bearing money market accounts. As of June 30, 2024 and December 31, 2023, we had cash balances of $185.3 million and $247.2 million, respectively, and as of December 31, 2023, investments in short-term marketable debt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consisting entirely of U.S. Treasury securities, of $91.2 million.</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Our liquidity is highly dependent upon cash receipts from clients, which generally require the successful completion of transactions. Accounts receivable typically have net terms of 30 days. Accounts receivable were $90.5 million, net of a $1.2 million allowance for credit losses balance as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Accounts receivable were $47.8 million, net of a $2.2 million allowance for credit losses balance as of December 31, 2023.</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We have a Revolving Credit Facility with Cadence Bank with an available line of credit of $50.0 million. Additionally, up to $20.0 million of incremental revolving commitments above the $50.0 million commitment amount may be incurred under the Credit Agreement. As of June 30, 2024, we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had no outstanding balance related to the Revolving Credit Facility and no incremental revolving commitments were incurred. For further information on the Revolving Credit Facility, refer to Note 10—Debt in the notes to condensed consolidated financial statements included elsewhere in this Form 10-Q.</w:t>
      </w:r>
    </w:p>
    <w:p>
      <w:pPr>
        <w:spacing w:after="0" w:line="15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March 1, 2024, we issued and sold 5,750,000 shares of Class A common stock at a price of $12.00 per share for net proceeds of $66.0 million after deducting underwriting discounts and offering costs.</w:t>
      </w:r>
    </w:p>
    <w:p>
      <w:pPr>
        <w:spacing w:after="0" w:line="149" w:lineRule="exact"/>
        <w:rPr>
          <w:sz w:val="20"/>
          <w:szCs w:val="20"/>
          <w:color w:val="auto"/>
        </w:rPr>
      </w:pPr>
    </w:p>
    <w:p>
      <w:pPr>
        <w:jc w:val="both"/>
        <w:ind w:firstLine="324"/>
        <w:spacing w:after="0" w:line="229" w:lineRule="auto"/>
        <w:rPr>
          <w:sz w:val="20"/>
          <w:szCs w:val="20"/>
          <w:color w:val="auto"/>
        </w:rPr>
      </w:pPr>
      <w:r>
        <w:rPr>
          <w:rFonts w:ascii="Times New Roman" w:cs="Times New Roman" w:eastAsia="Times New Roman" w:hAnsi="Times New Roman"/>
          <w:sz w:val="17"/>
          <w:szCs w:val="17"/>
          <w:color w:val="auto"/>
        </w:rPr>
        <w:t>During the second quarter of 2024, we paid or accrued a combined $86.6 million in settlement of ACUs in connection with the Vesting Acceleration. Refer to Note 11—Equity-Based Compensation in the notes to the condensed consolidated financial statements for further information regarding the Vesting Acceleration. Also during the second quarter of 2024, we elected to settle exchanges of certain PWP OpCo Units and corresponding shares of Class</w:t>
      </w:r>
    </w:p>
    <w:p>
      <w:pPr>
        <w:spacing w:after="0"/>
        <w:rPr>
          <w:sz w:val="20"/>
          <w:szCs w:val="20"/>
          <w:color w:val="auto"/>
        </w:rPr>
      </w:pPr>
      <w:r>
        <w:rPr>
          <w:rFonts w:ascii="Times New Roman" w:cs="Times New Roman" w:eastAsia="Times New Roman" w:hAnsi="Times New Roman"/>
          <w:sz w:val="18"/>
          <w:szCs w:val="18"/>
          <w:color w:val="auto"/>
        </w:rPr>
        <w:t>B common stock for $19.5 million in cash.</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Based on current market conditions, we believe that our cash on hand, net cash generated from operations and the available borrowing capacity under our Revolving Credit Facility will be sufficient to meet our operating needs and commitments for the next twelve months; however, if these sources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are not sufficient, we may seek additional debt or equity financing.</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our operating, investing and financing cash flows is as follows: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79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60" w:type="dxa"/>
            <w:vAlign w:val="bottom"/>
          </w:tcPr>
          <w:p>
            <w:pPr>
              <w:spacing w:after="0"/>
              <w:rPr>
                <w:sz w:val="22"/>
                <w:szCs w:val="22"/>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In) Operating Activities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(150,845)</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(45,690)</w:t>
            </w:r>
          </w:p>
        </w:tc>
        <w:tc>
          <w:tcPr>
            <w:tcW w:w="0" w:type="dxa"/>
            <w:vAlign w:val="bottom"/>
          </w:tcPr>
          <w:p>
            <w:pPr>
              <w:spacing w:after="0"/>
              <w:rPr>
                <w:sz w:val="1"/>
                <w:szCs w:val="1"/>
                <w:color w:val="auto"/>
              </w:rPr>
            </w:pPr>
          </w:p>
        </w:tc>
      </w:tr>
      <w:tr>
        <w:trPr>
          <w:trHeight w:val="284"/>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charges and other operating activity adjustments</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155,476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107,214</w:t>
            </w:r>
          </w:p>
        </w:tc>
        <w:tc>
          <w:tcPr>
            <w:tcW w:w="0" w:type="dxa"/>
            <w:vAlign w:val="bottom"/>
          </w:tcPr>
          <w:p>
            <w:pPr>
              <w:spacing w:after="0"/>
              <w:rPr>
                <w:sz w:val="1"/>
                <w:szCs w:val="1"/>
                <w:color w:val="auto"/>
              </w:rPr>
            </w:pPr>
          </w:p>
        </w:tc>
      </w:tr>
      <w:tr>
        <w:trPr>
          <w:trHeight w:val="28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(120,967)</w:t>
            </w:r>
          </w:p>
        </w:tc>
        <w:tc>
          <w:tcPr>
            <w:tcW w:w="8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(111,891)</w:t>
            </w:r>
          </w:p>
        </w:tc>
        <w:tc>
          <w:tcPr>
            <w:tcW w:w="0" w:type="dxa"/>
            <w:vAlign w:val="bottom"/>
          </w:tcPr>
          <w:p>
            <w:pPr>
              <w:spacing w:after="0"/>
              <w:rPr>
                <w:sz w:val="1"/>
                <w:szCs w:val="1"/>
                <w:color w:val="auto"/>
              </w:rPr>
            </w:pPr>
          </w:p>
        </w:tc>
      </w:tr>
      <w:tr>
        <w:trPr>
          <w:trHeight w:val="26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(116,336)</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(50,367)</w:t>
            </w:r>
          </w:p>
        </w:tc>
        <w:tc>
          <w:tcPr>
            <w:tcW w:w="0" w:type="dxa"/>
            <w:vAlign w:val="bottom"/>
          </w:tcPr>
          <w:p>
            <w:pPr>
              <w:spacing w:after="0"/>
              <w:rPr>
                <w:sz w:val="1"/>
                <w:szCs w:val="1"/>
                <w:color w:val="auto"/>
              </w:rPr>
            </w:pPr>
          </w:p>
        </w:tc>
      </w:tr>
      <w:tr>
        <w:trPr>
          <w:trHeight w:val="28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76,464</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56,477</w:t>
            </w:r>
          </w:p>
        </w:tc>
        <w:tc>
          <w:tcPr>
            <w:tcW w:w="0" w:type="dxa"/>
            <w:vAlign w:val="bottom"/>
          </w:tcPr>
          <w:p>
            <w:pPr>
              <w:spacing w:after="0"/>
              <w:rPr>
                <w:sz w:val="1"/>
                <w:szCs w:val="1"/>
                <w:color w:val="auto"/>
              </w:rPr>
            </w:pPr>
          </w:p>
        </w:tc>
      </w:tr>
      <w:tr>
        <w:trPr>
          <w:trHeight w:val="28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(50,083)</w:t>
            </w:r>
          </w:p>
        </w:tc>
        <w:tc>
          <w:tcPr>
            <w:tcW w:w="0" w:type="dxa"/>
            <w:vAlign w:val="bottom"/>
          </w:tcPr>
          <w:p>
            <w:pPr>
              <w:spacing w:after="0"/>
              <w:rPr>
                <w:sz w:val="1"/>
                <w:szCs w:val="1"/>
                <w:color w:val="auto"/>
              </w:rPr>
            </w:pPr>
          </w:p>
        </w:tc>
      </w:tr>
      <w:tr>
        <w:trPr>
          <w:trHeight w:val="28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6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(63,591)</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(41,756)</w:t>
            </w:r>
          </w:p>
        </w:tc>
        <w:tc>
          <w:tcPr>
            <w:tcW w:w="0" w:type="dxa"/>
            <w:vAlign w:val="bottom"/>
          </w:tcPr>
          <w:p>
            <w:pPr>
              <w:spacing w:after="0"/>
              <w:rPr>
                <w:sz w:val="1"/>
                <w:szCs w:val="1"/>
                <w:color w:val="auto"/>
              </w:rPr>
            </w:pPr>
          </w:p>
        </w:tc>
      </w:tr>
      <w:tr>
        <w:trPr>
          <w:trHeight w:val="28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250,102</w:t>
            </w:r>
          </w:p>
        </w:tc>
        <w:tc>
          <w:tcPr>
            <w:tcW w:w="8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174,166</w:t>
            </w:r>
          </w:p>
        </w:tc>
        <w:tc>
          <w:tcPr>
            <w:tcW w:w="0" w:type="dxa"/>
            <w:vAlign w:val="bottom"/>
          </w:tcPr>
          <w:p>
            <w:pPr>
              <w:spacing w:after="0"/>
              <w:rPr>
                <w:sz w:val="1"/>
                <w:szCs w:val="1"/>
                <w:color w:val="auto"/>
              </w:rPr>
            </w:pP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186,511</w:t>
            </w:r>
          </w:p>
        </w:tc>
        <w:tc>
          <w:tcPr>
            <w:tcW w:w="80" w:type="dxa"/>
            <w:vAlign w:val="bottom"/>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132,410</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w:t>
      </w:r>
    </w:p>
    <w:p>
      <w:pPr>
        <w:spacing w:after="0" w:line="200"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Operating activities resulted in a net cash outflow of $116.3 million primarily attributable to an increase in client receivables and cash operating expense outflows, including the settlement of liability-classified ACUs during the second quarter and discretionary bonuses paid during the first quarter of 2024 with respect to prior year compensation expense.</w:t>
      </w:r>
    </w:p>
    <w:p>
      <w:pPr>
        <w:spacing w:after="0" w:line="171"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Investing activities resulted in a net cash inflow of $76.5 million attributable to the maturation of investments in U.S. Treasury securities partially offset by capital expenditures related to office space renovations.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Financing activities resulted in a net cash outflow of $23.0 million primarily due to withholding tax payments for vested PWP Incentive Plan Awards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equity-classified ACUs, the cash settlement of exchanges of PWP OpCo Units, share repurchases, dividend payments, and distributions to partners, all of which was partially offset by the issuance of 5,750,000 shares of Class A common stock for net proceeds of $66.0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2023</w:t>
      </w:r>
    </w:p>
    <w:p>
      <w:pPr>
        <w:spacing w:after="0" w:line="200"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Operating activities resulted in a net cash outflow of $50.4 million primarily attributable to cash operating expense outflows, including discretionary bonuses paid during the first quarter of 2023 with respect to prior year compensation expense, partially offset by cash collections from clients.</w:t>
      </w:r>
    </w:p>
    <w:p>
      <w:pPr>
        <w:spacing w:after="0" w:line="15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Investing activities resulted in a net cash inflow of $56.5 million largely attributable to the maturation of investments in U.S. Treasury securities, net of additional investments in U.S. Treasury securities as well as capital expenditures related to office space renovations.</w:t>
      </w:r>
    </w:p>
    <w:p>
      <w:pPr>
        <w:spacing w:after="0" w:line="14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Financing activities resulted in a net cash outflow of $50.1 million primarily related to the repurchase of shares pursuant to the stock repurchase program, withholding tax payments for vested PWP Incentive Plan Awards, distributions to partners, and dividend payments.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Our board of directors approved a stock repurchase program under which we are authorized to repurchase up to $200.0 million of our Class A common stock with no requirement to purchase any minimum number of shares. During the six months ended June 30, 2024, we repurchased 1,000,000 founder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at a purchase price of $15.00 per share. As of June 30, 2024, $93.8 million remains of the $200.0 million authorized for share repurchases.</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the limited partnership agreement of PWP OpCo, holders of PWP OpCo Units (other than the Company) may exchange these units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 (i) shares of Class A common stock on a one-for-one basis or (ii) cash from an offering of shares of Class A common stock and (iii) subsequent to the Merger, cash from any other source. Whether future exchanges are settled in cash or shares of Class A common stock is at our option and will depend on our liquidity and capital resources, market conditions, the timing and concentration of exchange elections and other factors. See Note 9—Stockholders’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Equity and Redeemable Non-Controlling Interests in the notes to the condensed consolidated financial statements included elsewhere in the Form 10-Q for further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Capital</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requirements may restrict the flow of funds to and from affiliates. Refer to Note 6—Regulatory Requirements in the notes to condensed consolidated financial statements included elsewhere in this Form 10-Q for further information. These regulations differ in the United States, United Kingdom, Canada, France and other countries in which we operate a registered broker-dealer or regionally similar construct. The license or regulatory framework under which</w:t>
      </w:r>
    </w:p>
    <w:p>
      <w:pPr>
        <w:spacing w:after="0" w:line="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7"/>
          <w:szCs w:val="17"/>
          <w:color w:val="auto"/>
        </w:rPr>
        <w:t>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200"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As of June 30, 2024, we had an amount due of $33.8 million pursuant to the tax receivable agreement, which represents management’s best estimate of the amounts currently expected to be owed in connection with the tax receivable agreement for the Business Combination and subsequent exchanges made to date. See Note 15—Related Party Transactions in the notes to the condensed consolidated financial statements included elsewhere in the Form 10-Q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as well as the expected timing of payments.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various non-cancelable operating leases for our office space and certain equipment. As of June 30, 2024, we had $181.5 million of operating</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lease liabilities. See Note 4—Leases in the notes to condensed consolidated financial statements included elsewhere in this Form 10-Q for further information as well as the expected timing of payments.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Credit Risk</w:t>
      </w:r>
    </w:p>
    <w:p>
      <w:pPr>
        <w:spacing w:after="0" w:line="20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Cash and Cash Equivalents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account balances exceed U.S. Federal Deposit Insurance Corporation (FDIC) coverage limits or the coverage limits of the relevant foreign deposit insurance system, as</w:t>
      </w:r>
    </w:p>
    <w:p>
      <w:pPr>
        <w:spacing w:after="0" w:line="1" w:lineRule="exact"/>
        <w:rPr>
          <w:sz w:val="20"/>
          <w:szCs w:val="20"/>
          <w:color w:val="auto"/>
        </w:rPr>
      </w:pPr>
    </w:p>
    <w:p>
      <w:pPr>
        <w:ind w:right="400"/>
        <w:spacing w:after="0" w:line="442" w:lineRule="auto"/>
        <w:rPr>
          <w:sz w:val="20"/>
          <w:szCs w:val="20"/>
          <w:color w:val="auto"/>
        </w:rPr>
      </w:pPr>
      <w:r>
        <w:rPr>
          <w:rFonts w:ascii="Times New Roman" w:cs="Times New Roman" w:eastAsia="Times New Roman" w:hAnsi="Times New Roman"/>
          <w:sz w:val="18"/>
          <w:szCs w:val="18"/>
          <w:color w:val="auto"/>
        </w:rPr>
        <w:t xml:space="preserve">applicable. We believe our cash and cash equivalents are not subject to any material interest rate risk, equity price risk, credit risk or other market risk. </w:t>
      </w:r>
      <w:r>
        <w:rPr>
          <w:rFonts w:ascii="Times New Roman" w:cs="Times New Roman" w:eastAsia="Times New Roman" w:hAnsi="Times New Roman"/>
          <w:sz w:val="18"/>
          <w:szCs w:val="18"/>
          <w:b w:val="1"/>
          <w:bCs w:val="1"/>
          <w:i w:val="1"/>
          <w:iCs w:val="1"/>
          <w:color w:val="auto"/>
        </w:rPr>
        <w:t>Credit Risk</w:t>
      </w:r>
    </w:p>
    <w:p>
      <w:pPr>
        <w:spacing w:after="0" w:line="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us. We maintain an allowance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for credit losses that, in our opinion, provides for an adequate reserve to cover current expected credit losses. Refer to Note 2—Summary of Significant Accounting Policies in the notes to condensed consolidated financial statements included elsewhere in this Form 10-Q for further information.</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we invest our excess cash, we manage our credit risk exposure by holding investments primarily with investment grade credit quality.</w:t>
      </w:r>
    </w:p>
    <w:p>
      <w:pPr>
        <w:spacing w:after="0" w:line="200" w:lineRule="exact"/>
        <w:rPr>
          <w:sz w:val="20"/>
          <w:szCs w:val="20"/>
          <w:color w:val="auto"/>
        </w:rPr>
      </w:pPr>
    </w:p>
    <w:p>
      <w:pPr>
        <w:spacing w:after="0" w:line="39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exposed to exchange rate risk as a result of having foreign subsidiaries with non-U.S. dollar functional currencies as well as from entering into</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transactions and holding monetary assets and liabilities that are not denominated in the functional currency of its operating subsidiaries. Specifically, the reported amounts in our consolidated financial statements may be affected by movements in the rate of exchange between the pound sterling, euro, and</w:t>
      </w:r>
    </w:p>
    <w:p>
      <w:pPr>
        <w:jc w:val="both"/>
        <w:spacing w:after="0" w:line="219" w:lineRule="auto"/>
        <w:rPr>
          <w:sz w:val="20"/>
          <w:szCs w:val="20"/>
          <w:color w:val="auto"/>
        </w:rPr>
      </w:pPr>
      <w:r>
        <w:rPr>
          <w:rFonts w:ascii="Times New Roman" w:cs="Times New Roman" w:eastAsia="Times New Roman" w:hAnsi="Times New Roman"/>
          <w:sz w:val="18"/>
          <w:szCs w:val="18"/>
          <w:color w:val="auto"/>
        </w:rPr>
        <w:t>Canadian dollar and our reporting currency, the U.S. dollar. For the six months ended June 30, 2024 and 2023, the net impact of non-functional currency related transaction gains (losses) recorded in Other income (expense) on our Condensed Consolidated Statements of Operations was $0.3 million and $(2.2)</w:t>
      </w:r>
    </w:p>
    <w:p>
      <w:pPr>
        <w:jc w:val="both"/>
        <w:spacing w:after="0" w:line="208" w:lineRule="auto"/>
        <w:rPr>
          <w:sz w:val="20"/>
          <w:szCs w:val="20"/>
          <w:color w:val="auto"/>
        </w:rPr>
      </w:pPr>
      <w:r>
        <w:rPr>
          <w:rFonts w:ascii="Times New Roman" w:cs="Times New Roman" w:eastAsia="Times New Roman" w:hAnsi="Times New Roman"/>
          <w:sz w:val="18"/>
          <w:szCs w:val="18"/>
          <w:color w:val="auto"/>
        </w:rPr>
        <w:t>million, respectively, primarily related to U.S. dollar-denominated cash and intercompany receivables held by our foreign subsidiaries as the strength of the U.S. dollar fluctuated. For the six months ended June 30, 2024 and 2023, the net impact from the fluctuation of foreign currencies recorded in Foreign currency translation gain (loss) within our Condensed Consolidated Statements of Comprehensive Income (Loss) was $(1.2) million and $3.5 million,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respectively. We have not entered into any transactions to hedge our exposure to these foreign currency fluctuations using derivative instruments or other methods but may do so if we deem appropriate in the future. As of June 30, 2024, we held cash balances of $27.4 million in non-U.S. dollar currencies, composed of pound sterling, euros, and Canadian dollars.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included elsewhere in this Form 10-Q are prepared in accordance with U.S. GAAP, which requires management to make estimates and assumptions that affect the reported amounts of assets, liabilities, revenues, expenses, and the disclosure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contingent assets and liabilities. Actual results could differ from those estimates. Estimates and the assumptions underlying these estimates are reviewed periodically, and the effects of revisions are reflected in the period in which they are determined to be necessary. For a discussion of our critical accounting estimates, refer to our Annual Report on Form 10-K filed on February 23,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set forth above in “Management’s Discussion and Analysis of Financial Condition and Results of Operations – Market Risk and Credit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jc w:val="both"/>
        <w:ind w:right="20" w:firstLine="324"/>
        <w:spacing w:after="0" w:line="222" w:lineRule="auto"/>
        <w:rPr>
          <w:sz w:val="20"/>
          <w:szCs w:val="20"/>
          <w:color w:val="auto"/>
        </w:rPr>
      </w:pPr>
      <w:r>
        <w:rPr>
          <w:rFonts w:ascii="Times New Roman" w:cs="Times New Roman" w:eastAsia="Times New Roman" w:hAnsi="Times New Roman"/>
          <w:sz w:val="18"/>
          <w:szCs w:val="18"/>
          <w:color w:val="auto"/>
        </w:rPr>
        <w:t>This Item 4 includes information concerning the controls and controls evaluation referred to in the certifications of our Chief Executive Officer and Chief Financial Officer required by Rule 13a-14 of the Securities Exchange Act of 1934, as amended (the “Exchange Act”) included in this Quarterly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on Form 10-Q as Exhibits 31.1 and 31.2.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In connection with the preparation of this Quarterly Report on Form 10-Q, our management, under the supervision and with the participation of our principal executive officer and principal financial officer, evaluated the effectiveness of the design and operation of our disclosure controls and procedures as of June 30, 2024. Based on that evaluation, our principal executive officer and principal financial officer concluded that our disclosure controls and</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six months ended June 30, 2024 that materially affected, or are reasonably likely to materially affect, our internal control over financial reporting.</w:t>
      </w:r>
    </w:p>
    <w:p>
      <w:pPr>
        <w:spacing w:after="0" w:line="200" w:lineRule="exact"/>
        <w:rPr>
          <w:sz w:val="20"/>
          <w:szCs w:val="20"/>
          <w:color w:val="auto"/>
        </w:rPr>
      </w:pPr>
    </w:p>
    <w:p>
      <w:pPr>
        <w:spacing w:after="0" w:line="3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71"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For details on the current legal proceedings, refer to Note 16—Commitments and Contingencies in the notes to condensed consolidated financial statements included elsewhere in this Form 10-Q.</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120" w:firstLine="324"/>
        <w:spacing w:after="0" w:line="237" w:lineRule="auto"/>
        <w:rPr>
          <w:sz w:val="20"/>
          <w:szCs w:val="20"/>
          <w:color w:val="auto"/>
        </w:rPr>
      </w:pPr>
      <w:r>
        <w:rPr>
          <w:rFonts w:ascii="Times New Roman" w:cs="Times New Roman" w:eastAsia="Times New Roman" w:hAnsi="Times New Roman"/>
          <w:sz w:val="18"/>
          <w:szCs w:val="18"/>
          <w:color w:val="auto"/>
        </w:rPr>
        <w:t>There have been no material changes or updates to our risk factors that were previously disclosed in “Part I. Item 1A. Risk Factors” in the Company’s Annual Report on Form 10-K for the year ended December 31, 2023 as filed with the SEC on February 23,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Equity Securities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repurchase of equity securities during the three months ended June 30, 2024:</w:t>
      </w:r>
    </w:p>
    <w:p>
      <w:pPr>
        <w:sectPr>
          <w:pgSz w:w="11900" w:h="16838" w:orient="portrait"/>
          <w:cols w:equalWidth="0" w:num="1">
            <w:col w:w="11240"/>
          </w:cols>
          <w:pgMar w:left="320" w:top="13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 2024 - April 30, 2024</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 2024 - May 31, 2024</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1, 2024 - June 30, 2024</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r>
      <w:tr>
        <w:trPr>
          <w:trHeight w:val="230"/>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20" w:type="dxa"/>
            <w:vAlign w:val="bottom"/>
          </w:tcPr>
          <w:p>
            <w:pPr>
              <w:spacing w:after="0"/>
              <w:rPr>
                <w:sz w:val="19"/>
                <w:szCs w:val="19"/>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yet to be Purchased Under</w:t>
            </w:r>
          </w:p>
        </w:tc>
      </w:tr>
      <w:tr>
        <w:trPr>
          <w:trHeight w:val="243"/>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1"/>
                <w:szCs w:val="21"/>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20" w:type="dxa"/>
            <w:vAlign w:val="bottom"/>
          </w:tcPr>
          <w:p>
            <w:pPr>
              <w:spacing w:after="0"/>
              <w:rPr>
                <w:sz w:val="21"/>
                <w:szCs w:val="21"/>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Publicly Announced Plans or</w:t>
            </w:r>
          </w:p>
        </w:tc>
      </w:tr>
      <w:tr>
        <w:trPr>
          <w:trHeight w:val="238"/>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 Unit</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7"/>
        </w:trPr>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77"/>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108,823,525</w:t>
            </w:r>
          </w:p>
        </w:tc>
      </w:tr>
      <w:tr>
        <w:trPr>
          <w:trHeight w:val="283"/>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108,823,525</w:t>
            </w:r>
          </w:p>
        </w:tc>
      </w:tr>
      <w:tr>
        <w:trPr>
          <w:trHeight w:val="283"/>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93,823,525</w:t>
            </w:r>
          </w:p>
        </w:tc>
      </w:tr>
      <w:tr>
        <w:trPr>
          <w:trHeight w:val="277"/>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-402590</wp:posOffset>
            </wp:positionV>
            <wp:extent cx="713232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-770890</wp:posOffset>
            </wp:positionV>
            <wp:extent cx="71323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250" w:lineRule="exact"/>
        <w:rPr>
          <w:sz w:val="20"/>
          <w:szCs w:val="20"/>
          <w:color w:val="auto"/>
        </w:rPr>
      </w:pPr>
    </w:p>
    <w:p>
      <w:pPr>
        <w:sectPr>
          <w:pgSz w:w="11900" w:h="16838" w:orient="portrait"/>
          <w:cols w:equalWidth="0" w:num="2">
            <w:col w:w="3180" w:space="720"/>
            <w:col w:w="7340"/>
          </w:cols>
          <w:pgMar w:left="320" w:top="1346" w:right="339" w:bottom="1440" w:gutter="0" w:footer="0" w:header="0"/>
          <w:type w:val="continuous"/>
        </w:sect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During the three months ended June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4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360" w:type="dxa"/>
            <w:vAlign w:val="bottom"/>
            <w:gridSpan w:val="7"/>
          </w:tcPr>
          <w:p>
            <w:pPr>
              <w:ind w:left="30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Certificate of Amendment to the Restated Certificate of Incorporation of Perella Weinberg Partners</w:t>
            </w:r>
          </w:p>
        </w:tc>
        <w:tc>
          <w:tcPr>
            <w:tcW w:w="0" w:type="dxa"/>
            <w:vAlign w:val="bottom"/>
          </w:tcPr>
          <w:p>
            <w:pPr>
              <w:spacing w:after="0"/>
              <w:rPr>
                <w:sz w:val="1"/>
                <w:szCs w:val="1"/>
                <w:color w:val="auto"/>
              </w:rPr>
            </w:pPr>
          </w:p>
        </w:tc>
      </w:tr>
      <w:tr>
        <w:trPr>
          <w:trHeight w:val="20"/>
        </w:trPr>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Oxley Act of 2002.</w:t>
            </w:r>
          </w:p>
        </w:tc>
        <w:tc>
          <w:tcPr>
            <w:tcW w:w="836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Oxley Act of 2002.</w:t>
            </w:r>
          </w:p>
        </w:tc>
        <w:tc>
          <w:tcPr>
            <w:tcW w:w="8160" w:type="dxa"/>
            <w:vAlign w:val="bottom"/>
            <w:tcBorders>
              <w:top w:val="single" w:sz="8" w:color="0000FF"/>
            </w:tcBorders>
            <w:gridSpan w:val="3"/>
          </w:tcPr>
          <w:p>
            <w:pPr>
              <w:spacing w:after="0"/>
              <w:rPr>
                <w:sz w:val="19"/>
                <w:szCs w:val="19"/>
                <w:color w:val="auto"/>
              </w:rPr>
            </w:pPr>
          </w:p>
        </w:tc>
        <w:tc>
          <w:tcPr>
            <w:tcW w:w="20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8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480" w:hanging="1454"/>
        <w:spacing w:after="0"/>
        <w:tabs>
          <w:tab w:leader="none" w:pos="1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7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6" w:name="page37"/>
    <w:bookmarkEnd w:id="36"/>
    <w:p>
      <w:pPr>
        <w:ind w:left="5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347" w:lineRule="exact"/>
        <w:rPr>
          <w:sz w:val="20"/>
          <w:szCs w:val="20"/>
          <w:color w:val="auto"/>
        </w:rPr>
      </w:pPr>
    </w:p>
    <w:p>
      <w:pPr>
        <w:ind w:left="20"/>
        <w:spacing w:after="0"/>
        <w:tabs>
          <w:tab w:leader="none" w:pos="6720" w:val="left"/>
          <w:tab w:leader="none" w:pos="7420" w:val="left"/>
        </w:tabs>
        <w:rPr>
          <w:sz w:val="20"/>
          <w:szCs w:val="20"/>
          <w:color w:val="auto"/>
        </w:rPr>
      </w:pPr>
      <w:r>
        <w:rPr>
          <w:rFonts w:ascii="Times New Roman" w:cs="Times New Roman" w:eastAsia="Times New Roman" w:hAnsi="Times New Roman"/>
          <w:sz w:val="18"/>
          <w:szCs w:val="18"/>
          <w:color w:val="auto"/>
        </w:rPr>
        <w:t>Date: August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49" w:lineRule="exact"/>
        <w:rPr>
          <w:sz w:val="20"/>
          <w:szCs w:val="20"/>
          <w:color w:val="auto"/>
        </w:rPr>
      </w:pPr>
    </w:p>
    <w:p>
      <w:pPr>
        <w:ind w:left="20"/>
        <w:spacing w:after="0"/>
        <w:tabs>
          <w:tab w:leader="none" w:pos="6720" w:val="left"/>
          <w:tab w:leader="none" w:pos="7420" w:val="left"/>
        </w:tabs>
        <w:rPr>
          <w:sz w:val="20"/>
          <w:szCs w:val="20"/>
          <w:color w:val="auto"/>
        </w:rPr>
      </w:pPr>
      <w:r>
        <w:rPr>
          <w:rFonts w:ascii="Times New Roman" w:cs="Times New Roman" w:eastAsia="Times New Roman" w:hAnsi="Times New Roman"/>
          <w:sz w:val="18"/>
          <w:szCs w:val="18"/>
          <w:color w:val="auto"/>
        </w:rPr>
        <w:t>Date: August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2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3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600"/>
          </w:cols>
          <w:pgMar w:left="320" w:top="1346" w:right="9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0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Pursuant to Section 242 of the General</w:t>
      </w:r>
    </w:p>
    <w:p>
      <w:pPr>
        <w:spacing w:after="0" w:line="2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Corporation Law of the State of Delaware (the “DGCL”)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Perella Weinberg Partners, a Delaware corporation (hereinafter called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FIRST: Clause (8) of Article FIFTH of the Corporation’s Restated Certificate of Incorporation is hereby amended to read in its entirety as set forth below:</w:t>
      </w:r>
    </w:p>
    <w:p>
      <w:pPr>
        <w:spacing w:after="0" w:line="54" w:lineRule="exact"/>
        <w:rPr>
          <w:sz w:val="20"/>
          <w:szCs w:val="20"/>
          <w:color w:val="auto"/>
        </w:rPr>
      </w:pPr>
    </w:p>
    <w:p>
      <w:pPr>
        <w:jc w:val="both"/>
        <w:ind w:left="660" w:hanging="328"/>
        <w:spacing w:after="0" w:line="253" w:lineRule="auto"/>
        <w:tabs>
          <w:tab w:leader="none" w:pos="5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director or Officer (as defined below) shall be personally liable to the Corporation or any of its stockholders for monetary damages for breach of fiduciary duty as a director or Officer;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required by the provisions of Section 102(b)(7) of the DGCL or any successor statute, or any other laws of the State of Delaware, this provision shall not eliminate or limit the liability of(i)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If the DGCL is amended after the date of this Restated Certificate of Incorporation to authorize the further elimination or limitation of the liability of directors or Officers, then the liability of a director or Officer of the Corporation, in addition to the limitation on personal liability provided in this Restated Certificate of Incorporation, shall be limited to the fullest extent permitted by the DGCL, as so amended. Any amendment, repeal or elimination of this Clause (8) of Article FIFTH shall not affect its application with respect to an act or omission by a director or Officer occurring before such amendment, repeal or elimination. All references in this Clause (8) of Article FIFTH to an “Officer” shall mean only a person who, at the time of an act or omission as to which liability is asserted, falls within the meaning of the term “officer,” as defined in Section 102(b)(7) of the DGCL.</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SECOND: The foregoing amendment was duly adopted in accordance with Section 242 of the DGCL.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240"/>
          </w:cols>
          <w:pgMar w:left="320" w:top="927" w:right="339" w:bottom="1440" w:gutter="0" w:footer="0" w:header="0"/>
        </w:sectPr>
      </w:pPr>
    </w:p>
    <w:bookmarkStart w:id="38" w:name="page39"/>
    <w:bookmarkEnd w:id="38"/>
    <w:p>
      <w:pPr>
        <w:ind w:left="320"/>
        <w:spacing w:after="0"/>
        <w:rPr>
          <w:sz w:val="20"/>
          <w:szCs w:val="20"/>
          <w:color w:val="auto"/>
        </w:rPr>
      </w:pPr>
      <w:r>
        <w:rPr>
          <w:rFonts w:ascii="Times New Roman" w:cs="Times New Roman" w:eastAsia="Times New Roman" w:hAnsi="Times New Roman"/>
          <w:sz w:val="17"/>
          <w:szCs w:val="17"/>
          <w:color w:val="auto"/>
        </w:rPr>
        <w:t>IN WITNESS WHEREOF, Perella Weinberg Partners has caused this Certificate to be duly executed in its corporate name this 24th day of May, 2024.</w:t>
      </w:r>
    </w:p>
    <w:p>
      <w:pPr>
        <w:spacing w:after="0" w:line="6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320" w:lineRule="exact"/>
        <w:rPr>
          <w:sz w:val="20"/>
          <w:szCs w:val="20"/>
          <w:color w:val="auto"/>
        </w:rPr>
      </w:pPr>
    </w:p>
    <w:p>
      <w:pPr>
        <w:spacing w:after="0"/>
        <w:tabs>
          <w:tab w:leader="none" w:pos="6700" w:val="left"/>
          <w:tab w:leader="none" w:pos="7400" w:val="left"/>
        </w:tabs>
        <w:rPr>
          <w:sz w:val="20"/>
          <w:szCs w:val="20"/>
          <w:color w:val="auto"/>
        </w:rPr>
      </w:pPr>
      <w:r>
        <w:rPr>
          <w:rFonts w:ascii="Times New Roman" w:cs="Times New Roman" w:eastAsia="Times New Roman" w:hAnsi="Times New Roman"/>
          <w:sz w:val="18"/>
          <w:szCs w:val="18"/>
          <w:color w:val="auto"/>
        </w:rPr>
        <w:t>Date: May 24,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34290</wp:posOffset>
            </wp:positionV>
            <wp:extent cx="2425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3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4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60"/>
          </w:cols>
          <w:pgMar w:left="340" w:top="931" w:right="3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Bednar, certify that:</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Perella Weinberg Partners;</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August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Alexandra Gottschalk, certify that:</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Perella Weinberg Partners;</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August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2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June 30, 2024,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August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June 30, 2024,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August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lvl w:ilvl="1">
      <w:lvlJc w:val="left"/>
      <w:lvlText w:val="%2"/>
      <w:numFmt w:val="decimal"/>
      <w:start w:val="104"/>
    </w:lvl>
  </w:abstractNum>
  <w:abstractNum w:abstractNumId="5">
    <w:nsid w:val="515F007C"/>
    <w:multiLevelType w:val="hybridMultilevel"/>
    <w:lvl w:ilvl="0">
      <w:lvlJc w:val="left"/>
      <w:lvlText w:val="**"/>
      <w:numFmt w:val="bullet"/>
      <w:start w:val="1"/>
    </w:lvl>
    <w:lvl w:ilvl="1">
      <w:lvlJc w:val="left"/>
      <w:lvlText w:val="%2"/>
      <w:numFmt w:val="decimal"/>
      <w:start w:val="1"/>
    </w:lvl>
  </w:abstractNum>
  <w:abstractNum w:abstractNumId="6">
    <w:nsid w:val="5BD062C2"/>
    <w:multiLevelType w:val="hybridMultilevel"/>
    <w:lvl w:ilvl="0">
      <w:lvlJc w:val="left"/>
      <w:lvlText w:val="(%1)"/>
      <w:numFmt w:val="decimal"/>
      <w:start w:val="8"/>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2024-08-02T07:11:03Z</dcterms:created>
  <dcterms:modified xsi:type="dcterms:W3CDTF">2024-08-02T07:11:03Z</dcterms:modified>
</cp:coreProperties>
</file>