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6" w:lineRule="exact"/>
        <w:rPr>
          <w:sz w:val="24"/>
          <w:szCs w:val="24"/>
          <w:color w:val="auto"/>
        </w:rPr>
      </w:pPr>
    </w:p>
    <w:p>
      <w:pPr>
        <w:jc w:val="both"/>
        <w:ind w:left="1300" w:right="8500" w:firstLine="4"/>
        <w:spacing w:after="0" w:line="504" w:lineRule="auto"/>
        <w:tabs>
          <w:tab w:leader="none" w:pos="1624"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13d-1(b) [_] Rule 13d-1(c)</w:t>
      </w: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[_] Rule 13d-1(d)</w:t>
      </w: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20"/>
          <w:szCs w:val="20"/>
          <w:color w:val="auto"/>
        </w:rPr>
        <w:t>__________</w:t>
      </w:r>
    </w:p>
    <w:p>
      <w:pPr>
        <w:spacing w:after="0" w:line="27" w:lineRule="exact"/>
        <w:rPr>
          <w:sz w:val="24"/>
          <w:szCs w:val="24"/>
          <w:color w:val="auto"/>
        </w:rPr>
      </w:pPr>
    </w:p>
    <w:p>
      <w:pPr>
        <w:ind w:firstLine="8"/>
        <w:spacing w:after="0" w:line="246" w:lineRule="auto"/>
        <w:tabs>
          <w:tab w:leader="none" w:pos="16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71367G102</w:t>
            </w:r>
          </w:p>
        </w:tc>
      </w:tr>
    </w:tbl>
    <w:p>
      <w:pPr>
        <w:spacing w:after="0" w:line="220"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8" w:lineRule="exact"/>
        <w:rPr>
          <w:rFonts w:ascii="Times New Roman" w:cs="Times New Roman" w:eastAsia="Times New Roman" w:hAnsi="Times New Roman"/>
          <w:sz w:val="20"/>
          <w:szCs w:val="20"/>
          <w:color w:val="auto"/>
        </w:rPr>
      </w:pPr>
    </w:p>
    <w:p>
      <w:pPr>
        <w:ind w:left="900" w:right="3620"/>
        <w:spacing w:after="0" w:line="49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Samlyn Capital, LLC</w:t>
      </w:r>
    </w:p>
    <w:p>
      <w:pPr>
        <w:ind w:left="900" w:hanging="895"/>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900" w:hanging="895"/>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900" w:right="5740" w:hanging="895"/>
        <w:spacing w:after="0" w:line="536"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17" w:lineRule="exact"/>
        <w:rPr>
          <w:sz w:val="20"/>
          <w:szCs w:val="20"/>
          <w:color w:val="auto"/>
        </w:rPr>
      </w:pPr>
    </w:p>
    <w:p>
      <w:pPr>
        <w:ind w:left="900" w:right="772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42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0</w:t>
      </w:r>
    </w:p>
    <w:p>
      <w:pPr>
        <w:ind w:left="900" w:right="728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698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0</w:t>
      </w:r>
    </w:p>
    <w:p>
      <w:pPr>
        <w:ind w:left="900" w:right="2560" w:hanging="895"/>
        <w:spacing w:after="0" w:line="500"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0</w:t>
      </w:r>
    </w:p>
    <w:p>
      <w:pPr>
        <w:ind w:left="900" w:right="1540" w:hanging="895"/>
        <w:spacing w:after="0" w:line="250"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[_]</w:t>
      </w:r>
    </w:p>
    <w:p>
      <w:pPr>
        <w:spacing w:after="0" w:line="234" w:lineRule="exact"/>
        <w:rPr>
          <w:sz w:val="20"/>
          <w:szCs w:val="20"/>
          <w:color w:val="auto"/>
        </w:rPr>
      </w:pPr>
    </w:p>
    <w:p>
      <w:pPr>
        <w:ind w:left="900" w:right="4200" w:hanging="895"/>
        <w:spacing w:after="0" w:line="507" w:lineRule="auto"/>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0%</w:t>
      </w:r>
    </w:p>
    <w:p>
      <w:pPr>
        <w:ind w:left="900" w:right="5000" w:hanging="895"/>
        <w:spacing w:after="0" w:line="536" w:lineRule="auto"/>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116840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927" w:right="7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2"/>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71367G102</w:t>
            </w:r>
          </w:p>
        </w:tc>
      </w:tr>
    </w:tbl>
    <w:p>
      <w:pPr>
        <w:spacing w:after="0" w:line="220"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8" w:lineRule="exact"/>
        <w:rPr>
          <w:rFonts w:ascii="Times New Roman" w:cs="Times New Roman" w:eastAsia="Times New Roman" w:hAnsi="Times New Roman"/>
          <w:sz w:val="20"/>
          <w:szCs w:val="20"/>
          <w:color w:val="auto"/>
        </w:rPr>
      </w:pPr>
    </w:p>
    <w:p>
      <w:pPr>
        <w:ind w:left="900" w:right="3620"/>
        <w:spacing w:after="0" w:line="49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Samlyn, LP</w:t>
      </w:r>
    </w:p>
    <w:p>
      <w:pPr>
        <w:ind w:left="900" w:hanging="895"/>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900" w:right="5740" w:hanging="895"/>
        <w:spacing w:after="0" w:line="536"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17" w:lineRule="exact"/>
        <w:rPr>
          <w:sz w:val="20"/>
          <w:szCs w:val="20"/>
          <w:color w:val="auto"/>
        </w:rPr>
      </w:pPr>
    </w:p>
    <w:p>
      <w:pPr>
        <w:ind w:left="900" w:right="772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42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0</w:t>
      </w:r>
    </w:p>
    <w:p>
      <w:pPr>
        <w:ind w:left="900" w:right="728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698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0</w:t>
      </w:r>
    </w:p>
    <w:p>
      <w:pPr>
        <w:ind w:left="900" w:right="2560" w:hanging="895"/>
        <w:spacing w:after="0" w:line="500"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0</w:t>
      </w:r>
    </w:p>
    <w:p>
      <w:pPr>
        <w:ind w:left="900" w:right="1540" w:hanging="895"/>
        <w:spacing w:after="0" w:line="250"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[_]</w:t>
      </w:r>
    </w:p>
    <w:p>
      <w:pPr>
        <w:spacing w:after="0" w:line="234" w:lineRule="exact"/>
        <w:rPr>
          <w:sz w:val="20"/>
          <w:szCs w:val="20"/>
          <w:color w:val="auto"/>
        </w:rPr>
      </w:pPr>
    </w:p>
    <w:p>
      <w:pPr>
        <w:ind w:left="900" w:right="4200" w:hanging="895"/>
        <w:spacing w:after="0" w:line="507"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0%</w:t>
      </w:r>
    </w:p>
    <w:p>
      <w:pPr>
        <w:ind w:left="900" w:right="5000" w:hanging="895"/>
        <w:spacing w:after="0" w:line="536"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116840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927"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71367G102</w:t>
            </w:r>
          </w:p>
        </w:tc>
      </w:tr>
    </w:tbl>
    <w:p>
      <w:pPr>
        <w:spacing w:after="0" w:line="220" w:lineRule="exact"/>
        <w:rPr>
          <w:sz w:val="20"/>
          <w:szCs w:val="20"/>
          <w:color w:val="auto"/>
        </w:rPr>
      </w:pPr>
    </w:p>
    <w:p>
      <w:pPr>
        <w:ind w:left="900" w:hanging="895"/>
        <w:spacing w:after="0"/>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8" w:lineRule="exact"/>
        <w:rPr>
          <w:rFonts w:ascii="Times New Roman" w:cs="Times New Roman" w:eastAsia="Times New Roman" w:hAnsi="Times New Roman"/>
          <w:sz w:val="20"/>
          <w:szCs w:val="20"/>
          <w:color w:val="auto"/>
        </w:rPr>
      </w:pPr>
    </w:p>
    <w:p>
      <w:pPr>
        <w:ind w:left="900" w:right="3620"/>
        <w:spacing w:after="0" w:line="49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Robert Pohly</w:t>
      </w:r>
    </w:p>
    <w:p>
      <w:pPr>
        <w:ind w:left="900" w:hanging="895"/>
        <w:spacing w:after="0"/>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900" w:hanging="895"/>
        <w:spacing w:after="0"/>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900" w:right="5740" w:hanging="895"/>
        <w:spacing w:after="0" w:line="536"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United States of America</w:t>
      </w:r>
    </w:p>
    <w:p>
      <w:pPr>
        <w:spacing w:after="0" w:line="200" w:lineRule="exact"/>
        <w:rPr>
          <w:sz w:val="20"/>
          <w:szCs w:val="20"/>
          <w:color w:val="auto"/>
        </w:rPr>
      </w:pPr>
    </w:p>
    <w:p>
      <w:pPr>
        <w:spacing w:after="0" w:line="217" w:lineRule="exact"/>
        <w:rPr>
          <w:sz w:val="20"/>
          <w:szCs w:val="20"/>
          <w:color w:val="auto"/>
        </w:rPr>
      </w:pPr>
    </w:p>
    <w:p>
      <w:pPr>
        <w:ind w:left="900" w:right="7720" w:hanging="895"/>
        <w:spacing w:after="0" w:line="507"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420" w:hanging="895"/>
        <w:spacing w:after="0" w:line="507"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0</w:t>
      </w:r>
    </w:p>
    <w:p>
      <w:pPr>
        <w:ind w:left="900" w:right="7280" w:hanging="895"/>
        <w:spacing w:after="0" w:line="507"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6980" w:hanging="895"/>
        <w:spacing w:after="0" w:line="507"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0</w:t>
      </w:r>
    </w:p>
    <w:p>
      <w:pPr>
        <w:ind w:left="900" w:right="2560" w:hanging="895"/>
        <w:spacing w:after="0" w:line="500"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0</w:t>
      </w:r>
    </w:p>
    <w:p>
      <w:pPr>
        <w:ind w:left="900" w:right="1540" w:hanging="895"/>
        <w:spacing w:after="0" w:line="250"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[_]</w:t>
      </w:r>
    </w:p>
    <w:p>
      <w:pPr>
        <w:spacing w:after="0" w:line="234" w:lineRule="exact"/>
        <w:rPr>
          <w:sz w:val="20"/>
          <w:szCs w:val="20"/>
          <w:color w:val="auto"/>
        </w:rPr>
      </w:pPr>
    </w:p>
    <w:p>
      <w:pPr>
        <w:ind w:left="900" w:right="4200" w:hanging="895"/>
        <w:spacing w:after="0" w:line="507" w:lineRule="auto"/>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0%</w:t>
      </w:r>
    </w:p>
    <w:p>
      <w:pPr>
        <w:ind w:left="900" w:right="5000" w:hanging="895"/>
        <w:spacing w:after="0" w:line="536" w:lineRule="auto"/>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913" w:right="7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2"/>
        </w:trPr>
        <w:tc>
          <w:tcPr>
            <w:tcW w:w="1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CUSIP No</w:t>
            </w:r>
          </w:p>
        </w:tc>
        <w:tc>
          <w:tcPr>
            <w:tcW w:w="2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71367G102</w:t>
            </w:r>
          </w:p>
        </w:tc>
        <w:tc>
          <w:tcPr>
            <w:tcW w:w="57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76"/>
        </w:trPr>
        <w:tc>
          <w:tcPr>
            <w:tcW w:w="1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w:t>
            </w: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w:t>
            </w: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of Issuer:</w:t>
            </w:r>
          </w:p>
        </w:tc>
        <w:tc>
          <w:tcPr>
            <w:tcW w:w="1120" w:type="dxa"/>
            <w:vAlign w:val="bottom"/>
          </w:tcPr>
          <w:p>
            <w:pPr>
              <w:spacing w:after="0"/>
              <w:rPr>
                <w:sz w:val="24"/>
                <w:szCs w:val="24"/>
                <w:color w:val="auto"/>
              </w:rPr>
            </w:pPr>
          </w:p>
        </w:tc>
      </w:tr>
      <w:tr>
        <w:trPr>
          <w:trHeight w:val="490"/>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Perella Weinberg Partners</w:t>
            </w:r>
          </w:p>
        </w:tc>
        <w:tc>
          <w:tcPr>
            <w:tcW w:w="1120" w:type="dxa"/>
            <w:vAlign w:val="bottom"/>
          </w:tcPr>
          <w:p>
            <w:pPr>
              <w:spacing w:after="0"/>
              <w:rPr>
                <w:sz w:val="24"/>
                <w:szCs w:val="24"/>
                <w:color w:val="auto"/>
              </w:rPr>
            </w:pPr>
          </w:p>
        </w:tc>
      </w:tr>
      <w:tr>
        <w:trPr>
          <w:trHeight w:val="692"/>
        </w:trPr>
        <w:tc>
          <w:tcPr>
            <w:tcW w:w="182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w:t>
            </w: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Address of Issuer's Principal Executive Offices:</w:t>
            </w:r>
          </w:p>
        </w:tc>
        <w:tc>
          <w:tcPr>
            <w:tcW w:w="1120" w:type="dxa"/>
            <w:vAlign w:val="bottom"/>
          </w:tcPr>
          <w:p>
            <w:pPr>
              <w:spacing w:after="0"/>
              <w:rPr>
                <w:sz w:val="24"/>
                <w:szCs w:val="24"/>
                <w:color w:val="auto"/>
              </w:rPr>
            </w:pPr>
          </w:p>
        </w:tc>
      </w:tr>
      <w:tr>
        <w:trPr>
          <w:trHeight w:val="457"/>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767 Fifth Avenue</w:t>
            </w:r>
          </w:p>
        </w:tc>
        <w:tc>
          <w:tcPr>
            <w:tcW w:w="1120" w:type="dxa"/>
            <w:vAlign w:val="bottom"/>
          </w:tcPr>
          <w:p>
            <w:pPr>
              <w:spacing w:after="0"/>
              <w:rPr>
                <w:sz w:val="24"/>
                <w:szCs w:val="24"/>
                <w:color w:val="auto"/>
              </w:rPr>
            </w:pPr>
          </w:p>
        </w:tc>
      </w:tr>
      <w:tr>
        <w:trPr>
          <w:trHeight w:val="229"/>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New York, New York 10153</w:t>
            </w:r>
          </w:p>
        </w:tc>
        <w:tc>
          <w:tcPr>
            <w:tcW w:w="1120" w:type="dxa"/>
            <w:vAlign w:val="bottom"/>
          </w:tcPr>
          <w:p>
            <w:pPr>
              <w:spacing w:after="0"/>
              <w:rPr>
                <w:sz w:val="19"/>
                <w:szCs w:val="19"/>
                <w:color w:val="auto"/>
              </w:rPr>
            </w:pPr>
          </w:p>
        </w:tc>
      </w:tr>
      <w:tr>
        <w:trPr>
          <w:trHeight w:val="252"/>
        </w:trPr>
        <w:tc>
          <w:tcPr>
            <w:tcW w:w="1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120" w:type="dxa"/>
            <w:vAlign w:val="bottom"/>
          </w:tcPr>
          <w:p>
            <w:pPr>
              <w:spacing w:after="0"/>
              <w:rPr>
                <w:sz w:val="21"/>
                <w:szCs w:val="21"/>
                <w:color w:val="auto"/>
              </w:rPr>
            </w:pPr>
          </w:p>
        </w:tc>
      </w:tr>
      <w:tr>
        <w:trPr>
          <w:trHeight w:val="472"/>
        </w:trPr>
        <w:tc>
          <w:tcPr>
            <w:tcW w:w="1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2.</w:t>
            </w: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w:t>
            </w: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of Person Filing:</w:t>
            </w:r>
          </w:p>
        </w:tc>
        <w:tc>
          <w:tcPr>
            <w:tcW w:w="1120" w:type="dxa"/>
            <w:vAlign w:val="bottom"/>
          </w:tcPr>
          <w:p>
            <w:pPr>
              <w:spacing w:after="0"/>
              <w:rPr>
                <w:sz w:val="24"/>
                <w:szCs w:val="24"/>
                <w:color w:val="auto"/>
              </w:rPr>
            </w:pPr>
          </w:p>
        </w:tc>
      </w:tr>
      <w:tr>
        <w:trPr>
          <w:trHeight w:val="457"/>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Samlyn Capital, LLC</w:t>
            </w:r>
          </w:p>
        </w:tc>
        <w:tc>
          <w:tcPr>
            <w:tcW w:w="1120" w:type="dxa"/>
            <w:vAlign w:val="bottom"/>
          </w:tcPr>
          <w:p>
            <w:pPr>
              <w:spacing w:after="0"/>
              <w:rPr>
                <w:sz w:val="24"/>
                <w:szCs w:val="24"/>
                <w:color w:val="auto"/>
              </w:rPr>
            </w:pPr>
          </w:p>
        </w:tc>
      </w:tr>
      <w:tr>
        <w:trPr>
          <w:trHeight w:val="229"/>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Samlyn, LP</w:t>
            </w:r>
          </w:p>
        </w:tc>
        <w:tc>
          <w:tcPr>
            <w:tcW w:w="1120" w:type="dxa"/>
            <w:vAlign w:val="bottom"/>
          </w:tcPr>
          <w:p>
            <w:pPr>
              <w:spacing w:after="0"/>
              <w:rPr>
                <w:sz w:val="19"/>
                <w:szCs w:val="19"/>
                <w:color w:val="auto"/>
              </w:rPr>
            </w:pPr>
          </w:p>
        </w:tc>
      </w:tr>
      <w:tr>
        <w:trPr>
          <w:trHeight w:val="252"/>
        </w:trPr>
        <w:tc>
          <w:tcPr>
            <w:tcW w:w="1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Robert Pohly</w:t>
            </w:r>
          </w:p>
        </w:tc>
        <w:tc>
          <w:tcPr>
            <w:tcW w:w="1120" w:type="dxa"/>
            <w:vAlign w:val="bottom"/>
          </w:tcPr>
          <w:p>
            <w:pPr>
              <w:spacing w:after="0"/>
              <w:rPr>
                <w:sz w:val="21"/>
                <w:szCs w:val="21"/>
                <w:color w:val="auto"/>
              </w:rPr>
            </w:pPr>
          </w:p>
        </w:tc>
      </w:tr>
      <w:tr>
        <w:trPr>
          <w:trHeight w:val="688"/>
        </w:trPr>
        <w:tc>
          <w:tcPr>
            <w:tcW w:w="182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w:t>
            </w: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Address of Principal Business Office, or if None, Residence:</w:t>
            </w:r>
          </w:p>
        </w:tc>
        <w:tc>
          <w:tcPr>
            <w:tcW w:w="1120" w:type="dxa"/>
            <w:vAlign w:val="bottom"/>
          </w:tcPr>
          <w:p>
            <w:pPr>
              <w:spacing w:after="0"/>
              <w:rPr>
                <w:sz w:val="24"/>
                <w:szCs w:val="24"/>
                <w:color w:val="auto"/>
              </w:rPr>
            </w:pPr>
          </w:p>
        </w:tc>
      </w:tr>
      <w:tr>
        <w:trPr>
          <w:trHeight w:val="457"/>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Samlyn Capital, LLC</w:t>
            </w:r>
          </w:p>
        </w:tc>
        <w:tc>
          <w:tcPr>
            <w:tcW w:w="1120" w:type="dxa"/>
            <w:vAlign w:val="bottom"/>
          </w:tcPr>
          <w:p>
            <w:pPr>
              <w:spacing w:after="0"/>
              <w:rPr>
                <w:sz w:val="24"/>
                <w:szCs w:val="24"/>
                <w:color w:val="auto"/>
              </w:rPr>
            </w:pPr>
          </w:p>
        </w:tc>
      </w:tr>
      <w:tr>
        <w:trPr>
          <w:trHeight w:val="229"/>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500 Park Avenue, 2nd Floor</w:t>
            </w:r>
          </w:p>
        </w:tc>
        <w:tc>
          <w:tcPr>
            <w:tcW w:w="1120" w:type="dxa"/>
            <w:vAlign w:val="bottom"/>
          </w:tcPr>
          <w:p>
            <w:pPr>
              <w:spacing w:after="0"/>
              <w:rPr>
                <w:sz w:val="19"/>
                <w:szCs w:val="19"/>
                <w:color w:val="auto"/>
              </w:rPr>
            </w:pPr>
          </w:p>
        </w:tc>
      </w:tr>
      <w:tr>
        <w:trPr>
          <w:trHeight w:val="230"/>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New York, New York 10022</w:t>
            </w:r>
          </w:p>
        </w:tc>
        <w:tc>
          <w:tcPr>
            <w:tcW w:w="1120" w:type="dxa"/>
            <w:vAlign w:val="bottom"/>
          </w:tcPr>
          <w:p>
            <w:pPr>
              <w:spacing w:after="0"/>
              <w:rPr>
                <w:sz w:val="19"/>
                <w:szCs w:val="19"/>
                <w:color w:val="auto"/>
              </w:rPr>
            </w:pPr>
          </w:p>
        </w:tc>
      </w:tr>
      <w:tr>
        <w:trPr>
          <w:trHeight w:val="258"/>
        </w:trPr>
        <w:tc>
          <w:tcPr>
            <w:tcW w:w="1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120" w:type="dxa"/>
            <w:vAlign w:val="bottom"/>
          </w:tcPr>
          <w:p>
            <w:pPr>
              <w:spacing w:after="0"/>
              <w:rPr>
                <w:sz w:val="22"/>
                <w:szCs w:val="22"/>
                <w:color w:val="auto"/>
              </w:rPr>
            </w:pPr>
          </w:p>
        </w:tc>
      </w:tr>
      <w:tr>
        <w:trPr>
          <w:trHeight w:val="430"/>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Samlyn, LP</w:t>
            </w:r>
          </w:p>
        </w:tc>
        <w:tc>
          <w:tcPr>
            <w:tcW w:w="1120" w:type="dxa"/>
            <w:vAlign w:val="bottom"/>
          </w:tcPr>
          <w:p>
            <w:pPr>
              <w:spacing w:after="0"/>
              <w:rPr>
                <w:sz w:val="24"/>
                <w:szCs w:val="24"/>
                <w:color w:val="auto"/>
              </w:rPr>
            </w:pPr>
          </w:p>
        </w:tc>
      </w:tr>
      <w:tr>
        <w:trPr>
          <w:trHeight w:val="230"/>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 Samlyn Capital, LLC</w:t>
            </w:r>
          </w:p>
        </w:tc>
        <w:tc>
          <w:tcPr>
            <w:tcW w:w="1120" w:type="dxa"/>
            <w:vAlign w:val="bottom"/>
          </w:tcPr>
          <w:p>
            <w:pPr>
              <w:spacing w:after="0"/>
              <w:rPr>
                <w:sz w:val="19"/>
                <w:szCs w:val="19"/>
                <w:color w:val="auto"/>
              </w:rPr>
            </w:pPr>
          </w:p>
        </w:tc>
      </w:tr>
      <w:tr>
        <w:trPr>
          <w:trHeight w:val="230"/>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500 Park Avenue, 2nd Floor</w:t>
            </w:r>
          </w:p>
        </w:tc>
        <w:tc>
          <w:tcPr>
            <w:tcW w:w="1120" w:type="dxa"/>
            <w:vAlign w:val="bottom"/>
          </w:tcPr>
          <w:p>
            <w:pPr>
              <w:spacing w:after="0"/>
              <w:rPr>
                <w:sz w:val="19"/>
                <w:szCs w:val="19"/>
                <w:color w:val="auto"/>
              </w:rPr>
            </w:pPr>
          </w:p>
        </w:tc>
      </w:tr>
      <w:tr>
        <w:trPr>
          <w:trHeight w:val="230"/>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New York, New York 10022</w:t>
            </w:r>
          </w:p>
        </w:tc>
        <w:tc>
          <w:tcPr>
            <w:tcW w:w="1120" w:type="dxa"/>
            <w:vAlign w:val="bottom"/>
          </w:tcPr>
          <w:p>
            <w:pPr>
              <w:spacing w:after="0"/>
              <w:rPr>
                <w:sz w:val="19"/>
                <w:szCs w:val="19"/>
                <w:color w:val="auto"/>
              </w:rPr>
            </w:pPr>
          </w:p>
        </w:tc>
      </w:tr>
      <w:tr>
        <w:trPr>
          <w:trHeight w:val="258"/>
        </w:trPr>
        <w:tc>
          <w:tcPr>
            <w:tcW w:w="1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120" w:type="dxa"/>
            <w:vAlign w:val="bottom"/>
          </w:tcPr>
          <w:p>
            <w:pPr>
              <w:spacing w:after="0"/>
              <w:rPr>
                <w:sz w:val="22"/>
                <w:szCs w:val="22"/>
                <w:color w:val="auto"/>
              </w:rPr>
            </w:pPr>
          </w:p>
        </w:tc>
      </w:tr>
      <w:tr>
        <w:trPr>
          <w:trHeight w:val="430"/>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Robert Pohly</w:t>
            </w:r>
          </w:p>
        </w:tc>
        <w:tc>
          <w:tcPr>
            <w:tcW w:w="1120" w:type="dxa"/>
            <w:vAlign w:val="bottom"/>
          </w:tcPr>
          <w:p>
            <w:pPr>
              <w:spacing w:after="0"/>
              <w:rPr>
                <w:sz w:val="24"/>
                <w:szCs w:val="24"/>
                <w:color w:val="auto"/>
              </w:rPr>
            </w:pPr>
          </w:p>
        </w:tc>
      </w:tr>
      <w:tr>
        <w:trPr>
          <w:trHeight w:val="230"/>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 Samlyn Capital, LLC</w:t>
            </w:r>
          </w:p>
        </w:tc>
        <w:tc>
          <w:tcPr>
            <w:tcW w:w="1120" w:type="dxa"/>
            <w:vAlign w:val="bottom"/>
          </w:tcPr>
          <w:p>
            <w:pPr>
              <w:spacing w:after="0"/>
              <w:rPr>
                <w:sz w:val="19"/>
                <w:szCs w:val="19"/>
                <w:color w:val="auto"/>
              </w:rPr>
            </w:pPr>
          </w:p>
        </w:tc>
      </w:tr>
      <w:tr>
        <w:trPr>
          <w:trHeight w:val="229"/>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500 Park Avenue, 2nd Floor</w:t>
            </w:r>
          </w:p>
        </w:tc>
        <w:tc>
          <w:tcPr>
            <w:tcW w:w="1120" w:type="dxa"/>
            <w:vAlign w:val="bottom"/>
          </w:tcPr>
          <w:p>
            <w:pPr>
              <w:spacing w:after="0"/>
              <w:rPr>
                <w:sz w:val="19"/>
                <w:szCs w:val="19"/>
                <w:color w:val="auto"/>
              </w:rPr>
            </w:pPr>
          </w:p>
        </w:tc>
      </w:tr>
      <w:tr>
        <w:trPr>
          <w:trHeight w:val="230"/>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New York, New York 10022</w:t>
            </w:r>
          </w:p>
        </w:tc>
        <w:tc>
          <w:tcPr>
            <w:tcW w:w="1120" w:type="dxa"/>
            <w:vAlign w:val="bottom"/>
          </w:tcPr>
          <w:p>
            <w:pPr>
              <w:spacing w:after="0"/>
              <w:rPr>
                <w:sz w:val="19"/>
                <w:szCs w:val="19"/>
                <w:color w:val="auto"/>
              </w:rPr>
            </w:pPr>
          </w:p>
        </w:tc>
      </w:tr>
      <w:tr>
        <w:trPr>
          <w:trHeight w:val="252"/>
        </w:trPr>
        <w:tc>
          <w:tcPr>
            <w:tcW w:w="1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120" w:type="dxa"/>
            <w:vAlign w:val="bottom"/>
          </w:tcPr>
          <w:p>
            <w:pPr>
              <w:spacing w:after="0"/>
              <w:rPr>
                <w:sz w:val="21"/>
                <w:szCs w:val="21"/>
                <w:color w:val="auto"/>
              </w:rPr>
            </w:pPr>
          </w:p>
        </w:tc>
      </w:tr>
      <w:tr>
        <w:trPr>
          <w:trHeight w:val="472"/>
        </w:trPr>
        <w:tc>
          <w:tcPr>
            <w:tcW w:w="182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w:t>
            </w: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Citizenship:</w:t>
            </w:r>
          </w:p>
        </w:tc>
        <w:tc>
          <w:tcPr>
            <w:tcW w:w="1120" w:type="dxa"/>
            <w:vAlign w:val="bottom"/>
          </w:tcPr>
          <w:p>
            <w:pPr>
              <w:spacing w:after="0"/>
              <w:rPr>
                <w:sz w:val="24"/>
                <w:szCs w:val="24"/>
                <w:color w:val="auto"/>
              </w:rPr>
            </w:pPr>
          </w:p>
        </w:tc>
      </w:tr>
      <w:tr>
        <w:trPr>
          <w:trHeight w:val="457"/>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Samlyn Capital, LLC – Delaware</w:t>
            </w:r>
          </w:p>
        </w:tc>
        <w:tc>
          <w:tcPr>
            <w:tcW w:w="1120" w:type="dxa"/>
            <w:vAlign w:val="bottom"/>
          </w:tcPr>
          <w:p>
            <w:pPr>
              <w:spacing w:after="0"/>
              <w:rPr>
                <w:sz w:val="24"/>
                <w:szCs w:val="24"/>
                <w:color w:val="auto"/>
              </w:rPr>
            </w:pPr>
          </w:p>
        </w:tc>
      </w:tr>
      <w:tr>
        <w:trPr>
          <w:trHeight w:val="229"/>
        </w:trPr>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Samlyn, LP – Delaware</w:t>
            </w:r>
          </w:p>
        </w:tc>
        <w:tc>
          <w:tcPr>
            <w:tcW w:w="1120" w:type="dxa"/>
            <w:vAlign w:val="bottom"/>
          </w:tcPr>
          <w:p>
            <w:pPr>
              <w:spacing w:after="0"/>
              <w:rPr>
                <w:sz w:val="19"/>
                <w:szCs w:val="19"/>
                <w:color w:val="auto"/>
              </w:rPr>
            </w:pPr>
          </w:p>
        </w:tc>
      </w:tr>
      <w:tr>
        <w:trPr>
          <w:trHeight w:val="252"/>
        </w:trPr>
        <w:tc>
          <w:tcPr>
            <w:tcW w:w="1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Robert Pohly – United States of America</w:t>
            </w:r>
          </w:p>
        </w:tc>
        <w:tc>
          <w:tcPr>
            <w:tcW w:w="1120" w:type="dxa"/>
            <w:vAlign w:val="bottom"/>
          </w:tcPr>
          <w:p>
            <w:pPr>
              <w:spacing w:after="0"/>
              <w:rPr>
                <w:sz w:val="21"/>
                <w:szCs w:val="21"/>
                <w:color w:val="auto"/>
              </w:rPr>
            </w:pPr>
          </w:p>
        </w:tc>
      </w:tr>
      <w:tr>
        <w:trPr>
          <w:trHeight w:val="688"/>
        </w:trPr>
        <w:tc>
          <w:tcPr>
            <w:tcW w:w="182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w:t>
            </w: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of Class of Securities:</w:t>
            </w:r>
          </w:p>
        </w:tc>
        <w:tc>
          <w:tcPr>
            <w:tcW w:w="1120" w:type="dxa"/>
            <w:vAlign w:val="bottom"/>
          </w:tcPr>
          <w:p>
            <w:pPr>
              <w:spacing w:after="0"/>
              <w:rPr>
                <w:sz w:val="24"/>
                <w:szCs w:val="24"/>
                <w:color w:val="auto"/>
              </w:rPr>
            </w:pPr>
          </w:p>
        </w:tc>
      </w:tr>
      <w:tr>
        <w:trPr>
          <w:trHeight w:val="490"/>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tc>
        <w:tc>
          <w:tcPr>
            <w:tcW w:w="1120" w:type="dxa"/>
            <w:vAlign w:val="bottom"/>
          </w:tcPr>
          <w:p>
            <w:pPr>
              <w:spacing w:after="0"/>
              <w:rPr>
                <w:sz w:val="24"/>
                <w:szCs w:val="24"/>
                <w:color w:val="auto"/>
              </w:rPr>
            </w:pPr>
          </w:p>
        </w:tc>
      </w:tr>
      <w:tr>
        <w:trPr>
          <w:trHeight w:val="692"/>
        </w:trPr>
        <w:tc>
          <w:tcPr>
            <w:tcW w:w="182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w:t>
            </w: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CUSIP Number:</w:t>
            </w:r>
          </w:p>
        </w:tc>
        <w:tc>
          <w:tcPr>
            <w:tcW w:w="1120" w:type="dxa"/>
            <w:vAlign w:val="bottom"/>
          </w:tcPr>
          <w:p>
            <w:pPr>
              <w:spacing w:after="0"/>
              <w:rPr>
                <w:sz w:val="24"/>
                <w:szCs w:val="24"/>
                <w:color w:val="auto"/>
              </w:rPr>
            </w:pPr>
          </w:p>
        </w:tc>
      </w:tr>
      <w:tr>
        <w:trPr>
          <w:trHeight w:val="490"/>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71367G102</w:t>
            </w:r>
          </w:p>
        </w:tc>
        <w:tc>
          <w:tcPr>
            <w:tcW w:w="1120" w:type="dxa"/>
            <w:vAlign w:val="bottom"/>
            <w:tcBorders>
              <w:bottom w:val="single" w:sz="8" w:color="auto"/>
            </w:tcBorders>
          </w:tcPr>
          <w:p>
            <w:pPr>
              <w:spacing w:after="0"/>
              <w:rPr>
                <w:sz w:val="24"/>
                <w:szCs w:val="24"/>
                <w:color w:val="auto"/>
              </w:rPr>
            </w:pPr>
          </w:p>
        </w:tc>
      </w:tr>
      <w:tr>
        <w:trPr>
          <w:trHeight w:val="1185"/>
        </w:trPr>
        <w:tc>
          <w:tcPr>
            <w:tcW w:w="1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54" w:right="339" w:bottom="1440" w:gutter="0" w:footer="0" w:header="0"/>
        </w:sectPr>
      </w:pPr>
    </w:p>
    <w:bookmarkStart w:id="5" w:name="page6"/>
    <w:bookmarkEnd w:id="5"/>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3.</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If This Statement is filed pursuant to ss.240.13d-1(b) or 240.13d-2(b), or (c), check whether the person filing is a</w:t>
      </w:r>
    </w:p>
    <w:p>
      <w:pPr>
        <w:spacing w:after="0" w:line="186" w:lineRule="exact"/>
        <w:rPr>
          <w:sz w:val="20"/>
          <w:szCs w:val="20"/>
          <w:color w:val="auto"/>
        </w:rPr>
      </w:pPr>
    </w:p>
    <w:p>
      <w:pPr>
        <w:sectPr>
          <w:pgSz w:w="11900" w:h="17037" w:orient="portrait"/>
          <w:cols w:equalWidth="0" w:num="2">
            <w:col w:w="1760" w:space="720"/>
            <w:col w:w="8320"/>
          </w:cols>
          <w:pgMar w:left="420" w:top="711" w:right="679" w:bottom="0" w:gutter="0" w:footer="0" w:header="0"/>
        </w:sectPr>
      </w:pPr>
    </w:p>
    <w:p>
      <w:pPr>
        <w:ind w:left="2480" w:hanging="787"/>
        <w:spacing w:after="0"/>
        <w:tabs>
          <w:tab w:leader="none" w:pos="2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Broker or dealer registered under Section 15 of the Exchange Act (15 U.S.C. 78c).</w:t>
      </w:r>
    </w:p>
    <w:p>
      <w:pPr>
        <w:spacing w:after="0" w:line="256" w:lineRule="exact"/>
        <w:rPr>
          <w:rFonts w:ascii="Times New Roman" w:cs="Times New Roman" w:eastAsia="Times New Roman" w:hAnsi="Times New Roman"/>
          <w:sz w:val="20"/>
          <w:szCs w:val="20"/>
          <w:color w:val="auto"/>
        </w:rPr>
      </w:pPr>
    </w:p>
    <w:p>
      <w:pPr>
        <w:ind w:left="2480" w:hanging="787"/>
        <w:spacing w:after="0"/>
        <w:tabs>
          <w:tab w:leader="none" w:pos="2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Bank as defined in Section 3(a)(6) of the Exchange Act (15 U.S.C. 78c).</w:t>
      </w:r>
    </w:p>
    <w:p>
      <w:pPr>
        <w:spacing w:after="0" w:line="256" w:lineRule="exact"/>
        <w:rPr>
          <w:rFonts w:ascii="Times New Roman" w:cs="Times New Roman" w:eastAsia="Times New Roman" w:hAnsi="Times New Roman"/>
          <w:sz w:val="20"/>
          <w:szCs w:val="20"/>
          <w:color w:val="auto"/>
        </w:rPr>
      </w:pPr>
    </w:p>
    <w:p>
      <w:pPr>
        <w:ind w:left="2480" w:hanging="787"/>
        <w:spacing w:after="0"/>
        <w:tabs>
          <w:tab w:leader="none" w:pos="2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Insurance company as defined in Section 3(a)(19) of the Exchange Act (15 U.S.C. 78c).</w:t>
      </w:r>
    </w:p>
    <w:p>
      <w:pPr>
        <w:spacing w:after="0" w:line="256" w:lineRule="exact"/>
        <w:rPr>
          <w:rFonts w:ascii="Times New Roman" w:cs="Times New Roman" w:eastAsia="Times New Roman" w:hAnsi="Times New Roman"/>
          <w:sz w:val="20"/>
          <w:szCs w:val="20"/>
          <w:color w:val="auto"/>
        </w:rPr>
      </w:pPr>
    </w:p>
    <w:p>
      <w:pPr>
        <w:ind w:left="3160" w:right="320" w:hanging="1467"/>
        <w:spacing w:after="0" w:line="269" w:lineRule="auto"/>
        <w:tabs>
          <w:tab w:leader="none" w:pos="249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[_]Investment company registered under Section 8 of the Investment Company Act of 1940 (15 U.S.C. 80a-8).</w:t>
      </w:r>
    </w:p>
    <w:p>
      <w:pPr>
        <w:spacing w:after="0" w:line="186" w:lineRule="exact"/>
        <w:rPr>
          <w:rFonts w:ascii="Times New Roman" w:cs="Times New Roman" w:eastAsia="Times New Roman" w:hAnsi="Times New Roman"/>
          <w:sz w:val="20"/>
          <w:szCs w:val="20"/>
          <w:color w:val="auto"/>
        </w:rPr>
      </w:pPr>
    </w:p>
    <w:p>
      <w:pPr>
        <w:ind w:left="2480" w:hanging="787"/>
        <w:spacing w:after="0"/>
        <w:tabs>
          <w:tab w:leader="none" w:pos="2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19"/>
          <w:szCs w:val="19"/>
          <w:color w:val="auto"/>
        </w:rPr>
        <w:t>An investment adviser in accordance with § 240.13d-1(b)(1)(ii)(E);</w:t>
      </w:r>
    </w:p>
    <w:p>
      <w:pPr>
        <w:spacing w:after="0" w:line="256" w:lineRule="exact"/>
        <w:rPr>
          <w:rFonts w:ascii="Times New Roman" w:cs="Times New Roman" w:eastAsia="Times New Roman" w:hAnsi="Times New Roman"/>
          <w:sz w:val="20"/>
          <w:szCs w:val="20"/>
          <w:color w:val="auto"/>
        </w:rPr>
      </w:pPr>
    </w:p>
    <w:p>
      <w:pPr>
        <w:ind w:left="2480" w:hanging="787"/>
        <w:spacing w:after="0"/>
        <w:tabs>
          <w:tab w:leader="none" w:pos="2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An employee benefit plan or endowment fund in accordance with § 240.13d-1(b)(1)(ii)(F);</w:t>
      </w:r>
    </w:p>
    <w:p>
      <w:pPr>
        <w:spacing w:after="0" w:line="256" w:lineRule="exact"/>
        <w:rPr>
          <w:rFonts w:ascii="Times New Roman" w:cs="Times New Roman" w:eastAsia="Times New Roman" w:hAnsi="Times New Roman"/>
          <w:sz w:val="20"/>
          <w:szCs w:val="20"/>
          <w:color w:val="auto"/>
        </w:rPr>
      </w:pPr>
    </w:p>
    <w:p>
      <w:pPr>
        <w:ind w:left="2480" w:hanging="787"/>
        <w:spacing w:after="0"/>
        <w:tabs>
          <w:tab w:leader="none" w:pos="2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19"/>
          <w:szCs w:val="19"/>
          <w:color w:val="auto"/>
        </w:rPr>
        <w:t>A parent holding company or control person in accordance with Rule 13d-1(b)(1)(ii)(G);</w:t>
      </w:r>
    </w:p>
    <w:p>
      <w:pPr>
        <w:spacing w:after="0" w:line="256" w:lineRule="exact"/>
        <w:rPr>
          <w:rFonts w:ascii="Times New Roman" w:cs="Times New Roman" w:eastAsia="Times New Roman" w:hAnsi="Times New Roman"/>
          <w:sz w:val="20"/>
          <w:szCs w:val="20"/>
          <w:color w:val="auto"/>
        </w:rPr>
      </w:pPr>
    </w:p>
    <w:p>
      <w:pPr>
        <w:ind w:left="3160" w:right="580" w:hanging="1467"/>
        <w:spacing w:after="0" w:line="269" w:lineRule="auto"/>
        <w:tabs>
          <w:tab w:leader="none" w:pos="249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[_]A savings association as defined in Section 3(b) of the Federal Deposit Insurance Act (12 U.S.C.1813);</w:t>
      </w:r>
    </w:p>
    <w:p>
      <w:pPr>
        <w:spacing w:after="0" w:line="186" w:lineRule="exact"/>
        <w:rPr>
          <w:rFonts w:ascii="Times New Roman" w:cs="Times New Roman" w:eastAsia="Times New Roman" w:hAnsi="Times New Roman"/>
          <w:sz w:val="20"/>
          <w:szCs w:val="20"/>
          <w:color w:val="auto"/>
        </w:rPr>
      </w:pPr>
    </w:p>
    <w:p>
      <w:pPr>
        <w:ind w:left="2480" w:hanging="787"/>
        <w:spacing w:after="0"/>
        <w:tabs>
          <w:tab w:leader="none" w:pos="2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A church plan that is excluded from the definition of an investment company under Section 3(c)</w:t>
      </w:r>
    </w:p>
    <w:p>
      <w:pPr>
        <w:spacing w:after="0" w:line="21" w:lineRule="exact"/>
        <w:rPr>
          <w:rFonts w:ascii="Times New Roman" w:cs="Times New Roman" w:eastAsia="Times New Roman" w:hAnsi="Times New Roman"/>
          <w:sz w:val="20"/>
          <w:szCs w:val="20"/>
          <w:color w:val="auto"/>
        </w:rPr>
      </w:pPr>
    </w:p>
    <w:p>
      <w:pPr>
        <w:ind w:left="3520" w:hanging="369"/>
        <w:spacing w:after="0"/>
        <w:tabs>
          <w:tab w:leader="none" w:pos="352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Investment Company Act of 1940 (15 U.S.C. 80a-3);</w:t>
      </w:r>
    </w:p>
    <w:p>
      <w:pPr>
        <w:spacing w:after="0" w:line="220" w:lineRule="exact"/>
        <w:rPr>
          <w:rFonts w:ascii="Times New Roman" w:cs="Times New Roman" w:eastAsia="Times New Roman" w:hAnsi="Times New Roman"/>
          <w:sz w:val="20"/>
          <w:szCs w:val="20"/>
          <w:color w:val="auto"/>
        </w:rPr>
      </w:pPr>
    </w:p>
    <w:p>
      <w:pPr>
        <w:ind w:left="2480" w:hanging="787"/>
        <w:spacing w:after="0"/>
        <w:tabs>
          <w:tab w:leader="none" w:pos="2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Group, in accordance with s.240.13d-1(b)(1)(ii)(J).</w:t>
      </w:r>
    </w:p>
    <w:p>
      <w:pPr>
        <w:spacing w:after="0" w:line="200" w:lineRule="exact"/>
        <w:rPr>
          <w:sz w:val="20"/>
          <w:szCs w:val="20"/>
          <w:color w:val="auto"/>
        </w:rPr>
      </w:pPr>
    </w:p>
    <w:p>
      <w:pPr>
        <w:spacing w:after="0" w:line="25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Ownership.</w:t>
      </w:r>
    </w:p>
    <w:p>
      <w:pPr>
        <w:spacing w:after="0" w:line="243" w:lineRule="exact"/>
        <w:rPr>
          <w:sz w:val="20"/>
          <w:szCs w:val="20"/>
          <w:color w:val="auto"/>
        </w:rPr>
      </w:pPr>
    </w:p>
    <w:p>
      <w:pPr>
        <w:ind w:left="1820"/>
        <w:spacing w:after="0" w:line="269" w:lineRule="auto"/>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186" w:lineRule="exact"/>
        <w:rPr>
          <w:sz w:val="20"/>
          <w:szCs w:val="20"/>
          <w:color w:val="auto"/>
        </w:rPr>
      </w:pPr>
    </w:p>
    <w:p>
      <w:pPr>
        <w:ind w:left="2400" w:hanging="586"/>
        <w:spacing w:after="0"/>
        <w:tabs>
          <w:tab w:leader="none" w:pos="24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w:t>
      </w:r>
    </w:p>
    <w:p>
      <w:pPr>
        <w:spacing w:after="0" w:line="25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Samlyn Capital, LLC – 0</w:t>
      </w:r>
    </w:p>
    <w:p>
      <w:pPr>
        <w:spacing w:after="0" w:line="2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Samlyn, LP – 0</w:t>
      </w:r>
    </w:p>
    <w:p>
      <w:pPr>
        <w:ind w:left="2480"/>
        <w:spacing w:after="0"/>
        <w:rPr>
          <w:sz w:val="20"/>
          <w:szCs w:val="20"/>
          <w:color w:val="auto"/>
        </w:rPr>
      </w:pPr>
      <w:r>
        <w:rPr>
          <w:rFonts w:ascii="Times New Roman" w:cs="Times New Roman" w:eastAsia="Times New Roman" w:hAnsi="Times New Roman"/>
          <w:sz w:val="20"/>
          <w:szCs w:val="20"/>
          <w:color w:val="auto"/>
        </w:rPr>
        <w:t>Robert Pohly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0</wp:posOffset>
            </wp:positionV>
            <wp:extent cx="5554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214" w:lineRule="exact"/>
        <w:rPr>
          <w:sz w:val="20"/>
          <w:szCs w:val="20"/>
          <w:color w:val="auto"/>
        </w:rPr>
      </w:pPr>
    </w:p>
    <w:p>
      <w:pPr>
        <w:ind w:left="2400" w:hanging="586"/>
        <w:spacing w:after="0"/>
        <w:tabs>
          <w:tab w:leader="none" w:pos="24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w:t>
      </w:r>
    </w:p>
    <w:p>
      <w:pPr>
        <w:spacing w:after="0" w:line="25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Samlyn Capital, LLC – 0%</w:t>
      </w:r>
    </w:p>
    <w:p>
      <w:pPr>
        <w:spacing w:after="0" w:line="2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Samlyn, LP – 0%</w:t>
      </w:r>
    </w:p>
    <w:p>
      <w:pPr>
        <w:ind w:left="2480"/>
        <w:spacing w:after="0"/>
        <w:rPr>
          <w:sz w:val="20"/>
          <w:szCs w:val="20"/>
          <w:color w:val="auto"/>
        </w:rPr>
      </w:pPr>
      <w:r>
        <w:rPr>
          <w:rFonts w:ascii="Times New Roman" w:cs="Times New Roman" w:eastAsia="Times New Roman" w:hAnsi="Times New Roman"/>
          <w:sz w:val="20"/>
          <w:szCs w:val="20"/>
          <w:color w:val="auto"/>
        </w:rPr>
        <w:t>Robert Pohly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0</wp:posOffset>
            </wp:positionV>
            <wp:extent cx="5554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14" w:lineRule="exact"/>
        <w:rPr>
          <w:sz w:val="20"/>
          <w:szCs w:val="20"/>
          <w:color w:val="auto"/>
        </w:rPr>
      </w:pPr>
    </w:p>
    <w:p>
      <w:pPr>
        <w:ind w:left="2400" w:hanging="586"/>
        <w:spacing w:after="0"/>
        <w:tabs>
          <w:tab w:leader="none" w:pos="24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56" w:lineRule="exact"/>
        <w:rPr>
          <w:rFonts w:ascii="Times New Roman" w:cs="Times New Roman" w:eastAsia="Times New Roman" w:hAnsi="Times New Roman"/>
          <w:sz w:val="20"/>
          <w:szCs w:val="20"/>
          <w:color w:val="auto"/>
        </w:rPr>
      </w:pPr>
    </w:p>
    <w:p>
      <w:pPr>
        <w:ind w:left="3380" w:hanging="987"/>
        <w:spacing w:after="0"/>
        <w:tabs>
          <w:tab w:leader="none" w:pos="33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w:t>
      </w:r>
    </w:p>
    <w:p>
      <w:pPr>
        <w:spacing w:after="0" w:line="242" w:lineRule="exact"/>
        <w:rPr>
          <w:rFonts w:ascii="Times New Roman" w:cs="Times New Roman" w:eastAsia="Times New Roman" w:hAnsi="Times New Roman"/>
          <w:sz w:val="20"/>
          <w:szCs w:val="20"/>
          <w:color w:val="auto"/>
        </w:rPr>
      </w:pPr>
    </w:p>
    <w:p>
      <w:pPr>
        <w:ind w:left="3380" w:right="5420" w:firstLine="1"/>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Samlyn Capital, LLC – 0 Samlyn, LP – 0 Robert Pohly – 0</w:t>
      </w:r>
    </w:p>
    <w:p>
      <w:pPr>
        <w:spacing w:after="0" w:line="187" w:lineRule="exact"/>
        <w:rPr>
          <w:rFonts w:ascii="Times New Roman" w:cs="Times New Roman" w:eastAsia="Times New Roman" w:hAnsi="Times New Roman"/>
          <w:sz w:val="20"/>
          <w:szCs w:val="20"/>
          <w:color w:val="auto"/>
        </w:rPr>
      </w:pPr>
    </w:p>
    <w:p>
      <w:pPr>
        <w:ind w:left="3380" w:hanging="987"/>
        <w:spacing w:after="0"/>
        <w:tabs>
          <w:tab w:leader="none" w:pos="33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w:t>
      </w:r>
    </w:p>
    <w:p>
      <w:pPr>
        <w:spacing w:after="0" w:line="242" w:lineRule="exact"/>
        <w:rPr>
          <w:rFonts w:ascii="Times New Roman" w:cs="Times New Roman" w:eastAsia="Times New Roman" w:hAnsi="Times New Roman"/>
          <w:sz w:val="20"/>
          <w:szCs w:val="20"/>
          <w:color w:val="auto"/>
        </w:rPr>
      </w:pPr>
    </w:p>
    <w:p>
      <w:pPr>
        <w:ind w:left="3380" w:right="5420" w:firstLine="1"/>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Samlyn Capital, LLC – 0 Samlyn, LP – 0 Robert Pohly – 0</w:t>
      </w:r>
    </w:p>
    <w:p>
      <w:pPr>
        <w:spacing w:after="0" w:line="201" w:lineRule="exact"/>
        <w:rPr>
          <w:rFonts w:ascii="Times New Roman" w:cs="Times New Roman" w:eastAsia="Times New Roman" w:hAnsi="Times New Roman"/>
          <w:sz w:val="20"/>
          <w:szCs w:val="20"/>
          <w:color w:val="auto"/>
        </w:rPr>
      </w:pPr>
    </w:p>
    <w:p>
      <w:pPr>
        <w:ind w:left="3380" w:hanging="987"/>
        <w:spacing w:after="0"/>
        <w:tabs>
          <w:tab w:leader="none" w:pos="33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w:t>
      </w:r>
    </w:p>
    <w:p>
      <w:pPr>
        <w:spacing w:after="0" w:line="242" w:lineRule="exact"/>
        <w:rPr>
          <w:rFonts w:ascii="Times New Roman" w:cs="Times New Roman" w:eastAsia="Times New Roman" w:hAnsi="Times New Roman"/>
          <w:sz w:val="20"/>
          <w:szCs w:val="20"/>
          <w:color w:val="auto"/>
        </w:rPr>
      </w:pPr>
    </w:p>
    <w:p>
      <w:pPr>
        <w:ind w:left="3380" w:right="5420" w:firstLine="1"/>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Samlyn Capital, LLC – 0 Samlyn, LP – 0 Robert Pohly – 0</w:t>
      </w:r>
    </w:p>
    <w:p>
      <w:pPr>
        <w:spacing w:after="0" w:line="201" w:lineRule="exact"/>
        <w:rPr>
          <w:rFonts w:ascii="Times New Roman" w:cs="Times New Roman" w:eastAsia="Times New Roman" w:hAnsi="Times New Roman"/>
          <w:sz w:val="20"/>
          <w:szCs w:val="20"/>
          <w:color w:val="auto"/>
        </w:rPr>
      </w:pPr>
    </w:p>
    <w:p>
      <w:pPr>
        <w:ind w:left="3380" w:right="3140" w:hanging="987"/>
        <w:spacing w:after="0" w:line="518" w:lineRule="auto"/>
        <w:tabs>
          <w:tab w:leader="none" w:pos="337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 Samlyn Capital, LLC – 0</w:t>
      </w:r>
    </w:p>
    <w:p>
      <w:pPr>
        <w:sectPr>
          <w:pgSz w:w="11900" w:h="17037" w:orient="portrait"/>
          <w:cols w:equalWidth="0" w:num="1">
            <w:col w:w="10800"/>
          </w:cols>
          <w:pgMar w:left="420" w:top="711" w:right="679" w:bottom="0" w:gutter="0" w:footer="0" w:header="0"/>
          <w:type w:val="continuous"/>
        </w:sectPr>
      </w:pPr>
    </w:p>
    <w:bookmarkStart w:id="6" w:name="page7"/>
    <w:bookmarkEnd w:id="6"/>
    <w:p>
      <w:pPr>
        <w:ind w:left="2360"/>
        <w:spacing w:after="0"/>
        <w:rPr>
          <w:sz w:val="20"/>
          <w:szCs w:val="20"/>
          <w:color w:val="auto"/>
        </w:rPr>
      </w:pPr>
      <w:r>
        <w:rPr>
          <w:rFonts w:ascii="Times New Roman" w:cs="Times New Roman" w:eastAsia="Times New Roman" w:hAnsi="Times New Roman"/>
          <w:sz w:val="20"/>
          <w:szCs w:val="20"/>
          <w:color w:val="auto"/>
        </w:rPr>
        <w:t>Samlyn, LP – 0</w:t>
      </w:r>
    </w:p>
    <w:p>
      <w:pPr>
        <w:spacing w:after="0" w:line="2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Robert Pohly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307340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spacing w:after="0"/>
        <w:tabs>
          <w:tab w:leader="none" w:pos="18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Five Percent or Less of a Class.</w:t>
      </w:r>
    </w:p>
    <w:p>
      <w:pPr>
        <w:spacing w:after="0" w:line="243" w:lineRule="exact"/>
        <w:rPr>
          <w:sz w:val="20"/>
          <w:szCs w:val="20"/>
          <w:color w:val="auto"/>
        </w:rPr>
      </w:pPr>
    </w:p>
    <w:p>
      <w:pPr>
        <w:ind w:left="1820" w:right="24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287020</wp:posOffset>
            </wp:positionV>
            <wp:extent cx="5983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Ownership of More Than Five Percent on Behalf of Another Person.</w:t>
      </w:r>
    </w:p>
    <w:p>
      <w:pPr>
        <w:spacing w:after="0" w:line="243" w:lineRule="exact"/>
        <w:rPr>
          <w:sz w:val="20"/>
          <w:szCs w:val="20"/>
          <w:color w:val="auto"/>
        </w:rPr>
      </w:pPr>
    </w:p>
    <w:p>
      <w:pPr>
        <w:ind w:left="1820" w:right="120"/>
        <w:spacing w:after="0" w:line="246" w:lineRule="auto"/>
        <w:rPr>
          <w:sz w:val="20"/>
          <w:szCs w:val="20"/>
          <w:color w:val="auto"/>
        </w:rPr>
      </w:pPr>
      <w:r>
        <w:rPr>
          <w:rFonts w:ascii="Times New Roman" w:cs="Times New Roman" w:eastAsia="Times New Roman" w:hAnsi="Times New Roman"/>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20" w:right="280" w:hanging="1808"/>
        <w:spacing w:after="0" w:line="269" w:lineRule="auto"/>
        <w:tabs>
          <w:tab w:leader="none" w:pos="18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w:t>
      </w:r>
    </w:p>
    <w:p>
      <w:pPr>
        <w:spacing w:after="0" w:line="186" w:lineRule="exact"/>
        <w:rPr>
          <w:sz w:val="20"/>
          <w:szCs w:val="20"/>
          <w:color w:val="auto"/>
        </w:rPr>
      </w:pPr>
    </w:p>
    <w:p>
      <w:pPr>
        <w:ind w:left="1820" w:right="40"/>
        <w:spacing w:after="0" w:line="249" w:lineRule="auto"/>
        <w:rPr>
          <w:sz w:val="20"/>
          <w:szCs w:val="20"/>
          <w:color w:val="auto"/>
        </w:rPr>
      </w:pPr>
      <w:r>
        <w:rPr>
          <w:rFonts w:ascii="Times New Roman" w:cs="Times New Roman" w:eastAsia="Times New Roman" w:hAnsi="Times New Roman"/>
          <w:sz w:val="20"/>
          <w:szCs w:val="20"/>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Please 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Identification and Classification of Members of the Group.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8.</w:t>
      </w:r>
    </w:p>
    <w:p>
      <w:pPr>
        <w:spacing w:after="0" w:line="221" w:lineRule="exact"/>
        <w:rPr>
          <w:sz w:val="20"/>
          <w:szCs w:val="20"/>
          <w:color w:val="auto"/>
        </w:rPr>
      </w:pPr>
    </w:p>
    <w:p>
      <w:pPr>
        <w:ind w:left="1820" w:right="100" w:hanging="7"/>
        <w:spacing w:after="0" w:line="274" w:lineRule="auto"/>
        <w:rPr>
          <w:sz w:val="20"/>
          <w:szCs w:val="20"/>
          <w:color w:val="auto"/>
        </w:rPr>
      </w:pPr>
      <w:r>
        <w:rPr>
          <w:rFonts w:ascii="Times New Roman" w:cs="Times New Roman" w:eastAsia="Times New Roman" w:hAnsi="Times New Roman"/>
          <w:sz w:val="19"/>
          <w:szCs w:val="19"/>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43" w:lineRule="exact"/>
        <w:rPr>
          <w:sz w:val="20"/>
          <w:szCs w:val="20"/>
          <w:color w:val="auto"/>
        </w:rPr>
      </w:pPr>
    </w:p>
    <w:p>
      <w:pPr>
        <w:jc w:val="both"/>
        <w:ind w:left="1820" w:right="60" w:hanging="7"/>
        <w:spacing w:after="0" w:line="254" w:lineRule="auto"/>
        <w:rPr>
          <w:sz w:val="20"/>
          <w:szCs w:val="20"/>
          <w:color w:val="auto"/>
        </w:rPr>
      </w:pPr>
      <w:r>
        <w:rPr>
          <w:rFonts w:ascii="Times New Roman" w:cs="Times New Roman" w:eastAsia="Times New Roman" w:hAnsi="Times New Roman"/>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50"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43" w:lineRule="exact"/>
        <w:rPr>
          <w:sz w:val="20"/>
          <w:szCs w:val="20"/>
          <w:color w:val="auto"/>
        </w:rPr>
      </w:pPr>
    </w:p>
    <w:p>
      <w:pPr>
        <w:jc w:val="both"/>
        <w:ind w:left="204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303530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20"/>
          <w:szCs w:val="20"/>
          <w:color w:val="auto"/>
        </w:rPr>
        <w:t>February 14, 2023</w:t>
      </w:r>
    </w:p>
    <w:p>
      <w:pPr>
        <w:spacing w:after="0" w:line="2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-140335</wp:posOffset>
            </wp:positionV>
            <wp:extent cx="3488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SAMLYN CAPITAL, LLC*</w:t>
      </w:r>
    </w:p>
    <w:p>
      <w:pPr>
        <w:spacing w:after="0" w:line="260"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Samlyn, LP, its sole member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Samlyn GP, LLC, its general partner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7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SAMLYN, LP*</w:t>
      </w:r>
    </w:p>
    <w:p>
      <w:pPr>
        <w:spacing w:after="0" w:line="260"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Samlyn GP, LLC, its general partner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7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ROBERT POHLY*</w:t>
      </w:r>
    </w:p>
    <w:p>
      <w:pPr>
        <w:spacing w:after="0" w:line="260"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22860</wp:posOffset>
            </wp:positionV>
            <wp:extent cx="31375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8"/>
        <w:spacing w:after="0" w:line="254" w:lineRule="auto"/>
        <w:tabs>
          <w:tab w:leader="none" w:pos="15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Note. Schedules filed in paper format shall include a signed original and five copies of the schedule, including all exhibits. See s.240.13d-7 for other parties for whom copies are to be sent.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Amendment No. 1 to Schedule 13G dated February 14, 2023 relating to the Class A Common Stock, par value $0.0001 per share, of Perella Weinberg Partners shall be filed on behalf of the undersigned.</w:t>
      </w:r>
    </w:p>
    <w:p>
      <w:pPr>
        <w:spacing w:after="0" w:line="39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SAMLYN CAPITAL, LLC</w:t>
      </w:r>
    </w:p>
    <w:p>
      <w:pPr>
        <w:spacing w:after="0" w:line="260"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Samlyn, LP, its sole member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Samlyn GP, LLC, its general partner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7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SAMLYN, LP</w:t>
      </w:r>
    </w:p>
    <w:p>
      <w:pPr>
        <w:spacing w:after="0" w:line="260"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Samlyn GP, LLC, its general partner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-140335</wp:posOffset>
            </wp:positionV>
            <wp:extent cx="3137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7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ROBERT POHLY</w:t>
      </w:r>
    </w:p>
    <w:p>
      <w:pPr>
        <w:spacing w:after="0" w:line="260"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22860</wp:posOffset>
            </wp:positionV>
            <wp:extent cx="3137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1068705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Samlyn Capital, LLC is the relevant entity for which Robert Pohly may be considered a control person.</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5"/>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3"/>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1)"/>
      <w:numFmt w:val="lowerLetter"/>
      <w:start w:val="1"/>
    </w:lvl>
    <w:lvl w:ilvl="1">
      <w:lvlJc w:val="left"/>
      <w:lvlText w:val="(%2)"/>
      <w:numFmt w:val="decimal"/>
      <w:start w:val="1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lowerLetter"/>
      <w:start w:val="3"/>
    </w:lvl>
    <w:lvl w:ilvl="1">
      <w:lvlJc w:val="left"/>
      <w:lvlText w:val="(%2)"/>
      <w:numFmt w:val="lowerRoman"/>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2023-02-14T12:47:48Z</dcterms:created>
  <dcterms:modified xsi:type="dcterms:W3CDTF">2023-02-14T12:47:48Z</dcterms:modified>
</cp:coreProperties>
</file>