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704405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936307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664"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COHEN DANIEL G</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767 FIFTH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235"/>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Perella Weinberg Partners</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PWP</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8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05/24/2022</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2064"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94"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11" w:lineRule="exact"/>
        <w:rPr>
          <w:sz w:val="24"/>
          <w:szCs w:val="24"/>
          <w:color w:val="auto"/>
        </w:rPr>
      </w:pPr>
    </w:p>
    <w:p>
      <w:pPr>
        <w:sectPr>
          <w:pgSz w:w="11900" w:h="16838" w:orient="portrait"/>
          <w:cols w:equalWidth="0" w:num="3">
            <w:col w:w="3200" w:space="720"/>
            <w:col w:w="3095" w:space="720"/>
            <w:col w:w="3345"/>
          </w:cols>
          <w:pgMar w:left="460" w:top="219" w:right="359" w:bottom="664"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10153</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96" w:lineRule="exact"/>
        <w:rPr>
          <w:sz w:val="24"/>
          <w:szCs w:val="24"/>
          <w:color w:val="auto"/>
        </w:rPr>
      </w:pPr>
    </w:p>
    <w:p>
      <w:pPr>
        <w:sectPr>
          <w:pgSz w:w="11900" w:h="16838" w:orient="portrait"/>
          <w:cols w:equalWidth="0" w:num="2">
            <w:col w:w="3760" w:space="160"/>
            <w:col w:w="7160"/>
          </w:cols>
          <w:pgMar w:left="460" w:top="219" w:right="359" w:bottom="664"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tcPr>
          <w:p>
            <w:pPr>
              <w:ind w:left="7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7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7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460" w:type="dxa"/>
            <w:vAlign w:val="bottom"/>
          </w:tcPr>
          <w:p>
            <w:pPr>
              <w:spacing w:after="0"/>
              <w:rPr>
                <w:sz w:val="6"/>
                <w:szCs w:val="6"/>
                <w:color w:val="auto"/>
              </w:rPr>
            </w:pPr>
          </w:p>
        </w:tc>
        <w:tc>
          <w:tcPr>
            <w:tcW w:w="17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46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vMerge w:val="restart"/>
          </w:tcPr>
          <w:p>
            <w:pPr>
              <w:jc w:val="right"/>
              <w:ind w:right="162"/>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46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46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6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Borders>
              <w:bottom w:val="single" w:sz="8" w:color="2C2C2C"/>
            </w:tcBorders>
          </w:tcPr>
          <w:p>
            <w:pPr>
              <w:jc w:val="right"/>
              <w:ind w:right="89"/>
              <w:spacing w:after="0"/>
              <w:rPr>
                <w:sz w:val="20"/>
                <w:szCs w:val="20"/>
                <w:color w:val="auto"/>
              </w:rPr>
            </w:pPr>
            <w:r>
              <w:rPr>
                <w:rFonts w:ascii="Times New Roman" w:cs="Times New Roman" w:eastAsia="Times New Roman" w:hAnsi="Times New Roman"/>
                <w:sz w:val="17"/>
                <w:szCs w:val="17"/>
                <w:color w:val="0000FF"/>
              </w:rPr>
              <w:t>05/24/2022</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800" w:type="dxa"/>
            <w:vAlign w:val="bottom"/>
            <w:tcBorders>
              <w:bottom w:val="single" w:sz="8" w:color="2C2C2C"/>
            </w:tcBorders>
          </w:tcPr>
          <w:p>
            <w:pPr>
              <w:jc w:val="center"/>
              <w:ind w:right="111"/>
              <w:spacing w:after="0"/>
              <w:rPr>
                <w:sz w:val="20"/>
                <w:szCs w:val="20"/>
                <w:color w:val="auto"/>
              </w:rPr>
            </w:pPr>
            <w:r>
              <w:rPr>
                <w:rFonts w:ascii="Times New Roman" w:cs="Times New Roman" w:eastAsia="Times New Roman" w:hAnsi="Times New Roman"/>
                <w:sz w:val="17"/>
                <w:szCs w:val="17"/>
                <w:color w:val="0000FF"/>
              </w:rPr>
              <w:t>406</w:t>
            </w:r>
            <w:r>
              <w:rPr>
                <w:rFonts w:ascii="Times New Roman" w:cs="Times New Roman" w:eastAsia="Times New Roman" w:hAnsi="Times New Roman"/>
                <w:sz w:val="22"/>
                <w:szCs w:val="22"/>
                <w:color w:val="008000"/>
                <w:vertAlign w:val="superscript"/>
              </w:rPr>
              <w:t>(1)</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620" w:type="dxa"/>
            <w:vAlign w:val="bottom"/>
            <w:tcBorders>
              <w:bottom w:val="single" w:sz="8" w:color="2C2C2C"/>
            </w:tcBorders>
          </w:tcPr>
          <w:p>
            <w:pPr>
              <w:jc w:val="right"/>
              <w:ind w:right="12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67,399</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Borders>
              <w:bottom w:val="single" w:sz="8" w:color="2C2C2C"/>
            </w:tcBorders>
          </w:tcPr>
          <w:p>
            <w:pPr>
              <w:jc w:val="right"/>
              <w:ind w:right="89"/>
              <w:spacing w:after="0"/>
              <w:rPr>
                <w:sz w:val="20"/>
                <w:szCs w:val="20"/>
                <w:color w:val="auto"/>
              </w:rPr>
            </w:pPr>
            <w:r>
              <w:rPr>
                <w:rFonts w:ascii="Times New Roman" w:cs="Times New Roman" w:eastAsia="Times New Roman" w:hAnsi="Times New Roman"/>
                <w:sz w:val="17"/>
                <w:szCs w:val="17"/>
                <w:color w:val="0000FF"/>
              </w:rPr>
              <w:t>05/24/2022</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13,453</w:t>
            </w:r>
            <w:r>
              <w:rPr>
                <w:rFonts w:ascii="Times New Roman" w:cs="Times New Roman" w:eastAsia="Times New Roman" w:hAnsi="Times New Roman"/>
                <w:sz w:val="22"/>
                <w:szCs w:val="22"/>
                <w:color w:val="008000"/>
                <w:vertAlign w:val="superscript"/>
              </w:rPr>
              <w:t>(2)</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620" w:type="dxa"/>
            <w:vAlign w:val="bottom"/>
            <w:tcBorders>
              <w:bottom w:val="single" w:sz="8" w:color="2C2C2C"/>
            </w:tcBorders>
          </w:tcPr>
          <w:p>
            <w:pPr>
              <w:jc w:val="right"/>
              <w:ind w:right="12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80,852</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FinTech</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11,951</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Masala</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60" w:type="dxa"/>
            <w:vAlign w:val="bottom"/>
            <w:vMerge w:val="continue"/>
          </w:tcPr>
          <w:p>
            <w:pPr>
              <w:spacing w:after="0"/>
              <w:rPr>
                <w:sz w:val="10"/>
                <w:szCs w:val="10"/>
                <w:color w:val="auto"/>
              </w:rPr>
            </w:pPr>
          </w:p>
        </w:tc>
        <w:tc>
          <w:tcPr>
            <w:tcW w:w="17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Advisors</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46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IV,</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246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80"/>
              <w:spacing w:after="0" w:line="281" w:lineRule="exact"/>
              <w:rPr>
                <w:sz w:val="20"/>
                <w:szCs w:val="20"/>
                <w:color w:val="auto"/>
              </w:rPr>
            </w:pPr>
            <w:r>
              <w:rPr>
                <w:rFonts w:ascii="Times New Roman" w:cs="Times New Roman" w:eastAsia="Times New Roman" w:hAnsi="Times New Roman"/>
                <w:sz w:val="32"/>
                <w:szCs w:val="32"/>
                <w:color w:val="0000FF"/>
                <w:vertAlign w:val="subscript"/>
              </w:rPr>
              <w:t>LLC</w:t>
            </w:r>
            <w:r>
              <w:rPr>
                <w:rFonts w:ascii="Times New Roman" w:cs="Times New Roman" w:eastAsia="Times New Roman" w:hAnsi="Times New Roman"/>
                <w:sz w:val="11"/>
                <w:szCs w:val="11"/>
                <w:color w:val="008000"/>
              </w:rPr>
              <w:t>(3)</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FinTech</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11,951</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Masala</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60" w:type="dxa"/>
            <w:vAlign w:val="bottom"/>
            <w:vMerge w:val="continue"/>
          </w:tcPr>
          <w:p>
            <w:pPr>
              <w:spacing w:after="0"/>
              <w:rPr>
                <w:sz w:val="10"/>
                <w:szCs w:val="10"/>
                <w:color w:val="auto"/>
              </w:rPr>
            </w:pPr>
          </w:p>
        </w:tc>
        <w:tc>
          <w:tcPr>
            <w:tcW w:w="17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Advisors</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46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IV,</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246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(4)</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DGC</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57,923</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Family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60" w:type="dxa"/>
            <w:vAlign w:val="bottom"/>
            <w:vMerge w:val="continue"/>
          </w:tcPr>
          <w:p>
            <w:pPr>
              <w:spacing w:after="0"/>
              <w:rPr>
                <w:sz w:val="10"/>
                <w:szCs w:val="10"/>
                <w:color w:val="auto"/>
              </w:rPr>
            </w:pPr>
          </w:p>
        </w:tc>
        <w:tc>
          <w:tcPr>
            <w:tcW w:w="17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FinTech</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46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246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(5)</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FinTech</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133,603</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Masala</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Holdings,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246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80"/>
              <w:spacing w:after="0" w:line="281" w:lineRule="exact"/>
              <w:rPr>
                <w:sz w:val="20"/>
                <w:szCs w:val="20"/>
                <w:color w:val="auto"/>
              </w:rPr>
            </w:pPr>
            <w:r>
              <w:rPr>
                <w:rFonts w:ascii="Times New Roman" w:cs="Times New Roman" w:eastAsia="Times New Roman" w:hAnsi="Times New Roman"/>
                <w:sz w:val="32"/>
                <w:szCs w:val="32"/>
                <w:color w:val="0000FF"/>
                <w:vertAlign w:val="subscript"/>
              </w:rPr>
              <w:t>LLC</w:t>
            </w:r>
            <w:r>
              <w:rPr>
                <w:rFonts w:ascii="Times New Roman" w:cs="Times New Roman" w:eastAsia="Times New Roman" w:hAnsi="Times New Roman"/>
                <w:sz w:val="11"/>
                <w:szCs w:val="11"/>
                <w:color w:val="008000"/>
              </w:rPr>
              <w:t>(6)</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FinTech</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781,133</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Masala</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Holdings,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246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(7)</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DGC</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133,602</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Family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60" w:type="dxa"/>
            <w:vAlign w:val="bottom"/>
            <w:vMerge w:val="continue"/>
          </w:tcPr>
          <w:p>
            <w:pPr>
              <w:spacing w:after="0"/>
              <w:rPr>
                <w:sz w:val="10"/>
                <w:szCs w:val="10"/>
                <w:color w:val="auto"/>
              </w:rPr>
            </w:pPr>
          </w:p>
        </w:tc>
        <w:tc>
          <w:tcPr>
            <w:tcW w:w="17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FinTech</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46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246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(8)</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FinTech</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781,132</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Masala</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Holdings,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8"/>
        </w:trPr>
        <w:tc>
          <w:tcPr>
            <w:tcW w:w="20" w:type="dxa"/>
            <w:vAlign w:val="bottom"/>
            <w:tcBorders>
              <w:bottom w:val="single" w:sz="8" w:color="2C2C2C"/>
            </w:tcBorders>
          </w:tcPr>
          <w:p>
            <w:pPr>
              <w:spacing w:after="0"/>
              <w:rPr>
                <w:sz w:val="24"/>
                <w:szCs w:val="24"/>
                <w:color w:val="auto"/>
              </w:rPr>
            </w:pPr>
          </w:p>
        </w:tc>
        <w:tc>
          <w:tcPr>
            <w:tcW w:w="246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(9)</w:t>
            </w: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460" w:type="dxa"/>
            <w:vAlign w:val="bottom"/>
            <w:tcBorders>
              <w:top w:val="single" w:sz="8" w:color="808080"/>
            </w:tcBorders>
            <w:shd w:val="clear" w:color="auto" w:fill="2C2C2C"/>
          </w:tcPr>
          <w:p>
            <w:pPr>
              <w:spacing w:after="0" w:line="20" w:lineRule="exact"/>
              <w:rPr>
                <w:sz w:val="1"/>
                <w:szCs w:val="1"/>
                <w:color w:val="auto"/>
              </w:rPr>
            </w:pPr>
          </w:p>
        </w:tc>
        <w:tc>
          <w:tcPr>
            <w:tcW w:w="174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50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92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ectPr>
          <w:pgSz w:w="11900" w:h="16838" w:orient="portrait"/>
          <w:cols w:equalWidth="0" w:num="1">
            <w:col w:w="11080"/>
          </w:cols>
          <w:pgMar w:left="460" w:top="219" w:right="359" w:bottom="664"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38"/>
        </w:trPr>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240" w:type="dxa"/>
            <w:vAlign w:val="bottom"/>
          </w:tcPr>
          <w:p>
            <w:pPr>
              <w:spacing w:after="0"/>
              <w:rPr>
                <w:sz w:val="12"/>
                <w:szCs w:val="12"/>
                <w:color w:val="auto"/>
              </w:rPr>
            </w:pP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 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53"/>
        </w:trPr>
        <w:tc>
          <w:tcPr>
            <w:tcW w:w="7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120" w:type="dxa"/>
            <w:vAlign w:val="bottom"/>
            <w:gridSpan w:val="11"/>
          </w:tcPr>
          <w:p>
            <w:pPr>
              <w:jc w:val="center"/>
              <w:ind w:right="823"/>
              <w:spacing w:after="0" w:line="54" w:lineRule="exact"/>
              <w:rPr>
                <w:sz w:val="20"/>
                <w:szCs w:val="20"/>
                <w:color w:val="auto"/>
              </w:rPr>
            </w:pPr>
            <w:r>
              <w:rPr>
                <w:rFonts w:ascii="Arial" w:cs="Arial" w:eastAsia="Arial" w:hAnsi="Arial"/>
                <w:sz w:val="6"/>
                <w:szCs w:val="6"/>
                <w:b w:val="1"/>
                <w:bCs w:val="1"/>
                <w:color w:val="auto"/>
              </w:rPr>
              <w:t>Table II - Derivative Securities Acquired, Disposed of, or Beneficially Owned</w:t>
            </w:r>
          </w:p>
        </w:tc>
        <w:tc>
          <w:tcPr>
            <w:tcW w:w="7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80"/>
        </w:trPr>
        <w:tc>
          <w:tcPr>
            <w:tcW w:w="74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1120" w:type="dxa"/>
            <w:vAlign w:val="bottom"/>
            <w:gridSpan w:val="2"/>
          </w:tcPr>
          <w:p>
            <w:pPr>
              <w:ind w:left="60"/>
              <w:spacing w:after="0" w:line="80" w:lineRule="exact"/>
              <w:rPr>
                <w:sz w:val="20"/>
                <w:szCs w:val="20"/>
                <w:color w:val="auto"/>
              </w:rPr>
            </w:pPr>
            <w:r>
              <w:rPr>
                <w:rFonts w:ascii="Arial" w:cs="Arial" w:eastAsia="Arial" w:hAnsi="Arial"/>
                <w:sz w:val="8"/>
                <w:szCs w:val="8"/>
                <w:b w:val="1"/>
                <w:bCs w:val="1"/>
                <w:color w:val="auto"/>
              </w:rPr>
              <w:t>Execution Date,</w:t>
            </w:r>
          </w:p>
        </w:tc>
        <w:tc>
          <w:tcPr>
            <w:tcW w:w="820" w:type="dxa"/>
            <w:vAlign w:val="bottom"/>
          </w:tcPr>
          <w:p>
            <w:pPr>
              <w:ind w:left="60"/>
              <w:spacing w:after="0" w:line="80" w:lineRule="exact"/>
              <w:rPr>
                <w:sz w:val="20"/>
                <w:szCs w:val="20"/>
                <w:color w:val="auto"/>
              </w:rPr>
            </w:pPr>
            <w:r>
              <w:rPr>
                <w:rFonts w:ascii="Arial" w:cs="Arial" w:eastAsia="Arial" w:hAnsi="Arial"/>
                <w:sz w:val="8"/>
                <w:szCs w:val="8"/>
                <w:b w:val="1"/>
                <w:bCs w:val="1"/>
                <w:color w:val="auto"/>
              </w:rPr>
              <w:t>Transaction</w:t>
            </w:r>
          </w:p>
        </w:tc>
        <w:tc>
          <w:tcPr>
            <w:tcW w:w="740" w:type="dxa"/>
            <w:vAlign w:val="bottom"/>
          </w:tcPr>
          <w:p>
            <w:pPr>
              <w:ind w:left="80"/>
              <w:spacing w:after="0" w:line="80" w:lineRule="exact"/>
              <w:rPr>
                <w:sz w:val="20"/>
                <w:szCs w:val="20"/>
                <w:color w:val="auto"/>
              </w:rPr>
            </w:pPr>
            <w:r>
              <w:rPr>
                <w:rFonts w:ascii="Arial" w:cs="Arial" w:eastAsia="Arial" w:hAnsi="Arial"/>
                <w:sz w:val="8"/>
                <w:szCs w:val="8"/>
                <w:b w:val="1"/>
                <w:bCs w:val="1"/>
                <w:color w:val="auto"/>
              </w:rPr>
              <w:t>of</w:t>
            </w:r>
          </w:p>
        </w:tc>
        <w:tc>
          <w:tcPr>
            <w:tcW w:w="1540" w:type="dxa"/>
            <w:vAlign w:val="bottom"/>
            <w:gridSpan w:val="2"/>
          </w:tcPr>
          <w:p>
            <w:pPr>
              <w:ind w:left="60"/>
              <w:spacing w:after="0" w:line="80" w:lineRule="exact"/>
              <w:rPr>
                <w:sz w:val="20"/>
                <w:szCs w:val="20"/>
                <w:color w:val="auto"/>
              </w:rPr>
            </w:pPr>
            <w:r>
              <w:rPr>
                <w:rFonts w:ascii="Arial" w:cs="Arial" w:eastAsia="Arial" w:hAnsi="Arial"/>
                <w:sz w:val="8"/>
                <w:szCs w:val="8"/>
                <w:b w:val="1"/>
                <w:bCs w:val="1"/>
                <w:color w:val="auto"/>
              </w:rPr>
              <w:t>Expiration Date</w:t>
            </w:r>
          </w:p>
        </w:tc>
        <w:tc>
          <w:tcPr>
            <w:tcW w:w="1060" w:type="dxa"/>
            <w:vAlign w:val="bottom"/>
            <w:gridSpan w:val="2"/>
          </w:tcPr>
          <w:p>
            <w:pPr>
              <w:ind w:left="60"/>
              <w:spacing w:after="0" w:line="80" w:lineRule="exact"/>
              <w:rPr>
                <w:sz w:val="20"/>
                <w:szCs w:val="20"/>
                <w:color w:val="auto"/>
              </w:rPr>
            </w:pPr>
            <w:r>
              <w:rPr>
                <w:rFonts w:ascii="Arial" w:cs="Arial" w:eastAsia="Arial" w:hAnsi="Arial"/>
                <w:sz w:val="8"/>
                <w:szCs w:val="8"/>
                <w:b w:val="1"/>
                <w:bCs w:val="1"/>
                <w:color w:val="auto"/>
              </w:rPr>
              <w:t>Amount of</w:t>
            </w:r>
          </w:p>
        </w:tc>
        <w:tc>
          <w:tcPr>
            <w:tcW w:w="640" w:type="dxa"/>
            <w:vAlign w:val="bottom"/>
          </w:tcPr>
          <w:p>
            <w:pPr>
              <w:spacing w:after="0" w:line="80" w:lineRule="exact"/>
              <w:rPr>
                <w:sz w:val="20"/>
                <w:szCs w:val="20"/>
                <w:color w:val="auto"/>
              </w:rPr>
            </w:pPr>
            <w:r>
              <w:rPr>
                <w:rFonts w:ascii="Arial" w:cs="Arial" w:eastAsia="Arial" w:hAnsi="Arial"/>
                <w:sz w:val="8"/>
                <w:szCs w:val="8"/>
                <w:b w:val="1"/>
                <w:bCs w:val="1"/>
                <w:color w:val="auto"/>
              </w:rPr>
              <w:t>Derivative</w:t>
            </w:r>
          </w:p>
        </w:tc>
        <w:tc>
          <w:tcPr>
            <w:tcW w:w="960" w:type="dxa"/>
            <w:vAlign w:val="bottom"/>
          </w:tcPr>
          <w:p>
            <w:pPr>
              <w:ind w:left="80"/>
              <w:spacing w:after="0" w:line="80" w:lineRule="exact"/>
              <w:rPr>
                <w:sz w:val="20"/>
                <w:szCs w:val="20"/>
                <w:color w:val="auto"/>
              </w:rPr>
            </w:pPr>
            <w:r>
              <w:rPr>
                <w:rFonts w:ascii="Arial" w:cs="Arial" w:eastAsia="Arial" w:hAnsi="Arial"/>
                <w:sz w:val="8"/>
                <w:szCs w:val="8"/>
                <w:b w:val="1"/>
                <w:bCs w:val="1"/>
                <w:color w:val="auto"/>
              </w:rPr>
              <w:t>derivative</w:t>
            </w:r>
          </w:p>
        </w:tc>
        <w:tc>
          <w:tcPr>
            <w:tcW w:w="76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
        </w:trPr>
        <w:tc>
          <w:tcPr>
            <w:tcW w:w="740" w:type="dxa"/>
            <w:vAlign w:val="bottom"/>
          </w:tcPr>
          <w:p>
            <w:pPr>
              <w:ind w:left="80"/>
              <w:spacing w:after="0"/>
              <w:rPr>
                <w:sz w:val="20"/>
                <w:szCs w:val="20"/>
                <w:color w:val="auto"/>
              </w:rPr>
            </w:pPr>
            <w:r>
              <w:rPr>
                <w:rFonts w:ascii="Arial" w:cs="Arial" w:eastAsia="Arial" w:hAnsi="Arial"/>
                <w:sz w:val="2"/>
                <w:szCs w:val="2"/>
                <w:b w:val="1"/>
                <w:bCs w:val="1"/>
                <w:color w:val="auto"/>
              </w:rPr>
              <w:t>Security</w:t>
            </w:r>
          </w:p>
        </w:tc>
        <w:tc>
          <w:tcPr>
            <w:tcW w:w="800" w:type="dxa"/>
            <w:vAlign w:val="bottom"/>
          </w:tcPr>
          <w:p>
            <w:pPr>
              <w:ind w:left="60"/>
              <w:spacing w:after="0"/>
              <w:rPr>
                <w:sz w:val="20"/>
                <w:szCs w:val="20"/>
                <w:color w:val="auto"/>
              </w:rPr>
            </w:pPr>
            <w:r>
              <w:rPr>
                <w:rFonts w:ascii="Arial" w:cs="Arial" w:eastAsia="Arial" w:hAnsi="Arial"/>
                <w:sz w:val="2"/>
                <w:szCs w:val="2"/>
                <w:b w:val="1"/>
                <w:bCs w:val="1"/>
                <w:color w:val="auto"/>
              </w:rPr>
              <w:t>or Exercise</w:t>
            </w:r>
          </w:p>
        </w:tc>
        <w:tc>
          <w:tcPr>
            <w:tcW w:w="1120" w:type="dxa"/>
            <w:vAlign w:val="bottom"/>
            <w:gridSpan w:val="2"/>
          </w:tcPr>
          <w:p>
            <w:pPr>
              <w:ind w:left="60"/>
              <w:spacing w:after="0"/>
              <w:rPr>
                <w:sz w:val="20"/>
                <w:szCs w:val="20"/>
                <w:color w:val="auto"/>
              </w:rPr>
            </w:pPr>
            <w:r>
              <w:rPr>
                <w:rFonts w:ascii="Arial" w:cs="Arial" w:eastAsia="Arial" w:hAnsi="Arial"/>
                <w:sz w:val="2"/>
                <w:szCs w:val="2"/>
                <w:b w:val="1"/>
                <w:bCs w:val="1"/>
                <w:color w:val="auto"/>
              </w:rPr>
              <w:t>(Month/Day/Year)</w:t>
            </w:r>
          </w:p>
        </w:tc>
        <w:tc>
          <w:tcPr>
            <w:tcW w:w="440" w:type="dxa"/>
            <w:vAlign w:val="bottom"/>
          </w:tcPr>
          <w:p>
            <w:pPr>
              <w:ind w:left="60"/>
              <w:spacing w:after="0"/>
              <w:rPr>
                <w:sz w:val="20"/>
                <w:szCs w:val="20"/>
                <w:color w:val="auto"/>
              </w:rPr>
            </w:pPr>
            <w:r>
              <w:rPr>
                <w:rFonts w:ascii="Arial" w:cs="Arial" w:eastAsia="Arial" w:hAnsi="Arial"/>
                <w:sz w:val="2"/>
                <w:szCs w:val="2"/>
                <w:b w:val="1"/>
                <w:bCs w:val="1"/>
                <w:color w:val="auto"/>
              </w:rPr>
              <w:t>if any</w:t>
            </w:r>
          </w:p>
        </w:tc>
        <w:tc>
          <w:tcPr>
            <w:tcW w:w="4840" w:type="dxa"/>
            <w:vAlign w:val="bottom"/>
            <w:gridSpan w:val="7"/>
          </w:tcPr>
          <w:p>
            <w:pPr>
              <w:jc w:val="center"/>
              <w:ind w:left="49"/>
              <w:spacing w:after="0"/>
              <w:rPr>
                <w:sz w:val="20"/>
                <w:szCs w:val="20"/>
                <w:color w:val="auto"/>
              </w:rPr>
            </w:pPr>
            <w:r>
              <w:rPr>
                <w:rFonts w:ascii="Arial" w:cs="Arial" w:eastAsia="Arial" w:hAnsi="Arial"/>
                <w:sz w:val="2"/>
                <w:szCs w:val="2"/>
                <w:b w:val="1"/>
                <w:bCs w:val="1"/>
                <w:color w:val="auto"/>
              </w:rPr>
              <w:t>(e.g., puts, calls, warrants, options, convertible securities)</w:t>
            </w:r>
          </w:p>
        </w:tc>
        <w:tc>
          <w:tcPr>
            <w:tcW w:w="640" w:type="dxa"/>
            <w:vAlign w:val="bottom"/>
            <w:vMerge w:val="restart"/>
          </w:tcPr>
          <w:p>
            <w:pPr>
              <w:spacing w:after="0"/>
              <w:rPr>
                <w:sz w:val="20"/>
                <w:szCs w:val="20"/>
                <w:color w:val="auto"/>
              </w:rPr>
            </w:pPr>
            <w:r>
              <w:rPr>
                <w:rFonts w:ascii="Arial" w:cs="Arial" w:eastAsia="Arial" w:hAnsi="Arial"/>
                <w:sz w:val="12"/>
                <w:szCs w:val="12"/>
                <w:b w:val="1"/>
                <w:bCs w:val="1"/>
                <w:color w:val="auto"/>
              </w:rPr>
              <w:t>Security</w:t>
            </w:r>
          </w:p>
        </w:tc>
        <w:tc>
          <w:tcPr>
            <w:tcW w:w="9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Securities</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Form:</w:t>
            </w: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line="20" w:lineRule="exact"/>
              <w:rPr>
                <w:sz w:val="1"/>
                <w:szCs w:val="1"/>
                <w:color w:val="auto"/>
              </w:rPr>
            </w:pPr>
          </w:p>
        </w:tc>
      </w:tr>
      <w:tr>
        <w:trPr>
          <w:trHeight w:val="121"/>
        </w:trPr>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21"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21" w:lineRule="exact"/>
              <w:rPr>
                <w:sz w:val="20"/>
                <w:szCs w:val="20"/>
                <w:color w:val="auto"/>
              </w:rPr>
            </w:pPr>
            <w:r>
              <w:rPr>
                <w:rFonts w:ascii="Arial" w:cs="Arial" w:eastAsia="Arial" w:hAnsi="Arial"/>
                <w:sz w:val="12"/>
                <w:szCs w:val="12"/>
                <w:b w:val="1"/>
                <w:bCs w:val="1"/>
                <w:color w:val="auto"/>
              </w:rPr>
              <w:t>Securities</w:t>
            </w:r>
          </w:p>
        </w:tc>
        <w:tc>
          <w:tcPr>
            <w:tcW w:w="64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6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6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1. Title of</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2.</w:t>
            </w:r>
          </w:p>
        </w:tc>
        <w:tc>
          <w:tcPr>
            <w:tcW w:w="880" w:type="dxa"/>
            <w:vAlign w:val="bottom"/>
            <w:vMerge w:val="restart"/>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240" w:type="dxa"/>
            <w:vAlign w:val="bottom"/>
          </w:tcPr>
          <w:p>
            <w:pPr>
              <w:spacing w:after="0"/>
              <w:rPr>
                <w:sz w:val="13"/>
                <w:szCs w:val="13"/>
                <w:color w:val="auto"/>
              </w:rPr>
            </w:pPr>
          </w:p>
        </w:tc>
        <w:tc>
          <w:tcPr>
            <w:tcW w:w="11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2"/>
          </w:tcPr>
          <w:p>
            <w:pPr>
              <w:ind w:left="460"/>
              <w:spacing w:after="0"/>
              <w:rPr>
                <w:sz w:val="20"/>
                <w:szCs w:val="20"/>
                <w:color w:val="auto"/>
              </w:rPr>
            </w:pPr>
            <w:r>
              <w:rPr>
                <w:rFonts w:ascii="Arial" w:cs="Arial" w:eastAsia="Arial" w:hAnsi="Arial"/>
                <w:sz w:val="12"/>
                <w:szCs w:val="12"/>
                <w:b w:val="1"/>
                <w:bCs w:val="1"/>
                <w:color w:val="auto"/>
              </w:rPr>
              <w:t>Amount</w:t>
            </w:r>
          </w:p>
        </w:tc>
        <w:tc>
          <w:tcPr>
            <w:tcW w:w="640" w:type="dxa"/>
            <w:vAlign w:val="bottom"/>
            <w:vMerge w:val="restart"/>
          </w:tcPr>
          <w:p>
            <w:pPr>
              <w:spacing w:after="0"/>
              <w:rPr>
                <w:sz w:val="20"/>
                <w:szCs w:val="20"/>
                <w:color w:val="auto"/>
              </w:rPr>
            </w:pPr>
            <w:r>
              <w:rPr>
                <w:rFonts w:ascii="Arial" w:cs="Arial" w:eastAsia="Arial" w:hAnsi="Arial"/>
                <w:sz w:val="12"/>
                <w:szCs w:val="12"/>
                <w:b w:val="1"/>
                <w:bCs w:val="1"/>
                <w:color w:val="auto"/>
              </w:rPr>
              <w:t>8. Price of</w:t>
            </w:r>
          </w:p>
        </w:tc>
        <w:tc>
          <w:tcPr>
            <w:tcW w:w="9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07"/>
        </w:trPr>
        <w:tc>
          <w:tcPr>
            <w:tcW w:w="74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1060" w:type="dxa"/>
            <w:vAlign w:val="bottom"/>
            <w:gridSpan w:val="2"/>
          </w:tcPr>
          <w:p>
            <w:pPr>
              <w:ind w:left="60"/>
              <w:spacing w:after="0" w:line="107" w:lineRule="exact"/>
              <w:rPr>
                <w:sz w:val="20"/>
                <w:szCs w:val="20"/>
                <w:color w:val="auto"/>
              </w:rPr>
            </w:pPr>
            <w:r>
              <w:rPr>
                <w:rFonts w:ascii="Arial" w:cs="Arial" w:eastAsia="Arial" w:hAnsi="Arial"/>
                <w:sz w:val="12"/>
                <w:szCs w:val="12"/>
                <w:b w:val="1"/>
                <w:bCs w:val="1"/>
                <w:color w:val="auto"/>
              </w:rPr>
              <w:t>7. Title and</w:t>
            </w:r>
          </w:p>
        </w:tc>
        <w:tc>
          <w:tcPr>
            <w:tcW w:w="64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7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240" w:type="dxa"/>
            <w:vAlign w:val="bottom"/>
          </w:tcPr>
          <w:p>
            <w:pPr>
              <w:spacing w:after="0"/>
              <w:rPr>
                <w:sz w:val="2"/>
                <w:szCs w:val="2"/>
                <w:color w:val="auto"/>
              </w:rPr>
            </w:pPr>
          </w:p>
        </w:tc>
        <w:tc>
          <w:tcPr>
            <w:tcW w:w="112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2"/>
          </w:tcPr>
          <w:p>
            <w:pPr>
              <w:ind w:left="460"/>
              <w:spacing w:after="0"/>
              <w:rPr>
                <w:sz w:val="20"/>
                <w:szCs w:val="20"/>
                <w:color w:val="auto"/>
              </w:rPr>
            </w:pPr>
            <w:r>
              <w:rPr>
                <w:rFonts w:ascii="Arial" w:cs="Arial" w:eastAsia="Arial" w:hAnsi="Arial"/>
                <w:sz w:val="2"/>
                <w:szCs w:val="2"/>
                <w:b w:val="1"/>
                <w:bCs w:val="1"/>
                <w:color w:val="auto"/>
              </w:rPr>
              <w:t>or</w:t>
            </w:r>
          </w:p>
        </w:tc>
        <w:tc>
          <w:tcPr>
            <w:tcW w:w="64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line="20" w:lineRule="exact"/>
              <w:rPr>
                <w:sz w:val="1"/>
                <w:szCs w:val="1"/>
                <w:color w:val="auto"/>
              </w:rPr>
            </w:pPr>
          </w:p>
        </w:tc>
      </w:tr>
      <w:tr>
        <w:trPr>
          <w:trHeight w:val="107"/>
        </w:trPr>
        <w:tc>
          <w:tcPr>
            <w:tcW w:w="74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1060" w:type="dxa"/>
            <w:vAlign w:val="bottom"/>
            <w:gridSpan w:val="2"/>
          </w:tcPr>
          <w:p>
            <w:pPr>
              <w:ind w:left="60"/>
              <w:spacing w:after="0" w:line="107" w:lineRule="exact"/>
              <w:rPr>
                <w:sz w:val="20"/>
                <w:szCs w:val="20"/>
                <w:color w:val="auto"/>
              </w:rPr>
            </w:pPr>
            <w:r>
              <w:rPr>
                <w:rFonts w:ascii="Arial" w:cs="Arial" w:eastAsia="Arial" w:hAnsi="Arial"/>
                <w:sz w:val="12"/>
                <w:szCs w:val="12"/>
                <w:b w:val="1"/>
                <w:bCs w:val="1"/>
                <w:color w:val="auto"/>
              </w:rPr>
              <w:t>Amount of</w:t>
            </w:r>
          </w:p>
        </w:tc>
        <w:tc>
          <w:tcPr>
            <w:tcW w:w="64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7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2"/>
                <w:szCs w:val="2"/>
                <w:color w:val="auto"/>
              </w:rPr>
            </w:pPr>
          </w:p>
        </w:tc>
        <w:tc>
          <w:tcPr>
            <w:tcW w:w="82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460"/>
              <w:spacing w:after="0"/>
              <w:rPr>
                <w:sz w:val="20"/>
                <w:szCs w:val="20"/>
                <w:color w:val="auto"/>
              </w:rPr>
            </w:pPr>
            <w:r>
              <w:rPr>
                <w:rFonts w:ascii="Arial" w:cs="Arial" w:eastAsia="Arial" w:hAnsi="Arial"/>
                <w:sz w:val="2"/>
                <w:szCs w:val="2"/>
                <w:b w:val="1"/>
                <w:bCs w:val="1"/>
                <w:color w:val="auto"/>
              </w:rPr>
              <w:t>Number</w:t>
            </w:r>
          </w:p>
        </w:tc>
        <w:tc>
          <w:tcPr>
            <w:tcW w:w="64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line="20" w:lineRule="exact"/>
              <w:rPr>
                <w:sz w:val="1"/>
                <w:szCs w:val="1"/>
                <w:color w:val="auto"/>
              </w:rPr>
            </w:pPr>
          </w:p>
        </w:tc>
      </w:tr>
      <w:tr>
        <w:trPr>
          <w:trHeight w:val="107"/>
        </w:trPr>
        <w:tc>
          <w:tcPr>
            <w:tcW w:w="74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1060" w:type="dxa"/>
            <w:vAlign w:val="bottom"/>
            <w:gridSpan w:val="2"/>
          </w:tcPr>
          <w:p>
            <w:pPr>
              <w:ind w:left="60"/>
              <w:spacing w:after="0" w:line="107" w:lineRule="exact"/>
              <w:rPr>
                <w:sz w:val="20"/>
                <w:szCs w:val="20"/>
                <w:color w:val="auto"/>
              </w:rPr>
            </w:pPr>
            <w:r>
              <w:rPr>
                <w:rFonts w:ascii="Arial" w:cs="Arial" w:eastAsia="Arial" w:hAnsi="Arial"/>
                <w:sz w:val="12"/>
                <w:szCs w:val="12"/>
                <w:b w:val="1"/>
                <w:bCs w:val="1"/>
                <w:color w:val="auto"/>
              </w:rPr>
              <w:t>Securities</w:t>
            </w:r>
          </w:p>
        </w:tc>
        <w:tc>
          <w:tcPr>
            <w:tcW w:w="64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7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ind w:left="60"/>
              <w:spacing w:after="0"/>
              <w:rPr>
                <w:sz w:val="20"/>
                <w:szCs w:val="20"/>
                <w:color w:val="auto"/>
              </w:rPr>
            </w:pPr>
            <w:r>
              <w:rPr>
                <w:rFonts w:ascii="Arial" w:cs="Arial" w:eastAsia="Arial" w:hAnsi="Arial"/>
                <w:sz w:val="2"/>
                <w:szCs w:val="2"/>
                <w:b w:val="1"/>
                <w:bCs w:val="1"/>
                <w:color w:val="auto"/>
              </w:rPr>
              <w:t>Date</w:t>
            </w:r>
          </w:p>
        </w:tc>
        <w:tc>
          <w:tcPr>
            <w:tcW w:w="740" w:type="dxa"/>
            <w:vAlign w:val="bottom"/>
          </w:tcPr>
          <w:p>
            <w:pPr>
              <w:ind w:left="80"/>
              <w:spacing w:after="0"/>
              <w:rPr>
                <w:sz w:val="20"/>
                <w:szCs w:val="20"/>
                <w:color w:val="auto"/>
              </w:rPr>
            </w:pPr>
            <w:r>
              <w:rPr>
                <w:rFonts w:ascii="Arial" w:cs="Arial" w:eastAsia="Arial" w:hAnsi="Arial"/>
                <w:sz w:val="2"/>
                <w:szCs w:val="2"/>
                <w:b w:val="1"/>
                <w:bCs w:val="1"/>
                <w:color w:val="auto"/>
              </w:rPr>
              <w:t>Expiration</w:t>
            </w:r>
          </w:p>
        </w:tc>
        <w:tc>
          <w:tcPr>
            <w:tcW w:w="1060" w:type="dxa"/>
            <w:vAlign w:val="bottom"/>
            <w:gridSpan w:val="2"/>
          </w:tcPr>
          <w:p>
            <w:pPr>
              <w:ind w:left="460"/>
              <w:spacing w:after="0"/>
              <w:rPr>
                <w:sz w:val="20"/>
                <w:szCs w:val="20"/>
                <w:color w:val="auto"/>
              </w:rPr>
            </w:pPr>
            <w:r>
              <w:rPr>
                <w:rFonts w:ascii="Arial" w:cs="Arial" w:eastAsia="Arial" w:hAnsi="Arial"/>
                <w:sz w:val="2"/>
                <w:szCs w:val="2"/>
                <w:b w:val="1"/>
                <w:bCs w:val="1"/>
                <w:color w:val="auto"/>
              </w:rPr>
              <w:t>of</w:t>
            </w:r>
          </w:p>
        </w:tc>
        <w:tc>
          <w:tcPr>
            <w:tcW w:w="64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line="20" w:lineRule="exact"/>
              <w:rPr>
                <w:sz w:val="1"/>
                <w:szCs w:val="1"/>
                <w:color w:val="auto"/>
              </w:rPr>
            </w:pPr>
          </w:p>
        </w:tc>
      </w:tr>
      <w:tr>
        <w:trPr>
          <w:trHeight w:val="107"/>
        </w:trPr>
        <w:tc>
          <w:tcPr>
            <w:tcW w:w="74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8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Exercisable</w:t>
            </w:r>
          </w:p>
        </w:tc>
        <w:tc>
          <w:tcPr>
            <w:tcW w:w="7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060" w:type="dxa"/>
            <w:vAlign w:val="bottom"/>
            <w:gridSpan w:val="2"/>
          </w:tcPr>
          <w:p>
            <w:pPr>
              <w:ind w:left="60"/>
              <w:spacing w:after="0" w:line="107" w:lineRule="exact"/>
              <w:rPr>
                <w:sz w:val="20"/>
                <w:szCs w:val="20"/>
                <w:color w:val="auto"/>
              </w:rPr>
            </w:pPr>
            <w:r>
              <w:rPr>
                <w:rFonts w:ascii="Arial" w:cs="Arial" w:eastAsia="Arial" w:hAnsi="Arial"/>
                <w:sz w:val="12"/>
                <w:szCs w:val="12"/>
                <w:b w:val="1"/>
                <w:bCs w:val="1"/>
                <w:color w:val="auto"/>
              </w:rPr>
              <w:t>Underlying</w:t>
            </w:r>
          </w:p>
        </w:tc>
        <w:tc>
          <w:tcPr>
            <w:tcW w:w="64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7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20" w:type="dxa"/>
            <w:vAlign w:val="bottom"/>
          </w:tcPr>
          <w:p>
            <w:pPr>
              <w:ind w:left="60"/>
              <w:spacing w:after="0"/>
              <w:rPr>
                <w:sz w:val="20"/>
                <w:szCs w:val="20"/>
                <w:color w:val="auto"/>
              </w:rPr>
            </w:pPr>
            <w:r>
              <w:rPr>
                <w:rFonts w:ascii="Arial" w:cs="Arial" w:eastAsia="Arial" w:hAnsi="Arial"/>
                <w:sz w:val="2"/>
                <w:szCs w:val="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2"/>
                <w:szCs w:val="2"/>
                <w:b w:val="1"/>
                <w:bCs w:val="1"/>
                <w:color w:val="auto"/>
              </w:rPr>
              <w:t>(A)   (D)</w:t>
            </w:r>
          </w:p>
        </w:tc>
        <w:tc>
          <w:tcPr>
            <w:tcW w:w="800" w:type="dxa"/>
            <w:vAlign w:val="bottom"/>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1060" w:type="dxa"/>
            <w:vAlign w:val="bottom"/>
            <w:gridSpan w:val="2"/>
          </w:tcPr>
          <w:p>
            <w:pPr>
              <w:ind w:left="60"/>
              <w:spacing w:after="0"/>
              <w:rPr>
                <w:sz w:val="20"/>
                <w:szCs w:val="20"/>
                <w:color w:val="auto"/>
              </w:rPr>
            </w:pPr>
            <w:r>
              <w:rPr>
                <w:rFonts w:ascii="Arial" w:cs="Arial" w:eastAsia="Arial" w:hAnsi="Arial"/>
                <w:sz w:val="2"/>
                <w:szCs w:val="2"/>
                <w:b w:val="1"/>
                <w:bCs w:val="1"/>
                <w:color w:val="auto"/>
              </w:rPr>
              <w:t>Title  Shares</w:t>
            </w:r>
          </w:p>
        </w:tc>
        <w:tc>
          <w:tcPr>
            <w:tcW w:w="640" w:type="dxa"/>
            <w:vAlign w:val="bottom"/>
          </w:tcPr>
          <w:p>
            <w:pPr>
              <w:spacing w:after="0"/>
              <w:rPr>
                <w:sz w:val="2"/>
                <w:szCs w:val="2"/>
                <w:color w:val="auto"/>
              </w:rPr>
            </w:pPr>
          </w:p>
        </w:tc>
        <w:tc>
          <w:tcPr>
            <w:tcW w:w="9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9"/>
        </w:trPr>
        <w:tc>
          <w:tcPr>
            <w:tcW w:w="740" w:type="dxa"/>
            <w:vAlign w:val="bottom"/>
          </w:tcPr>
          <w:p>
            <w:pPr>
              <w:spacing w:after="0"/>
              <w:rPr>
                <w:sz w:val="10"/>
                <w:szCs w:val="10"/>
                <w:color w:val="auto"/>
              </w:rPr>
            </w:pPr>
          </w:p>
        </w:tc>
        <w:tc>
          <w:tcPr>
            <w:tcW w:w="800" w:type="dxa"/>
            <w:vAlign w:val="bottom"/>
          </w:tcPr>
          <w:p>
            <w:pPr>
              <w:ind w:left="60"/>
              <w:spacing w:after="0" w:line="120"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40" w:type="dxa"/>
            <w:vAlign w:val="bottom"/>
          </w:tcPr>
          <w:p>
            <w:pPr>
              <w:ind w:left="80"/>
              <w:spacing w:after="0" w:line="12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gridSpan w:val="2"/>
          </w:tcPr>
          <w:p>
            <w:pPr>
              <w:ind w:left="60"/>
              <w:spacing w:after="0" w:line="120"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spacing w:after="0"/>
              <w:rPr>
                <w:sz w:val="10"/>
                <w:szCs w:val="10"/>
                <w:color w:val="auto"/>
              </w:rPr>
            </w:pPr>
          </w:p>
        </w:tc>
        <w:tc>
          <w:tcPr>
            <w:tcW w:w="960" w:type="dxa"/>
            <w:vAlign w:val="bottom"/>
          </w:tcPr>
          <w:p>
            <w:pPr>
              <w:ind w:left="80"/>
              <w:spacing w:after="0" w:line="120"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20"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2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1"/>
        </w:trPr>
        <w:tc>
          <w:tcPr>
            <w:tcW w:w="740" w:type="dxa"/>
            <w:vAlign w:val="bottom"/>
          </w:tcPr>
          <w:p>
            <w:pPr>
              <w:spacing w:after="0"/>
              <w:rPr>
                <w:sz w:val="10"/>
                <w:szCs w:val="10"/>
                <w:color w:val="auto"/>
              </w:rPr>
            </w:pPr>
          </w:p>
        </w:tc>
        <w:tc>
          <w:tcPr>
            <w:tcW w:w="80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4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gridSpan w:val="2"/>
          </w:tcPr>
          <w:p>
            <w:pPr>
              <w:ind w:left="60"/>
              <w:spacing w:after="0" w:line="121" w:lineRule="exact"/>
              <w:rPr>
                <w:sz w:val="20"/>
                <w:szCs w:val="20"/>
                <w:color w:val="auto"/>
              </w:rPr>
            </w:pPr>
            <w:r>
              <w:rPr>
                <w:rFonts w:ascii="Arial" w:cs="Arial" w:eastAsia="Arial" w:hAnsi="Arial"/>
                <w:sz w:val="12"/>
                <w:szCs w:val="12"/>
                <w:b w:val="1"/>
                <w:bCs w:val="1"/>
                <w:color w:val="auto"/>
              </w:rPr>
              <w:t>Security (Instr.</w:t>
            </w:r>
          </w:p>
        </w:tc>
        <w:tc>
          <w:tcPr>
            <w:tcW w:w="640" w:type="dxa"/>
            <w:vAlign w:val="bottom"/>
          </w:tcPr>
          <w:p>
            <w:pPr>
              <w:spacing w:after="0"/>
              <w:rPr>
                <w:sz w:val="10"/>
                <w:szCs w:val="10"/>
                <w:color w:val="auto"/>
              </w:rPr>
            </w:pPr>
          </w:p>
        </w:tc>
        <w:tc>
          <w:tcPr>
            <w:tcW w:w="9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420" w:type="dxa"/>
            <w:vAlign w:val="bottom"/>
            <w:gridSpan w:val="3"/>
          </w:tcPr>
          <w:p>
            <w:pPr>
              <w:ind w:left="40"/>
              <w:spacing w:after="0" w:line="133" w:lineRule="exact"/>
              <w:rPr>
                <w:sz w:val="20"/>
                <w:szCs w:val="20"/>
                <w:color w:val="auto"/>
              </w:rPr>
            </w:pPr>
            <w:r>
              <w:rPr>
                <w:rFonts w:ascii="Arial" w:cs="Arial" w:eastAsia="Arial" w:hAnsi="Arial"/>
                <w:sz w:val="13"/>
                <w:szCs w:val="13"/>
                <w:b w:val="1"/>
                <w:bCs w:val="1"/>
                <w:color w:val="auto"/>
              </w:rPr>
              <w:t>Explanation of Responses:</w:t>
            </w: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6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11080" w:type="dxa"/>
            <w:vAlign w:val="bottom"/>
            <w:gridSpan w:val="16"/>
          </w:tcPr>
          <w:p>
            <w:pPr>
              <w:ind w:left="40"/>
              <w:spacing w:after="0" w:line="93" w:lineRule="exact"/>
              <w:rPr>
                <w:sz w:val="20"/>
                <w:szCs w:val="20"/>
                <w:color w:val="auto"/>
              </w:rPr>
            </w:pPr>
            <w:r>
              <w:rPr>
                <w:rFonts w:ascii="Times New Roman" w:cs="Times New Roman" w:eastAsia="Times New Roman" w:hAnsi="Times New Roman"/>
                <w:sz w:val="10"/>
                <w:szCs w:val="10"/>
                <w:color w:val="008000"/>
              </w:rPr>
              <w:t>1. Includes 406 fully-vested shares subject to awards of director restricted stock units ("RSUs"), which vested on May 24, 2022. These RSUs are true-up awards granted with respect to the pro-rated</w:t>
            </w:r>
          </w:p>
        </w:tc>
        <w:tc>
          <w:tcPr>
            <w:tcW w:w="0" w:type="dxa"/>
            <w:vAlign w:val="bottom"/>
          </w:tcPr>
          <w:p>
            <w:pPr>
              <w:spacing w:after="0"/>
              <w:rPr>
                <w:sz w:val="1"/>
                <w:szCs w:val="1"/>
                <w:color w:val="auto"/>
              </w:rPr>
            </w:pPr>
          </w:p>
        </w:tc>
      </w:tr>
      <w:tr>
        <w:trPr>
          <w:trHeight w:val="40"/>
        </w:trPr>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ind w:left="80"/>
              <w:spacing w:after="0" w:line="40" w:lineRule="exact"/>
              <w:rPr>
                <w:sz w:val="20"/>
                <w:szCs w:val="20"/>
                <w:color w:val="auto"/>
              </w:rPr>
            </w:pPr>
            <w:r>
              <w:rPr>
                <w:rFonts w:ascii="Arial" w:cs="Arial" w:eastAsia="Arial" w:hAnsi="Arial"/>
                <w:sz w:val="4"/>
                <w:szCs w:val="4"/>
                <w:b w:val="1"/>
                <w:bCs w:val="1"/>
                <w:color w:val="auto"/>
              </w:rPr>
              <w:t>of (D)</w:t>
            </w: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60" w:type="dxa"/>
            <w:vAlign w:val="bottom"/>
          </w:tcPr>
          <w:p>
            <w:pPr>
              <w:ind w:left="80"/>
              <w:spacing w:after="0" w:line="40" w:lineRule="exact"/>
              <w:rPr>
                <w:sz w:val="20"/>
                <w:szCs w:val="20"/>
                <w:color w:val="auto"/>
              </w:rPr>
            </w:pPr>
            <w:r>
              <w:rPr>
                <w:rFonts w:ascii="Arial" w:cs="Arial" w:eastAsia="Arial" w:hAnsi="Arial"/>
                <w:sz w:val="4"/>
                <w:szCs w:val="4"/>
                <w:b w:val="1"/>
                <w:bCs w:val="1"/>
                <w:color w:val="auto"/>
              </w:rPr>
              <w:t>Transaction(s)</w:t>
            </w: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7"/>
        </w:trPr>
        <w:tc>
          <w:tcPr>
            <w:tcW w:w="7940" w:type="dxa"/>
            <w:vAlign w:val="bottom"/>
            <w:gridSpan w:val="12"/>
          </w:tcPr>
          <w:p>
            <w:pPr>
              <w:ind w:left="40"/>
              <w:spacing w:after="0" w:line="107" w:lineRule="exact"/>
              <w:rPr>
                <w:sz w:val="20"/>
                <w:szCs w:val="20"/>
                <w:color w:val="auto"/>
              </w:rPr>
            </w:pPr>
            <w:r>
              <w:rPr>
                <w:rFonts w:ascii="Times New Roman" w:cs="Times New Roman" w:eastAsia="Times New Roman" w:hAnsi="Times New Roman"/>
                <w:sz w:val="12"/>
                <w:szCs w:val="12"/>
                <w:color w:val="008000"/>
              </w:rPr>
              <w:t>period of board service between June 24, 2021 and Perella Weinberg Partners' 2022 general annual stockholder meeting on May 24, 2022.</w:t>
            </w:r>
          </w:p>
        </w:tc>
        <w:tc>
          <w:tcPr>
            <w:tcW w:w="640" w:type="dxa"/>
            <w:vAlign w:val="bottom"/>
          </w:tcPr>
          <w:p>
            <w:pPr>
              <w:spacing w:after="0"/>
              <w:rPr>
                <w:sz w:val="9"/>
                <w:szCs w:val="9"/>
                <w:color w:val="auto"/>
              </w:rPr>
            </w:pPr>
          </w:p>
        </w:tc>
        <w:tc>
          <w:tcPr>
            <w:tcW w:w="9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740" w:type="dxa"/>
            <w:vAlign w:val="bottom"/>
          </w:tcPr>
          <w:p>
            <w:pPr>
              <w:spacing w:after="0"/>
              <w:rPr>
                <w:sz w:val="4"/>
                <w:szCs w:val="4"/>
                <w:color w:val="auto"/>
              </w:rPr>
            </w:pPr>
          </w:p>
        </w:tc>
        <w:tc>
          <w:tcPr>
            <w:tcW w:w="800" w:type="dxa"/>
            <w:vAlign w:val="bottom"/>
          </w:tcPr>
          <w:p>
            <w:pPr>
              <w:spacing w:after="0"/>
              <w:rPr>
                <w:sz w:val="4"/>
                <w:szCs w:val="4"/>
                <w:color w:val="auto"/>
              </w:rPr>
            </w:pPr>
          </w:p>
        </w:tc>
        <w:tc>
          <w:tcPr>
            <w:tcW w:w="8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ind w:left="80"/>
              <w:spacing w:after="0" w:line="52" w:lineRule="exact"/>
              <w:rPr>
                <w:sz w:val="20"/>
                <w:szCs w:val="20"/>
                <w:color w:val="auto"/>
              </w:rPr>
            </w:pPr>
            <w:r>
              <w:rPr>
                <w:rFonts w:ascii="Arial" w:cs="Arial" w:eastAsia="Arial" w:hAnsi="Arial"/>
                <w:sz w:val="5"/>
                <w:szCs w:val="5"/>
                <w:b w:val="1"/>
                <w:bCs w:val="1"/>
                <w:color w:val="auto"/>
              </w:rPr>
              <w:t>(Instr. 3, 4</w:t>
            </w: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98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7044055" cy="26403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044055" cy="2640330"/>
                    </a:xfrm>
                    <a:prstGeom prst="rect">
                      <a:avLst/>
                    </a:prstGeom>
                    <a:noFill/>
                  </pic:spPr>
                </pic:pic>
              </a:graphicData>
            </a:graphic>
          </wp:anchor>
        </w:drawing>
      </w:r>
    </w:p>
    <w:tbl>
      <w:tblPr>
        <w:tblLayout w:type="fixed"/>
        <w:tblInd w:w="40" w:type="dxa"/>
        <w:tblCellMar>
          <w:top w:w="0" w:type="dxa"/>
          <w:left w:w="0" w:type="dxa"/>
          <w:bottom w:w="0" w:type="dxa"/>
          <w:right w:w="0" w:type="dxa"/>
        </w:tblCellMar>
      </w:tblPr>
      <w:tr>
        <w:trPr>
          <w:trHeight w:val="109"/>
        </w:trPr>
        <w:tc>
          <w:tcPr>
            <w:tcW w:w="3180" w:type="dxa"/>
            <w:vAlign w:val="bottom"/>
          </w:tcPr>
          <w:p>
            <w:pPr>
              <w:spacing w:after="0"/>
              <w:rPr>
                <w:sz w:val="9"/>
                <w:szCs w:val="9"/>
                <w:color w:val="auto"/>
              </w:rPr>
            </w:pPr>
          </w:p>
        </w:tc>
        <w:tc>
          <w:tcPr>
            <w:tcW w:w="7620" w:type="dxa"/>
            <w:vAlign w:val="bottom"/>
          </w:tcPr>
          <w:p>
            <w:pPr>
              <w:ind w:left="1460"/>
              <w:spacing w:after="0" w:line="109" w:lineRule="exact"/>
              <w:rPr>
                <w:sz w:val="20"/>
                <w:szCs w:val="20"/>
                <w:color w:val="auto"/>
              </w:rPr>
            </w:pPr>
            <w:r>
              <w:rPr>
                <w:rFonts w:ascii="Arial" w:cs="Arial" w:eastAsia="Arial" w:hAnsi="Arial"/>
                <w:sz w:val="12"/>
                <w:szCs w:val="12"/>
                <w:b w:val="1"/>
                <w:bCs w:val="1"/>
                <w:color w:val="auto"/>
              </w:rPr>
              <w:t>and 5)</w:t>
            </w:r>
          </w:p>
        </w:tc>
        <w:tc>
          <w:tcPr>
            <w:tcW w:w="0" w:type="dxa"/>
            <w:vAlign w:val="bottom"/>
          </w:tcPr>
          <w:p>
            <w:pPr>
              <w:spacing w:after="0"/>
              <w:rPr>
                <w:sz w:val="1"/>
                <w:szCs w:val="1"/>
                <w:color w:val="auto"/>
              </w:rPr>
            </w:pPr>
          </w:p>
        </w:tc>
      </w:tr>
      <w:tr>
        <w:trPr>
          <w:trHeight w:val="54"/>
        </w:trPr>
        <w:tc>
          <w:tcPr>
            <w:tcW w:w="10800" w:type="dxa"/>
            <w:vAlign w:val="bottom"/>
            <w:gridSpan w:val="2"/>
          </w:tcPr>
          <w:p>
            <w:pPr>
              <w:spacing w:after="0" w:line="54" w:lineRule="exact"/>
              <w:rPr>
                <w:sz w:val="20"/>
                <w:szCs w:val="20"/>
                <w:color w:val="auto"/>
              </w:rPr>
            </w:pPr>
            <w:r>
              <w:rPr>
                <w:rFonts w:ascii="Times New Roman" w:cs="Times New Roman" w:eastAsia="Times New Roman" w:hAnsi="Times New Roman"/>
                <w:sz w:val="6"/>
                <w:szCs w:val="6"/>
                <w:color w:val="008000"/>
              </w:rPr>
              <w:t>2. Includes 13,453 unvested shares subject to awards of RSUs, which vest on the date of Perella Weinberg Partners' next general annual stockholder meeting following the grant date, subject to continued</w:t>
            </w:r>
          </w:p>
        </w:tc>
        <w:tc>
          <w:tcPr>
            <w:tcW w:w="0" w:type="dxa"/>
            <w:vAlign w:val="bottom"/>
          </w:tcPr>
          <w:p>
            <w:pPr>
              <w:spacing w:after="0"/>
              <w:rPr>
                <w:sz w:val="1"/>
                <w:szCs w:val="1"/>
                <w:color w:val="auto"/>
              </w:rPr>
            </w:pPr>
          </w:p>
        </w:tc>
      </w:tr>
      <w:tr>
        <w:trPr>
          <w:trHeight w:val="173"/>
        </w:trPr>
        <w:tc>
          <w:tcPr>
            <w:tcW w:w="3180" w:type="dxa"/>
            <w:vAlign w:val="bottom"/>
          </w:tcPr>
          <w:p>
            <w:pPr>
              <w:spacing w:after="0"/>
              <w:rPr>
                <w:sz w:val="20"/>
                <w:szCs w:val="20"/>
                <w:color w:val="auto"/>
              </w:rPr>
            </w:pPr>
            <w:r>
              <w:rPr>
                <w:rFonts w:ascii="Times New Roman" w:cs="Times New Roman" w:eastAsia="Times New Roman" w:hAnsi="Times New Roman"/>
                <w:sz w:val="13"/>
                <w:szCs w:val="13"/>
                <w:color w:val="008000"/>
              </w:rPr>
              <w:t>board service through such date.</w:t>
            </w:r>
          </w:p>
        </w:tc>
        <w:tc>
          <w:tcPr>
            <w:tcW w:w="7620" w:type="dxa"/>
            <w:vAlign w:val="bottom"/>
            <w:vMerge w:val="restart"/>
          </w:tcPr>
          <w:p>
            <w:pPr>
              <w:ind w:left="4120"/>
              <w:spacing w:after="0"/>
              <w:rPr>
                <w:sz w:val="20"/>
                <w:szCs w:val="20"/>
                <w:color w:val="auto"/>
              </w:rPr>
            </w:pPr>
            <w:r>
              <w:rPr>
                <w:rFonts w:ascii="Arial" w:cs="Arial" w:eastAsia="Arial" w:hAnsi="Arial"/>
                <w:sz w:val="12"/>
                <w:szCs w:val="12"/>
                <w:b w:val="1"/>
                <w:bCs w:val="1"/>
                <w:color w:val="auto"/>
              </w:rPr>
              <w:t>Amount</w:t>
            </w:r>
          </w:p>
        </w:tc>
        <w:tc>
          <w:tcPr>
            <w:tcW w:w="0" w:type="dxa"/>
            <w:vAlign w:val="bottom"/>
          </w:tcPr>
          <w:p>
            <w:pPr>
              <w:spacing w:after="0"/>
              <w:rPr>
                <w:sz w:val="1"/>
                <w:szCs w:val="1"/>
                <w:color w:val="auto"/>
              </w:rPr>
            </w:pPr>
          </w:p>
        </w:tc>
      </w:tr>
      <w:tr>
        <w:trPr>
          <w:trHeight w:val="41"/>
        </w:trPr>
        <w:tc>
          <w:tcPr>
            <w:tcW w:w="3180" w:type="dxa"/>
            <w:vAlign w:val="bottom"/>
          </w:tcPr>
          <w:p>
            <w:pPr>
              <w:spacing w:after="0"/>
              <w:rPr>
                <w:sz w:val="3"/>
                <w:szCs w:val="3"/>
                <w:color w:val="auto"/>
              </w:rPr>
            </w:pPr>
          </w:p>
        </w:tc>
        <w:tc>
          <w:tcPr>
            <w:tcW w:w="76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bl>
    <w:p>
      <w:pPr>
        <w:ind w:left="40" w:right="200" w:firstLine="7"/>
        <w:spacing w:after="0" w:line="23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held directly by FinTech Masala Advisors IV, LLC ("Masala"). The reporting person is a member of Masala. The amount</w:t>
      </w:r>
      <w:r>
        <w:rPr>
          <w:rFonts w:ascii="Arial" w:cs="Arial" w:eastAsia="Arial" w:hAnsi="Arial"/>
          <w:sz w:val="11"/>
          <w:szCs w:val="11"/>
          <w:b w:val="1"/>
          <w:bCs w:val="1"/>
          <w:color w:val="000000"/>
        </w:rPr>
        <w:t>or</w:t>
      </w:r>
      <w:r>
        <w:rPr>
          <w:rFonts w:ascii="Times New Roman" w:cs="Times New Roman" w:eastAsia="Times New Roman" w:hAnsi="Times New Roman"/>
          <w:sz w:val="13"/>
          <w:szCs w:val="13"/>
          <w:color w:val="008000"/>
        </w:rPr>
        <w:t xml:space="preserve"> reported consists of the reporting person's pecuniary interest therein. The reporting person disclaims beneficial ownership of any other securities held directly by Masala, except to the extent of his pecuniary</w:t>
      </w:r>
      <w:r>
        <w:rPr>
          <w:rFonts w:ascii="Arial" w:cs="Arial" w:eastAsia="Arial" w:hAnsi="Arial"/>
          <w:sz w:val="11"/>
          <w:szCs w:val="11"/>
          <w:b w:val="1"/>
          <w:bCs w:val="1"/>
          <w:color w:val="000000"/>
        </w:rPr>
        <w:t>Nmber</w:t>
      </w:r>
      <w:r>
        <w:rPr>
          <w:rFonts w:ascii="Times New Roman" w:cs="Times New Roman" w:eastAsia="Times New Roman" w:hAnsi="Times New Roman"/>
          <w:sz w:val="13"/>
          <w:szCs w:val="13"/>
          <w:color w:val="008000"/>
        </w:rPr>
        <w:t xml:space="preserve"> interest therein, and this report shall not be deemed an</w:t>
      </w:r>
    </w:p>
    <w:tbl>
      <w:tblPr>
        <w:tblLayout w:type="fixed"/>
        <w:tblInd w:w="40" w:type="dxa"/>
        <w:tblCellMar>
          <w:top w:w="0" w:type="dxa"/>
          <w:left w:w="0" w:type="dxa"/>
          <w:bottom w:w="0" w:type="dxa"/>
          <w:right w:w="0" w:type="dxa"/>
        </w:tblCellMar>
      </w:tblPr>
      <w:tr>
        <w:trPr>
          <w:trHeight w:val="123"/>
        </w:trPr>
        <w:tc>
          <w:tcPr>
            <w:tcW w:w="5340" w:type="dxa"/>
            <w:vAlign w:val="bottom"/>
            <w:gridSpan w:val="2"/>
          </w:tcPr>
          <w:p>
            <w:pPr>
              <w:spacing w:after="0" w:line="123" w:lineRule="exact"/>
              <w:rPr>
                <w:sz w:val="20"/>
                <w:szCs w:val="20"/>
                <w:color w:val="auto"/>
              </w:rPr>
            </w:pPr>
            <w:r>
              <w:rPr>
                <w:rFonts w:ascii="Times New Roman" w:cs="Times New Roman" w:eastAsia="Times New Roman" w:hAnsi="Times New Roman"/>
                <w:sz w:val="13"/>
                <w:szCs w:val="13"/>
                <w:color w:val="008000"/>
              </w:rPr>
              <w:t>admission that the reporting person is the beneficial owner of such securities for any other purpose.</w:t>
            </w:r>
          </w:p>
        </w:tc>
        <w:tc>
          <w:tcPr>
            <w:tcW w:w="760" w:type="dxa"/>
            <w:vAlign w:val="bottom"/>
          </w:tcPr>
          <w:p>
            <w:pPr>
              <w:ind w:left="20"/>
              <w:spacing w:after="0" w:line="12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23" w:lineRule="exact"/>
              <w:rPr>
                <w:sz w:val="20"/>
                <w:szCs w:val="20"/>
                <w:color w:val="auto"/>
              </w:rPr>
            </w:pPr>
            <w:r>
              <w:rPr>
                <w:rFonts w:ascii="Arial" w:cs="Arial" w:eastAsia="Arial" w:hAnsi="Arial"/>
                <w:sz w:val="12"/>
                <w:szCs w:val="12"/>
                <w:b w:val="1"/>
                <w:bCs w:val="1"/>
                <w:color w:val="auto"/>
              </w:rPr>
              <w:t>Expiration</w:t>
            </w:r>
          </w:p>
        </w:tc>
        <w:tc>
          <w:tcPr>
            <w:tcW w:w="860" w:type="dxa"/>
            <w:vAlign w:val="bottom"/>
          </w:tcPr>
          <w:p>
            <w:pPr>
              <w:ind w:left="460"/>
              <w:spacing w:after="0" w:line="123" w:lineRule="exact"/>
              <w:rPr>
                <w:sz w:val="20"/>
                <w:szCs w:val="20"/>
                <w:color w:val="auto"/>
              </w:rPr>
            </w:pPr>
            <w:r>
              <w:rPr>
                <w:rFonts w:ascii="Arial" w:cs="Arial" w:eastAsia="Arial" w:hAnsi="Arial"/>
                <w:sz w:val="12"/>
                <w:szCs w:val="12"/>
                <w:b w:val="1"/>
                <w:bCs w:val="1"/>
                <w:color w:val="auto"/>
              </w:rPr>
              <w:t>of</w:t>
            </w:r>
          </w:p>
        </w:tc>
      </w:tr>
      <w:tr>
        <w:trPr>
          <w:trHeight w:val="81"/>
        </w:trPr>
        <w:tc>
          <w:tcPr>
            <w:tcW w:w="4480" w:type="dxa"/>
            <w:vAlign w:val="bottom"/>
          </w:tcPr>
          <w:p>
            <w:pPr>
              <w:ind w:left="3800"/>
              <w:spacing w:after="0" w:line="81" w:lineRule="exact"/>
              <w:rPr>
                <w:sz w:val="20"/>
                <w:szCs w:val="20"/>
                <w:color w:val="auto"/>
              </w:rPr>
            </w:pPr>
            <w:r>
              <w:rPr>
                <w:rFonts w:ascii="Arial" w:cs="Arial" w:eastAsia="Arial" w:hAnsi="Arial"/>
                <w:sz w:val="8"/>
                <w:szCs w:val="8"/>
                <w:b w:val="1"/>
                <w:bCs w:val="1"/>
                <w:color w:val="auto"/>
              </w:rPr>
              <w:t>Code  V</w:t>
            </w:r>
          </w:p>
        </w:tc>
        <w:tc>
          <w:tcPr>
            <w:tcW w:w="860" w:type="dxa"/>
            <w:vAlign w:val="bottom"/>
          </w:tcPr>
          <w:p>
            <w:pPr>
              <w:ind w:left="160"/>
              <w:spacing w:after="0" w:line="81" w:lineRule="exact"/>
              <w:rPr>
                <w:sz w:val="20"/>
                <w:szCs w:val="20"/>
                <w:color w:val="auto"/>
              </w:rPr>
            </w:pPr>
            <w:r>
              <w:rPr>
                <w:rFonts w:ascii="Arial" w:cs="Arial" w:eastAsia="Arial" w:hAnsi="Arial"/>
                <w:sz w:val="8"/>
                <w:szCs w:val="8"/>
                <w:b w:val="1"/>
                <w:bCs w:val="1"/>
                <w:color w:val="auto"/>
              </w:rPr>
              <w:t>(A)   (D)</w:t>
            </w:r>
          </w:p>
        </w:tc>
        <w:tc>
          <w:tcPr>
            <w:tcW w:w="760" w:type="dxa"/>
            <w:vAlign w:val="bottom"/>
          </w:tcPr>
          <w:p>
            <w:pPr>
              <w:ind w:left="20"/>
              <w:spacing w:after="0" w:line="81" w:lineRule="exact"/>
              <w:rPr>
                <w:sz w:val="20"/>
                <w:szCs w:val="20"/>
                <w:color w:val="auto"/>
              </w:rPr>
            </w:pPr>
            <w:r>
              <w:rPr>
                <w:rFonts w:ascii="Arial" w:cs="Arial" w:eastAsia="Arial" w:hAnsi="Arial"/>
                <w:sz w:val="8"/>
                <w:szCs w:val="8"/>
                <w:b w:val="1"/>
                <w:bCs w:val="1"/>
                <w:color w:val="auto"/>
              </w:rPr>
              <w:t>Exercisable</w:t>
            </w:r>
          </w:p>
        </w:tc>
        <w:tc>
          <w:tcPr>
            <w:tcW w:w="740" w:type="dxa"/>
            <w:vAlign w:val="bottom"/>
          </w:tcPr>
          <w:p>
            <w:pPr>
              <w:ind w:left="80"/>
              <w:spacing w:after="0" w:line="81" w:lineRule="exact"/>
              <w:rPr>
                <w:sz w:val="20"/>
                <w:szCs w:val="20"/>
                <w:color w:val="auto"/>
              </w:rPr>
            </w:pPr>
            <w:r>
              <w:rPr>
                <w:rFonts w:ascii="Arial" w:cs="Arial" w:eastAsia="Arial" w:hAnsi="Arial"/>
                <w:sz w:val="8"/>
                <w:szCs w:val="8"/>
                <w:b w:val="1"/>
                <w:bCs w:val="1"/>
                <w:color w:val="auto"/>
              </w:rPr>
              <w:t>Date</w:t>
            </w:r>
          </w:p>
        </w:tc>
        <w:tc>
          <w:tcPr>
            <w:tcW w:w="860" w:type="dxa"/>
            <w:vAlign w:val="bottom"/>
          </w:tcPr>
          <w:p>
            <w:pPr>
              <w:ind w:left="60"/>
              <w:spacing w:after="0" w:line="81" w:lineRule="exact"/>
              <w:rPr>
                <w:sz w:val="20"/>
                <w:szCs w:val="20"/>
                <w:color w:val="auto"/>
              </w:rPr>
            </w:pPr>
            <w:r>
              <w:rPr>
                <w:rFonts w:ascii="Arial" w:cs="Arial" w:eastAsia="Arial" w:hAnsi="Arial"/>
                <w:sz w:val="8"/>
                <w:szCs w:val="8"/>
                <w:b w:val="1"/>
                <w:bCs w:val="1"/>
                <w:color w:val="auto"/>
              </w:rPr>
              <w:t>Title  Shares</w:t>
            </w:r>
          </w:p>
        </w:tc>
      </w:tr>
    </w:tbl>
    <w:p>
      <w:pPr>
        <w:ind w:left="40" w:right="260"/>
        <w:spacing w:after="0" w:line="242" w:lineRule="auto"/>
        <w:rPr>
          <w:sz w:val="20"/>
          <w:szCs w:val="20"/>
          <w:color w:val="auto"/>
        </w:rPr>
      </w:pPr>
      <w:r>
        <w:rPr>
          <w:rFonts w:ascii="Times New Roman" w:cs="Times New Roman" w:eastAsia="Times New Roman" w:hAnsi="Times New Roman"/>
          <w:sz w:val="13"/>
          <w:szCs w:val="13"/>
          <w:color w:val="008000"/>
        </w:rPr>
        <w:t>4. Represents shares held directly by Masala. DGC Family FinTech Trust (the "Trust") is a member of Masala. The children of the reporting person are beneficiaries of the Trust. The amount reported consists of the Trust's pecuniary interest therein. Each of the reporting person and the Trust disclaims beneficial ownership of any other securities held directly by Masala, except to the extent of his or its respective pecuniary interest therein, and this report shall not be deemed an admission that the reporting person or the Trust is the beneficial owner of such securities for any other purpose.</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5. Represents shares held directly by the Trust. The children of the reporting person are beneficiaries of the Trust.</w:t>
      </w:r>
    </w:p>
    <w:p>
      <w:pPr>
        <w:spacing w:after="0" w:line="50" w:lineRule="exact"/>
        <w:rPr>
          <w:sz w:val="20"/>
          <w:szCs w:val="20"/>
          <w:color w:val="auto"/>
        </w:rPr>
      </w:pPr>
    </w:p>
    <w:p>
      <w:pPr>
        <w:ind w:left="40" w:right="180"/>
        <w:spacing w:after="0" w:line="247" w:lineRule="auto"/>
        <w:rPr>
          <w:sz w:val="20"/>
          <w:szCs w:val="20"/>
          <w:color w:val="auto"/>
        </w:rPr>
      </w:pPr>
      <w:r>
        <w:rPr>
          <w:rFonts w:ascii="Times New Roman" w:cs="Times New Roman" w:eastAsia="Times New Roman" w:hAnsi="Times New Roman"/>
          <w:sz w:val="13"/>
          <w:szCs w:val="13"/>
          <w:color w:val="008000"/>
        </w:rPr>
        <w:t>6. Represents shares held directly by FinTech Investor Holdings IV, LLC ("Holdings") and Masala, each of which is managed by Cohen Sponsor Interests IV, LLC ("Manager"), which, in turn, is indirectly owned by FinTech Masala Holdings, LLC ("Manager HoldCo"). The reporting person owns one-third of Manager HoldCo. The amount reported consists of the reporting person's pecuniary interest therein. The reporting person disclaims beneficial ownership of any other securities held directly by Holdings and Masala, except to the extent of his pecuniary interest therein, and this report shall not be deemed an admission that the reporting person is the beneficial owner of such securities for any other purpose.</w:t>
      </w:r>
    </w:p>
    <w:p>
      <w:pPr>
        <w:spacing w:after="0" w:line="24" w:lineRule="exact"/>
        <w:rPr>
          <w:sz w:val="20"/>
          <w:szCs w:val="20"/>
          <w:color w:val="auto"/>
        </w:rPr>
      </w:pPr>
    </w:p>
    <w:p>
      <w:pPr>
        <w:ind w:left="40" w:right="240"/>
        <w:spacing w:after="0" w:line="247" w:lineRule="auto"/>
        <w:rPr>
          <w:sz w:val="20"/>
          <w:szCs w:val="20"/>
          <w:color w:val="auto"/>
        </w:rPr>
      </w:pPr>
      <w:r>
        <w:rPr>
          <w:rFonts w:ascii="Times New Roman" w:cs="Times New Roman" w:eastAsia="Times New Roman" w:hAnsi="Times New Roman"/>
          <w:sz w:val="13"/>
          <w:szCs w:val="13"/>
          <w:color w:val="008000"/>
        </w:rPr>
        <w:t>7. Represents shares held directly by FinTech Masala, LLC ("Masala LLC"), Holdings, and Masala. Manager HoldCo is the sole member of Masala LLC. Each of Holdings and Masala is managed by Manager, which, in turn, is indirectly owned by Manager HoldCo. The reporting person owns one-third of Manager HoldCo. The amount reported consists of the reporting person's pecuniary interest therein. The reporting person disclaims beneficial ownership of any other securities held directly by Masala LLC, except to the extent of his pecuniary interest therein, and this report shall not be deemed an admission that the reporting person is the beneficial owner of such securities for any other purpose.</w:t>
      </w:r>
    </w:p>
    <w:p>
      <w:pPr>
        <w:spacing w:after="0" w:line="24" w:lineRule="exact"/>
        <w:rPr>
          <w:sz w:val="20"/>
          <w:szCs w:val="20"/>
          <w:color w:val="auto"/>
        </w:rPr>
      </w:pPr>
    </w:p>
    <w:p>
      <w:pPr>
        <w:ind w:left="40" w:right="200"/>
        <w:spacing w:after="0" w:line="247" w:lineRule="auto"/>
        <w:rPr>
          <w:sz w:val="20"/>
          <w:szCs w:val="20"/>
          <w:color w:val="auto"/>
        </w:rPr>
      </w:pPr>
      <w:r>
        <w:rPr>
          <w:rFonts w:ascii="Times New Roman" w:cs="Times New Roman" w:eastAsia="Times New Roman" w:hAnsi="Times New Roman"/>
          <w:sz w:val="13"/>
          <w:szCs w:val="13"/>
          <w:color w:val="008000"/>
        </w:rPr>
        <w:t>8. Represents shares held directly by Holdings and Masala, each of which is managed by Manager, which, in turn, is indirectly owned by Manager HoldCo. The Trust owns one-third of Manager HoldCo. The amount reported consists of the Trust's pecuniary interest therein. Each of the reporting person and the Trust disclaims beneficial ownership of any other securities held directly by Holdings and Masala, except to the extent of his or its respective pecuniary interest therein, and this report shall not be deemed an admission that the reporting person or the Trust is the beneficial owner of such securities for any other purpose.</w:t>
      </w:r>
    </w:p>
    <w:p>
      <w:pPr>
        <w:spacing w:after="0" w:line="24" w:lineRule="exact"/>
        <w:rPr>
          <w:sz w:val="20"/>
          <w:szCs w:val="20"/>
          <w:color w:val="auto"/>
        </w:rPr>
      </w:pPr>
    </w:p>
    <w:p>
      <w:pPr>
        <w:ind w:left="40" w:right="340"/>
        <w:spacing w:after="0" w:line="247" w:lineRule="auto"/>
        <w:rPr>
          <w:sz w:val="20"/>
          <w:szCs w:val="20"/>
          <w:color w:val="auto"/>
        </w:rPr>
      </w:pPr>
      <w:r>
        <w:rPr>
          <w:rFonts w:ascii="Times New Roman" w:cs="Times New Roman" w:eastAsia="Times New Roman" w:hAnsi="Times New Roman"/>
          <w:sz w:val="13"/>
          <w:szCs w:val="13"/>
          <w:color w:val="008000"/>
        </w:rPr>
        <w:t>9. Represents shares held directly by Masala LLC, Holdings, and Masala. Manager HoldCo is the sole member of Masala LLC. Each of Holdings and Masala is managed by Manager, which, in turn, is indirectly owned by Manager HoldCo. The Trust owns one-third of Manager HoldCo. The amount reported consists of the Trust's pecuniary interest therein. Each of the reporting person and the Trust disclaims beneficial ownership of any other securities held directly by Holdings and Masala, except to the extent of his or its respective pecuniary interest therein, and this report shall not be deemed an admission that the reporting person or the Trust is the beneficial owner of such securities for any other purpose.</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Mark Polemeni, Attorney-</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05/26/2022</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175"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3"/>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47745" TargetMode="External"/><Relationship Id="rId13" Type="http://schemas.openxmlformats.org/officeDocument/2006/relationships/hyperlink" Target="http://www.sec.gov/cgi-bin/browse-edgar?action=getcompany&amp;CIK=00017778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2022-05-26T16:25:44Z</dcterms:created>
  <dcterms:modified xsi:type="dcterms:W3CDTF">2022-05-26T16:25:44Z</dcterms:modified>
</cp:coreProperties>
</file>