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12/31/2021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6" w:lineRule="exact"/>
        <w:rPr>
          <w:sz w:val="24"/>
          <w:szCs w:val="24"/>
          <w:color w:val="auto"/>
        </w:rPr>
      </w:pPr>
    </w:p>
    <w:p>
      <w:pPr>
        <w:jc w:val="both"/>
        <w:ind w:left="380" w:right="9260" w:hanging="1"/>
        <w:spacing w:after="0" w:line="224" w:lineRule="exact"/>
        <w:tabs>
          <w:tab w:leader="none" w:pos="91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3" w:lineRule="exact"/>
        <w:rPr>
          <w:sz w:val="24"/>
          <w:szCs w:val="24"/>
          <w:color w:val="auto"/>
        </w:rPr>
      </w:pPr>
    </w:p>
    <w:p>
      <w:pPr>
        <w:jc w:val="both"/>
        <w:ind w:right="20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31"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b w:val="1"/>
                <w:bCs w:val="1"/>
                <w:color w:val="auto"/>
              </w:rPr>
              <w:t>Schroder Investment Management North America Inc.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2,983,912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2,983,912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2,983,912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b w:val="1"/>
                <w:bCs w:val="1"/>
                <w:color w:val="auto"/>
              </w:rPr>
              <w:t>7.02% of outstanding shares</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140" w:hanging="33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PERELLA WEINBERG PARTNERS</w:t>
      </w:r>
    </w:p>
    <w:p>
      <w:pPr>
        <w:spacing w:after="0" w:line="237" w:lineRule="exact"/>
        <w:rPr>
          <w:rFonts w:ascii="Arial" w:cs="Arial" w:eastAsia="Arial" w:hAnsi="Arial"/>
          <w:sz w:val="18"/>
          <w:szCs w:val="18"/>
          <w:color w:val="auto"/>
        </w:rPr>
      </w:pPr>
    </w:p>
    <w:p>
      <w:pPr>
        <w:ind w:left="1140" w:hanging="33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202124"/>
        </w:rPr>
        <w:t>767 5</w:t>
      </w:r>
      <w:r>
        <w:rPr>
          <w:rFonts w:ascii="Arial" w:cs="Arial" w:eastAsia="Arial" w:hAnsi="Arial"/>
          <w:sz w:val="29"/>
          <w:szCs w:val="29"/>
          <w:b w:val="1"/>
          <w:bCs w:val="1"/>
          <w:color w:val="202124"/>
          <w:vertAlign w:val="superscript"/>
        </w:rPr>
        <w:t>th</w:t>
      </w:r>
      <w:r>
        <w:rPr>
          <w:rFonts w:ascii="Arial" w:cs="Arial" w:eastAsia="Arial" w:hAnsi="Arial"/>
          <w:sz w:val="18"/>
          <w:szCs w:val="18"/>
          <w:b w:val="1"/>
          <w:bCs w:val="1"/>
          <w:color w:val="202124"/>
        </w:rPr>
        <w:t xml:space="preserve"> Avenue New York, NY 10153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-73660</wp:posOffset>
            </wp:positionV>
            <wp:extent cx="6412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-502285</wp:posOffset>
            </wp:positionV>
            <wp:extent cx="6412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Schroder Investment Management North America Inc</w:t>
      </w:r>
    </w:p>
    <w:p>
      <w:pPr>
        <w:spacing w:after="0" w:line="237"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140" w:right="7960"/>
        <w:spacing w:after="0" w:line="214" w:lineRule="auto"/>
        <w:rPr>
          <w:rFonts w:ascii="Arial" w:cs="Arial" w:eastAsia="Arial" w:hAnsi="Arial"/>
          <w:sz w:val="18"/>
          <w:szCs w:val="18"/>
          <w:color w:val="auto"/>
        </w:rPr>
      </w:pPr>
      <w:r>
        <w:rPr>
          <w:rFonts w:ascii="Arial" w:cs="Arial" w:eastAsia="Arial" w:hAnsi="Arial"/>
          <w:sz w:val="16"/>
          <w:szCs w:val="16"/>
          <w:b w:val="1"/>
          <w:bCs w:val="1"/>
          <w:color w:val="auto"/>
        </w:rPr>
        <w:t>7 Bryant Park, 19</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 New York, NY 10018</w:t>
      </w:r>
    </w:p>
    <w:p>
      <w:pPr>
        <w:spacing w:after="0" w:line="230"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237"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COM-CLASS A</w:t>
      </w:r>
    </w:p>
    <w:p>
      <w:pPr>
        <w:spacing w:after="0" w:line="237"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6412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-422275</wp:posOffset>
            </wp:positionV>
            <wp:extent cx="6412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-850900</wp:posOffset>
            </wp:positionV>
            <wp:extent cx="6412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-1279525</wp:posOffset>
            </wp:positionV>
            <wp:extent cx="64122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-1845310</wp:posOffset>
            </wp:positionV>
            <wp:extent cx="64122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4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3" w:lineRule="exact"/>
        <w:rPr>
          <w:sz w:val="20"/>
          <w:szCs w:val="20"/>
          <w:color w:val="auto"/>
        </w:rPr>
      </w:pPr>
    </w:p>
    <w:p>
      <w:pPr>
        <w:ind w:left="1100" w:hanging="323"/>
        <w:spacing w:after="0" w:line="207" w:lineRule="exact"/>
        <w:tabs>
          <w:tab w:leader="none" w:pos="11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100" w:hanging="323"/>
        <w:spacing w:after="0" w:line="207" w:lineRule="exact"/>
        <w:tabs>
          <w:tab w:leader="none" w:pos="11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100" w:hanging="323"/>
        <w:spacing w:after="0" w:line="207" w:lineRule="exact"/>
        <w:tabs>
          <w:tab w:leader="none" w:pos="11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100" w:hanging="323"/>
        <w:spacing w:after="0" w:line="207" w:lineRule="exact"/>
        <w:tabs>
          <w:tab w:leader="none" w:pos="11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100" w:hanging="323"/>
        <w:spacing w:after="0" w:line="207" w:lineRule="exact"/>
        <w:tabs>
          <w:tab w:leader="none" w:pos="11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1100" w:hanging="323"/>
        <w:spacing w:after="0" w:line="207" w:lineRule="exact"/>
        <w:tabs>
          <w:tab w:leader="none" w:pos="11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100" w:hanging="323"/>
        <w:spacing w:after="0" w:line="207" w:lineRule="exact"/>
        <w:tabs>
          <w:tab w:leader="none" w:pos="11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1100" w:hanging="323"/>
        <w:spacing w:after="0" w:line="207" w:lineRule="exact"/>
        <w:tabs>
          <w:tab w:leader="none" w:pos="11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500" w:hanging="723"/>
        <w:spacing w:after="0" w:line="239" w:lineRule="exact"/>
        <w:tabs>
          <w:tab w:leader="none" w:pos="1095"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100" w:hanging="323"/>
        <w:spacing w:after="0" w:line="207" w:lineRule="exact"/>
        <w:tabs>
          <w:tab w:leader="none" w:pos="11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 w:name="page4"/>
    <w:bookmarkEnd w:id="3"/>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49" w:lineRule="exact"/>
        <w:rPr>
          <w:sz w:val="20"/>
          <w:szCs w:val="20"/>
          <w:color w:val="auto"/>
        </w:rPr>
      </w:pPr>
    </w:p>
    <w:p>
      <w:pPr>
        <w:ind w:right="84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205" w:lineRule="exact"/>
        <w:rPr>
          <w:sz w:val="20"/>
          <w:szCs w:val="20"/>
          <w:color w:val="auto"/>
        </w:rPr>
      </w:pPr>
    </w:p>
    <w:p>
      <w:pPr>
        <w:ind w:left="1140" w:hanging="267"/>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2,983,912</w:t>
      </w:r>
    </w:p>
    <w:p>
      <w:pPr>
        <w:spacing w:after="0" w:line="252" w:lineRule="exact"/>
        <w:rPr>
          <w:rFonts w:ascii="Arial" w:cs="Arial" w:eastAsia="Arial" w:hAnsi="Arial"/>
          <w:sz w:val="18"/>
          <w:szCs w:val="18"/>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7.02% of outstanding shares</w:t>
      </w:r>
    </w:p>
    <w:p>
      <w:pPr>
        <w:spacing w:after="0" w:line="256" w:lineRule="exact"/>
        <w:rPr>
          <w:rFonts w:ascii="Arial" w:cs="Arial" w:eastAsia="Arial" w:hAnsi="Arial"/>
          <w:sz w:val="18"/>
          <w:szCs w:val="18"/>
          <w:color w:val="auto"/>
        </w:rPr>
      </w:pPr>
    </w:p>
    <w:p>
      <w:pPr>
        <w:ind w:left="1140" w:hanging="267"/>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-276225</wp:posOffset>
            </wp:positionV>
            <wp:extent cx="64122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-567690</wp:posOffset>
            </wp:positionV>
            <wp:extent cx="64122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32" w:lineRule="exact"/>
        <w:rPr>
          <w:sz w:val="20"/>
          <w:szCs w:val="20"/>
          <w:color w:val="auto"/>
        </w:rPr>
      </w:pPr>
    </w:p>
    <w:p>
      <w:pPr>
        <w:ind w:left="1480" w:hanging="254"/>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5715</wp:posOffset>
            </wp:positionV>
            <wp:extent cx="61976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18" w:lineRule="exact"/>
        <w:rPr>
          <w:sz w:val="20"/>
          <w:szCs w:val="20"/>
          <w:color w:val="auto"/>
        </w:rPr>
      </w:pPr>
    </w:p>
    <w:p>
      <w:pPr>
        <w:ind w:left="1480" w:hanging="279"/>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2,983,912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5715</wp:posOffset>
            </wp:positionV>
            <wp:extent cx="61976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18" w:lineRule="exact"/>
        <w:rPr>
          <w:sz w:val="20"/>
          <w:szCs w:val="20"/>
          <w:color w:val="auto"/>
        </w:rPr>
      </w:pPr>
    </w:p>
    <w:p>
      <w:pPr>
        <w:ind w:left="1480" w:hanging="304"/>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37" w:lineRule="exact"/>
        <w:rPr>
          <w:rFonts w:ascii="Arial" w:cs="Arial" w:eastAsia="Arial" w:hAnsi="Arial"/>
          <w:sz w:val="18"/>
          <w:szCs w:val="18"/>
          <w:color w:val="auto"/>
        </w:rPr>
      </w:pPr>
    </w:p>
    <w:p>
      <w:pPr>
        <w:ind w:left="1480" w:hanging="299"/>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2,983,912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5715</wp:posOffset>
            </wp:positionV>
            <wp:extent cx="61976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-422275</wp:posOffset>
            </wp:positionV>
            <wp:extent cx="61976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4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49" w:lineRule="exact"/>
        <w:rPr>
          <w:sz w:val="20"/>
          <w:szCs w:val="20"/>
          <w:color w:val="auto"/>
        </w:rPr>
      </w:pPr>
    </w:p>
    <w:p>
      <w:pPr>
        <w:ind w:right="480"/>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right="20"/>
        <w:spacing w:after="0" w:line="200" w:lineRule="auto"/>
        <w:rPr>
          <w:sz w:val="20"/>
          <w:szCs w:val="20"/>
          <w:color w:val="auto"/>
        </w:rPr>
      </w:pPr>
      <w:r>
        <w:rPr>
          <w:rFonts w:ascii="Arial" w:cs="Arial" w:eastAsia="Arial" w:hAnsi="Arial"/>
          <w:sz w:val="22"/>
          <w:szCs w:val="22"/>
          <w:color w:val="auto"/>
        </w:rPr>
        <w:t>Schroder Investment Management North America Inc. is a registered investment adviser with its respective home country regulator. Schroder Investment Management North America Inc. is located in the United States at 7 Bryant Park, 19</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New York, NY 10018.</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22"/>
          <w:szCs w:val="22"/>
          <w:color w:val="auto"/>
        </w:rPr>
        <w:t>After reasonable inquiry and to the best of its knowledge and belief, the undersigned certifies that the information set forth in this statement is true, complete and correct.</w:t>
      </w: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February 9, 2022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Middleton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5715</wp:posOffset>
            </wp:positionV>
            <wp:extent cx="86550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5505" cy="1714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Philip Middleton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Schroder Investment Management North America Inc</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2022-02-09T09:23:24Z</dcterms:created>
  <dcterms:modified xsi:type="dcterms:W3CDTF">2022-02-09T09:23:24Z</dcterms:modified>
</cp:coreProperties>
</file>