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408940</wp:posOffset>
            </wp:positionH>
            <wp:positionV relativeFrom="page">
              <wp:posOffset>678180</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711835</wp:posOffset>
            </wp:positionV>
            <wp:extent cx="69951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6510"/>
                    </a:xfrm>
                    <a:prstGeom prst="rect">
                      <a:avLst/>
                    </a:prstGeom>
                    <a:noFill/>
                  </pic:spPr>
                </pic:pic>
              </a:graphicData>
            </a:graphic>
          </wp:anchor>
        </w:drawing>
        <w:t>UNITED STATES</w:t>
      </w:r>
    </w:p>
    <w:p>
      <w:pPr>
        <w:spacing w:after="0" w:line="2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76200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122555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6" w:lineRule="exact"/>
        <w:rPr>
          <w:sz w:val="24"/>
          <w:szCs w:val="24"/>
          <w:color w:val="auto"/>
        </w:rPr>
      </w:pPr>
    </w:p>
    <w:p>
      <w:pPr>
        <w:ind w:left="580" w:hanging="216"/>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3" w:lineRule="exact"/>
        <w:rPr>
          <w:rFonts w:ascii="MS PGothic" w:cs="MS PGothic" w:eastAsia="MS PGothic" w:hAnsi="MS PGothic"/>
          <w:sz w:val="18"/>
          <w:szCs w:val="18"/>
          <w:color w:val="auto"/>
          <w:highlight w:val="black"/>
        </w:rPr>
      </w:pPr>
    </w:p>
    <w:p>
      <w:pPr>
        <w:ind w:left="37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FISCAL YEAR ENDED DECEMBER 31, 2022</w:t>
      </w:r>
    </w:p>
    <w:p>
      <w:pPr>
        <w:spacing w:after="0" w:line="4"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580" w:hanging="216"/>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4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98425</wp:posOffset>
            </wp:positionV>
            <wp:extent cx="6175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30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9"/>
          <w:szCs w:val="39"/>
          <w:b w:val="1"/>
          <w:bCs w:val="1"/>
          <w:color w:val="auto"/>
        </w:rPr>
        <w:t>PERELLA WEINBERG PARTNERS</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83185</wp:posOffset>
            </wp:positionV>
            <wp:extent cx="6175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60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40" w:type="dxa"/>
            <w:vAlign w:val="bottom"/>
            <w:gridSpan w:val="3"/>
          </w:tcPr>
          <w:p>
            <w:pPr>
              <w:jc w:val="right"/>
              <w:ind w:right="2412"/>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6000" w:type="dxa"/>
            <w:vAlign w:val="bottom"/>
            <w:gridSpan w:val="3"/>
          </w:tcPr>
          <w:p>
            <w:pPr>
              <w:ind w:left="480"/>
              <w:spacing w:after="0"/>
              <w:rPr>
                <w:sz w:val="20"/>
                <w:szCs w:val="20"/>
                <w:color w:val="auto"/>
              </w:rPr>
            </w:pPr>
            <w:r>
              <w:rPr>
                <w:rFonts w:ascii="Times New Roman" w:cs="Times New Roman" w:eastAsia="Times New Roman" w:hAnsi="Times New Roman"/>
                <w:sz w:val="12"/>
                <w:szCs w:val="12"/>
                <w:b w:val="1"/>
                <w:bCs w:val="1"/>
                <w:color w:val="auto"/>
              </w:rPr>
              <w:t>( State or other jurisdiction of incorporation or organization)</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40" w:type="dxa"/>
            <w:vAlign w:val="bottom"/>
            <w:gridSpan w:val="3"/>
          </w:tcPr>
          <w:p>
            <w:pPr>
              <w:jc w:val="center"/>
              <w:ind w:right="1892"/>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60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767 Fifth Avenue</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40" w:type="dxa"/>
            <w:vAlign w:val="bottom"/>
            <w:gridSpan w:val="3"/>
            <w:vMerge w:val="restart"/>
          </w:tcPr>
          <w:p>
            <w:pPr>
              <w:jc w:val="right"/>
              <w:ind w:right="2612"/>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60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5"/>
              </w:rPr>
              <w:t>New York, NY</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6000" w:type="dxa"/>
            <w:vAlign w:val="bottom"/>
            <w:gridSpan w:val="3"/>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tcPr>
          <w:p>
            <w:pPr>
              <w:jc w:val="center"/>
              <w:ind w:right="2332"/>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11020" w:type="dxa"/>
            <w:vAlign w:val="bottom"/>
            <w:gridSpan w:val="10"/>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 (212) 287-3200</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5"/>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320" w:type="dxa"/>
            <w:vAlign w:val="bottom"/>
          </w:tcPr>
          <w:p>
            <w:pPr>
              <w:spacing w:after="0"/>
              <w:rPr>
                <w:sz w:val="24"/>
                <w:szCs w:val="24"/>
                <w:color w:val="auto"/>
              </w:rPr>
            </w:pPr>
          </w:p>
        </w:tc>
        <w:tc>
          <w:tcPr>
            <w:tcW w:w="7180" w:type="dxa"/>
            <w:vAlign w:val="bottom"/>
            <w:gridSpan w:val="7"/>
          </w:tcPr>
          <w:p>
            <w:pPr>
              <w:jc w:val="center"/>
              <w:ind w:left="3362"/>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20" w:type="dxa"/>
            <w:vAlign w:val="bottom"/>
          </w:tcPr>
          <w:p>
            <w:pPr>
              <w:spacing w:after="0"/>
              <w:rPr>
                <w:sz w:val="22"/>
                <w:szCs w:val="22"/>
                <w:color w:val="auto"/>
              </w:rPr>
            </w:pPr>
          </w:p>
        </w:tc>
        <w:tc>
          <w:tcPr>
            <w:tcW w:w="6000" w:type="dxa"/>
            <w:vAlign w:val="bottom"/>
            <w:gridSpan w:val="3"/>
          </w:tcPr>
          <w:p>
            <w:pPr>
              <w:ind w:left="2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gridSpan w:val="2"/>
          </w:tcPr>
          <w:p>
            <w:pPr>
              <w:jc w:val="center"/>
              <w:ind w:right="69"/>
              <w:spacing w:after="0"/>
              <w:rPr>
                <w:sz w:val="20"/>
                <w:szCs w:val="20"/>
                <w:color w:val="auto"/>
              </w:rPr>
            </w:pPr>
            <w:r>
              <w:rPr>
                <w:rFonts w:ascii="Times New Roman" w:cs="Times New Roman" w:eastAsia="Times New Roman" w:hAnsi="Times New Roman"/>
                <w:sz w:val="14"/>
                <w:szCs w:val="14"/>
                <w:color w:val="auto"/>
              </w:rPr>
              <w:t>PWP</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jc w:val="center"/>
              <w:ind w:left="152"/>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394"/>
        </w:trPr>
        <w:tc>
          <w:tcPr>
            <w:tcW w:w="320" w:type="dxa"/>
            <w:vAlign w:val="bottom"/>
          </w:tcPr>
          <w:p>
            <w:pPr>
              <w:spacing w:after="0"/>
              <w:rPr>
                <w:sz w:val="24"/>
                <w:szCs w:val="24"/>
                <w:color w:val="auto"/>
              </w:rPr>
            </w:pPr>
          </w:p>
        </w:tc>
        <w:tc>
          <w:tcPr>
            <w:tcW w:w="11020" w:type="dxa"/>
            <w:vAlign w:val="bottom"/>
            <w:gridSpan w:val="10"/>
          </w:tcPr>
          <w:p>
            <w:pPr>
              <w:ind w:left="3320"/>
              <w:spacing w:after="0"/>
              <w:rPr>
                <w:sz w:val="20"/>
                <w:szCs w:val="20"/>
                <w:color w:val="auto"/>
              </w:rPr>
            </w:pPr>
            <w:r>
              <w:rPr>
                <w:rFonts w:ascii="Times New Roman" w:cs="Times New Roman" w:eastAsia="Times New Roman" w:hAnsi="Times New Roman"/>
                <w:sz w:val="16"/>
                <w:szCs w:val="16"/>
                <w:color w:val="auto"/>
              </w:rPr>
              <w:t>Securities registered pursuant to the Section 12(g) of the Act: None</w:t>
            </w:r>
          </w:p>
        </w:tc>
        <w:tc>
          <w:tcPr>
            <w:tcW w:w="0" w:type="dxa"/>
            <w:vAlign w:val="bottom"/>
          </w:tcPr>
          <w:p>
            <w:pPr>
              <w:spacing w:after="0"/>
              <w:rPr>
                <w:sz w:val="1"/>
                <w:szCs w:val="1"/>
                <w:color w:val="auto"/>
              </w:rPr>
            </w:pPr>
          </w:p>
        </w:tc>
      </w:tr>
      <w:tr>
        <w:trPr>
          <w:trHeight w:val="275"/>
        </w:trPr>
        <w:tc>
          <w:tcPr>
            <w:tcW w:w="66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1"/>
              </w:rPr>
              <w:t>Yes</w:t>
            </w:r>
          </w:p>
        </w:tc>
        <w:tc>
          <w:tcPr>
            <w:tcW w:w="22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3"/>
              </w:rPr>
              <w:t>No</w:t>
            </w:r>
          </w:p>
        </w:tc>
        <w:tc>
          <w:tcPr>
            <w:tcW w:w="3840" w:type="dxa"/>
            <w:vAlign w:val="bottom"/>
            <w:gridSpan w:val="3"/>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71"/>
        </w:trPr>
        <w:tc>
          <w:tcPr>
            <w:tcW w:w="63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No</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p>
    <w:p>
      <w:pPr>
        <w:ind w:right="10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2" w:lineRule="exact"/>
        <w:rPr>
          <w:sz w:val="24"/>
          <w:szCs w:val="24"/>
          <w:color w:val="auto"/>
        </w:rPr>
      </w:pPr>
    </w:p>
    <w:p>
      <w:pPr>
        <w:ind w:right="10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85" w:lineRule="exact"/>
        <w:rPr>
          <w:sz w:val="24"/>
          <w:szCs w:val="24"/>
          <w:color w:val="auto"/>
        </w:rPr>
      </w:pPr>
    </w:p>
    <w:p>
      <w:pPr>
        <w:ind w:right="100"/>
        <w:spacing w:after="0" w:line="23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ind w:left="360"/>
        <w:spacing w:after="0" w:line="161" w:lineRule="exact"/>
        <w:tabs>
          <w:tab w:leader="none" w:pos="2120" w:val="left"/>
          <w:tab w:leader="none" w:pos="3740" w:val="left"/>
          <w:tab w:leader="none" w:pos="4080" w:val="left"/>
          <w:tab w:leader="none" w:pos="5620" w:val="left"/>
          <w:tab w:leader="none" w:pos="5940" w:val="left"/>
          <w:tab w:leader="none" w:pos="7860" w:val="left"/>
          <w:tab w:leader="none" w:pos="103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65" w:lineRule="exact"/>
        <w:rPr>
          <w:sz w:val="24"/>
          <w:szCs w:val="24"/>
          <w:color w:val="auto"/>
        </w:rPr>
      </w:pPr>
    </w:p>
    <w:p>
      <w:pPr>
        <w:ind w:right="100"/>
        <w:spacing w:after="0" w:line="16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5" w:lineRule="exact"/>
        <w:rPr>
          <w:sz w:val="24"/>
          <w:szCs w:val="24"/>
          <w:color w:val="auto"/>
        </w:rPr>
      </w:pPr>
    </w:p>
    <w:p>
      <w:pPr>
        <w:ind w:right="12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line="161" w:lineRule="exact"/>
        <w:tabs>
          <w:tab w:leader="none" w:pos="6540" w:val="left"/>
          <w:tab w:leader="none" w:pos="70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based on the closing price on the Nasdaq Global Select Market as of June 30, 2022 was $223,263,680.</w:t>
      </w:r>
    </w:p>
    <w:p>
      <w:pPr>
        <w:spacing w:after="0" w:line="223" w:lineRule="exact"/>
        <w:rPr>
          <w:sz w:val="24"/>
          <w:szCs w:val="24"/>
          <w:color w:val="auto"/>
        </w:rPr>
      </w:pPr>
    </w:p>
    <w:p>
      <w:pPr>
        <w:ind w:right="100"/>
        <w:spacing w:after="0" w:line="235" w:lineRule="auto"/>
        <w:rPr>
          <w:sz w:val="20"/>
          <w:szCs w:val="20"/>
          <w:color w:val="auto"/>
        </w:rPr>
      </w:pPr>
      <w:r>
        <w:rPr>
          <w:rFonts w:ascii="Times New Roman" w:cs="Times New Roman" w:eastAsia="Times New Roman" w:hAnsi="Times New Roman"/>
          <w:sz w:val="14"/>
          <w:szCs w:val="14"/>
          <w:color w:val="auto"/>
        </w:rPr>
        <w:t>As of February 23, 2023, the registrant had 40,824,125 shares of Class A common stock, par value $0.0001 per share, and 44,563,877 shares of Class B common stock, par value $0.0001 per share, outstanding.</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9" w:lineRule="exact"/>
        <w:rPr>
          <w:sz w:val="24"/>
          <w:szCs w:val="24"/>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Portions of Perella Weinberg Partners’ Proxy Statement for the 2023 Annual Meeting of Stockholders to be filed with the Securities and Exchange Commission within 120 days after December 31, 2022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731520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172085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205740</wp:posOffset>
            </wp:positionV>
            <wp:extent cx="69951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sectPr>
          <w:pgSz w:w="11900" w:h="16838" w:orient="portrait"/>
          <w:cols w:equalWidth="0" w:num="1">
            <w:col w:w="11340"/>
          </w:cols>
          <w:pgMar w:left="320" w:top="1188" w:right="239" w:bottom="1440" w:gutter="0" w:footer="0" w:header="0"/>
        </w:sectPr>
      </w:pPr>
    </w:p>
    <w:bookmarkStart w:id="1" w:name="page2"/>
    <w:bookmarkEnd w:id="1"/>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40" w:type="dxa"/>
            <w:vAlign w:val="bottom"/>
            <w:gridSpan w:val="12"/>
          </w:tcPr>
          <w:p>
            <w:pPr>
              <w:ind w:left="46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4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9"/>
              </w:rPr>
              <w:t>PART I.</w:t>
            </w:r>
          </w:p>
        </w:tc>
        <w:tc>
          <w:tcPr>
            <w:tcW w:w="980" w:type="dxa"/>
            <w:vAlign w:val="bottom"/>
            <w:gridSpan w:val="5"/>
            <w:vMerge w:val="restart"/>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20" w:type="dxa"/>
            <w:vAlign w:val="bottom"/>
            <w:tcBorders>
              <w:bottom w:val="single" w:sz="8" w:color="0000FF"/>
            </w:tcBorders>
            <w:gridSpan w:val="3"/>
            <w:vMerge w:val="continue"/>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w:t>
            </w:r>
          </w:p>
        </w:tc>
        <w:tc>
          <w:tcPr>
            <w:tcW w:w="8780" w:type="dxa"/>
            <w:vAlign w:val="bottom"/>
            <w:gridSpan w:val="21"/>
          </w:tcPr>
          <w:p>
            <w:pPr>
              <w:ind w:left="540"/>
              <w:spacing w:after="0"/>
              <w:rPr>
                <w:sz w:val="20"/>
                <w:szCs w:val="20"/>
                <w:color w:val="auto"/>
              </w:rPr>
            </w:pPr>
            <w:r>
              <w:rPr>
                <w:rFonts w:ascii="Times New Roman" w:cs="Times New Roman" w:eastAsia="Times New Roman" w:hAnsi="Times New Roman"/>
                <w:sz w:val="18"/>
                <w:szCs w:val="18"/>
                <w:color w:val="0000FF"/>
              </w:rPr>
              <w:t>Business</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0"/>
              </w:rPr>
              <w:t>Item 1A.</w:t>
            </w:r>
          </w:p>
        </w:tc>
        <w:tc>
          <w:tcPr>
            <w:tcW w:w="980" w:type="dxa"/>
            <w:vAlign w:val="bottom"/>
            <w:gridSpan w:val="5"/>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1"/>
              </w:rPr>
              <w:t>Item 1B.</w:t>
            </w:r>
          </w:p>
        </w:tc>
        <w:tc>
          <w:tcPr>
            <w:tcW w:w="980" w:type="dxa"/>
            <w:vAlign w:val="bottom"/>
            <w:gridSpan w:val="5"/>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2.</w:t>
            </w:r>
          </w:p>
        </w:tc>
        <w:tc>
          <w:tcPr>
            <w:tcW w:w="980" w:type="dxa"/>
            <w:vAlign w:val="bottom"/>
            <w:gridSpan w:val="5"/>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Properties</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w:t>
            </w:r>
          </w:p>
        </w:tc>
        <w:tc>
          <w:tcPr>
            <w:tcW w:w="1060" w:type="dxa"/>
            <w:vAlign w:val="bottom"/>
            <w:gridSpan w:val="6"/>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90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5.</w:t>
            </w: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6.</w:t>
            </w: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[Reserved]</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Item 7.</w:t>
            </w:r>
          </w:p>
        </w:tc>
        <w:tc>
          <w:tcPr>
            <w:tcW w:w="1060" w:type="dxa"/>
            <w:vAlign w:val="bottom"/>
            <w:gridSpan w:val="6"/>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0"/>
              </w:rPr>
              <w:t>Item 7A.</w:t>
            </w:r>
          </w:p>
        </w:tc>
        <w:tc>
          <w:tcPr>
            <w:tcW w:w="980" w:type="dxa"/>
            <w:vAlign w:val="bottom"/>
            <w:gridSpan w:val="5"/>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8.</w:t>
            </w:r>
          </w:p>
        </w:tc>
        <w:tc>
          <w:tcPr>
            <w:tcW w:w="980" w:type="dxa"/>
            <w:vAlign w:val="bottom"/>
            <w:gridSpan w:val="5"/>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Item 9.</w:t>
            </w:r>
          </w:p>
        </w:tc>
        <w:tc>
          <w:tcPr>
            <w:tcW w:w="1060" w:type="dxa"/>
            <w:vAlign w:val="bottom"/>
            <w:gridSpan w:val="6"/>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0"/>
              </w:rPr>
              <w:t>Item 9A.</w:t>
            </w:r>
          </w:p>
        </w:tc>
        <w:tc>
          <w:tcPr>
            <w:tcW w:w="980" w:type="dxa"/>
            <w:vAlign w:val="bottom"/>
            <w:gridSpan w:val="5"/>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1"/>
              </w:rPr>
              <w:t>Item 9B.</w:t>
            </w:r>
          </w:p>
        </w:tc>
        <w:tc>
          <w:tcPr>
            <w:tcW w:w="980" w:type="dxa"/>
            <w:vAlign w:val="bottom"/>
            <w:gridSpan w:val="5"/>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8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9C.</w:t>
            </w: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8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10.</w:t>
            </w:r>
          </w:p>
        </w:tc>
        <w:tc>
          <w:tcPr>
            <w:tcW w:w="1060" w:type="dxa"/>
            <w:vAlign w:val="bottom"/>
            <w:gridSpan w:val="6"/>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11.</w:t>
            </w:r>
          </w:p>
        </w:tc>
        <w:tc>
          <w:tcPr>
            <w:tcW w:w="1060" w:type="dxa"/>
            <w:vAlign w:val="bottom"/>
            <w:gridSpan w:val="6"/>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8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12.</w:t>
            </w:r>
          </w:p>
        </w:tc>
        <w:tc>
          <w:tcPr>
            <w:tcW w:w="1060" w:type="dxa"/>
            <w:vAlign w:val="bottom"/>
            <w:gridSpan w:val="6"/>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13.</w:t>
            </w:r>
          </w:p>
        </w:tc>
        <w:tc>
          <w:tcPr>
            <w:tcW w:w="1060" w:type="dxa"/>
            <w:vAlign w:val="bottom"/>
            <w:gridSpan w:val="6"/>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14.</w:t>
            </w:r>
          </w:p>
        </w:tc>
        <w:tc>
          <w:tcPr>
            <w:tcW w:w="1060" w:type="dxa"/>
            <w:vAlign w:val="bottom"/>
            <w:gridSpan w:val="6"/>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8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1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15.</w:t>
            </w:r>
          </w:p>
        </w:tc>
        <w:tc>
          <w:tcPr>
            <w:tcW w:w="180" w:type="dxa"/>
            <w:vAlign w:val="bottom"/>
            <w:tcBorders>
              <w:top w:val="single" w:sz="8" w:color="0000FF"/>
            </w:tcBorders>
            <w:gridSpan w:val="3"/>
          </w:tcPr>
          <w:p>
            <w:pPr>
              <w:spacing w:after="0"/>
              <w:rPr>
                <w:sz w:val="17"/>
                <w:szCs w:val="17"/>
                <w:color w:val="auto"/>
              </w:rPr>
            </w:pPr>
          </w:p>
        </w:tc>
        <w:tc>
          <w:tcPr>
            <w:tcW w:w="880" w:type="dxa"/>
            <w:vAlign w:val="bottom"/>
            <w:gridSpan w:val="3"/>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5140" w:type="dxa"/>
            <w:vAlign w:val="bottom"/>
            <w:gridSpan w:val="10"/>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16.</w:t>
            </w:r>
          </w:p>
        </w:tc>
        <w:tc>
          <w:tcPr>
            <w:tcW w:w="1060" w:type="dxa"/>
            <w:vAlign w:val="bottom"/>
            <w:gridSpan w:val="6"/>
          </w:tcPr>
          <w:p>
            <w:pPr>
              <w:spacing w:after="0"/>
              <w:rPr>
                <w:sz w:val="17"/>
                <w:szCs w:val="17"/>
                <w:color w:val="auto"/>
              </w:rPr>
            </w:pPr>
          </w:p>
        </w:tc>
        <w:tc>
          <w:tcPr>
            <w:tcW w:w="8780" w:type="dxa"/>
            <w:vAlign w:val="bottom"/>
            <w:gridSpan w:val="21"/>
          </w:tcPr>
          <w:p>
            <w:pPr>
              <w:ind w:left="540"/>
              <w:spacing w:after="0" w:line="205" w:lineRule="exact"/>
              <w:rPr>
                <w:sz w:val="20"/>
                <w:szCs w:val="20"/>
                <w:color w:val="auto"/>
              </w:rPr>
            </w:pPr>
            <w:r>
              <w:rPr>
                <w:rFonts w:ascii="Times New Roman" w:cs="Times New Roman" w:eastAsia="Times New Roman" w:hAnsi="Times New Roman"/>
                <w:sz w:val="18"/>
                <w:szCs w:val="18"/>
                <w:color w:val="0000FF"/>
              </w:rPr>
              <w:t>Form 10-K Summary</w:t>
            </w:r>
          </w:p>
        </w:tc>
        <w:tc>
          <w:tcPr>
            <w:tcW w:w="8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117</w:t>
            </w:r>
          </w:p>
        </w:tc>
        <w:tc>
          <w:tcPr>
            <w:tcW w:w="0" w:type="dxa"/>
            <w:vAlign w:val="bottom"/>
          </w:tcPr>
          <w:p>
            <w:pPr>
              <w:spacing w:after="0"/>
              <w:rPr>
                <w:sz w:val="1"/>
                <w:szCs w:val="1"/>
                <w:color w:val="auto"/>
              </w:rPr>
            </w:pPr>
          </w:p>
        </w:tc>
      </w:tr>
      <w:tr>
        <w:trPr>
          <w:trHeight w:val="1497"/>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June 24, 2021 (the “Closing Date” or the “Closing”), Perella Weinberg Partners consummated a business combination pursuant to that certain Business Combination Agreement, dated as of December 29, 2020 (the “Business Combination Agreement”). As contemplated by the Business Combination Agreement, (i) Perella Weinberg Partners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Certain statements made in this Annual Report on Form 10-K are “forward 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Important factors, among others, that may affect actual results or outcomes include (but are not limited to): global economic, business and market conditions; the Company's dependence on and ability to retain key employees; the Company's ability to successfully identify, recruit and develop talent; conditions impacting the corporate advisory industry;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Times New Roman" w:cs="Times New Roman" w:eastAsia="Times New Roman" w:hAnsi="Times New Roman"/>
          <w:sz w:val="18"/>
          <w:szCs w:val="18"/>
          <w:i w:val="1"/>
          <w:iCs w:val="1"/>
          <w:color w:val="auto"/>
        </w:rPr>
        <w:t>“Part I—Item 1A. Risk Factors.”</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OpCo prior to the consummation of the Business Combination.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3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business provides services to multiple industry sectors, geographic markets and advisory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(“M&amp;A”) execution, shareholder and defense advisory, financing and capital solutions advice with resources focused on restructuring and liability management, capital markets advisory, and private capital placement, as well as specialized underwriting and research services primarily for the energy and related industries.</w:t>
      </w:r>
    </w:p>
    <w:p>
      <w:pPr>
        <w:spacing w:after="0" w:line="11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As of December 31, 2022, we serve our clients with 484 advisory professionals, including 64 advisory partners and 47 advisory managing directors, based in ten offices, located in five countries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achieved revenues of $631.5 million and operating loss of $47.7 million for the year ended December 31, 2022, revenues of $801.7 million and operating income of $66.6 million for the year ended December 31, 2021 and revenues of $519.0 million and operating loss of $14.6 million for the year ended December 31, 2020. The operating losses in 2022 and 2020 were largely due to amortization of the equity-based compensation awards granted by Professional Partners, which have no economic impact on PWP or PWP OpCo. The vesting of equity awards granted in connection with the Transaction have been and will be recorded as an equity-based compensation expense at PWP OpCo for generally accepted accounting principles in the United States (“U.S.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founded our Company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2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8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Growing Demand for Independent Advice</w:t>
      </w:r>
      <w:r>
        <w:rPr>
          <w:rFonts w:ascii="Times New Roman" w:cs="Times New Roman" w:eastAsia="Times New Roman" w:hAnsi="Times New Roman"/>
          <w:sz w:val="18"/>
          <w:szCs w:val="18"/>
          <w:color w:val="auto"/>
        </w:rPr>
        <w:t>: We believe the momentum driving demand for independent advice remains strong. When we founded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2006, this dynamic was driven largely by growing client concern about conflicts at the large financial conglomerates and a growing desire by bankers to join a pure play advisory platform. We expect the trend toward independent advice to continue as business leaders become increasingly experienced with the independent advisory model and believe our Company is well positioned to continue to capitalize on this trend.</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Dynamic Mergers &amp; Acquisitions Activity: </w:t>
      </w:r>
      <w:r>
        <w:rPr>
          <w:rFonts w:ascii="Times New Roman" w:cs="Times New Roman" w:eastAsia="Times New Roman" w:hAnsi="Times New Roman"/>
          <w:sz w:val="18"/>
          <w:szCs w:val="18"/>
          <w:color w:val="auto"/>
        </w:rPr>
        <w:t>We believe the M&amp;A environment will remain active over the long-term based on a variety of economic,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and strategic factors, strong corporate balance sheets, significant undeployed venture and private equity capital, attractive financing markets, a rapidly accelerating trend toward global consolidation and business model transformation. We believe that our Company is well positioned to further capitalize on these robust fundamentals and M&amp;A trends, which we expect will continue to drive global growth of the financial advisory market.</w:t>
      </w:r>
    </w:p>
    <w:p>
      <w:pPr>
        <w:spacing w:after="0" w:line="12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Demand in Financing and Capital Solutions Advisory Services: </w:t>
      </w:r>
      <w:r>
        <w:rPr>
          <w:rFonts w:ascii="Times New Roman" w:cs="Times New Roman" w:eastAsia="Times New Roman" w:hAnsi="Times New Roman"/>
          <w:sz w:val="18"/>
          <w:szCs w:val="18"/>
          <w:color w:val="auto"/>
        </w:rPr>
        <w:t>We believe that, as the complexity of capital markets has increased, so too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need for independent advice surrounding financing and capital structure, both in the context of M&amp;A transactions as well as standalone financial decisions. The independent advisory model is well-positioned within the backdrop of a credit market, where increasingly clients seek out advice from non-underwriter parties and look to work directly with capital providers. We believe that our broad industry coverage is an attractive complement to our financing and capital solutions advisory practice and allows us to leverage combined expertise to advise clients on complex and nuanced capital structure and financing matters, while diversifying our revenues and differentiating us from our peers.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Competitive Strengths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8"/>
          <w:szCs w:val="18"/>
          <w:color w:val="auto"/>
        </w:rPr>
        <w:t>We believe the primary qualities that drive our success include:</w:t>
      </w:r>
    </w:p>
    <w:p>
      <w:pPr>
        <w:spacing w:after="0" w:line="16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Deep Industry Insights: </w:t>
      </w:r>
      <w:r>
        <w:rPr>
          <w:rFonts w:ascii="Times New Roman" w:cs="Times New Roman" w:eastAsia="Times New Roman" w:hAnsi="Times New Roman"/>
          <w:sz w:val="18"/>
          <w:szCs w:val="18"/>
          <w:color w:val="auto"/>
        </w:rPr>
        <w:t>We believe our clients increasingly value advisors with deep industry insights when making strategic decisions that impact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Our primary areas of industry focus include: Consumer &amp; Retail; Energy; Financial Institutions; Healthcare; Industrials; and Technology, Media &amp; Telecommunications. We strive to attract and elevate individuals who are, or will be, considered thought leaders in their fields of focus.</w:t>
      </w:r>
    </w:p>
    <w:p>
      <w:pPr>
        <w:spacing w:after="0" w:line="11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Independent Thought: </w:t>
      </w:r>
      <w:r>
        <w:rPr>
          <w:rFonts w:ascii="Times New Roman" w:cs="Times New Roman" w:eastAsia="Times New Roman" w:hAnsi="Times New Roman"/>
          <w:sz w:val="18"/>
          <w:szCs w:val="18"/>
          <w:color w:val="auto"/>
        </w:rPr>
        <w:t>We believe our clients seek out advisors who offer independent thinking and who are not burdened by the complicated conflicts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large investment banking institutions may face due to their various businesses.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Innovation, Creativity and Ingenuity: </w:t>
      </w:r>
      <w:r>
        <w:rPr>
          <w:rFonts w:ascii="Times New Roman" w:cs="Times New Roman" w:eastAsia="Times New Roman" w:hAnsi="Times New Roman"/>
          <w:sz w:val="18"/>
          <w:szCs w:val="18"/>
          <w:color w:val="auto"/>
        </w:rPr>
        <w:t>We seek original and exceptional ways to deliver value to our clients and to improve the way we operate. Our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 Standards of Integrity: </w:t>
      </w:r>
      <w:r>
        <w:rPr>
          <w:rFonts w:ascii="Times New Roman" w:cs="Times New Roman" w:eastAsia="Times New Roman" w:hAnsi="Times New Roman"/>
          <w:sz w:val="18"/>
          <w:szCs w:val="18"/>
          <w:color w:val="auto"/>
        </w:rPr>
        <w:t>We earn trust—our most important currency with clients and each other—first and foremost through integrity. Integrity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Rigorous Work Ethic: </w:t>
      </w:r>
      <w:r>
        <w:rPr>
          <w:rFonts w:ascii="Times New Roman" w:cs="Times New Roman" w:eastAsia="Times New Roman" w:hAnsi="Times New Roman"/>
          <w:sz w:val="18"/>
          <w:szCs w:val="18"/>
          <w:color w:val="auto"/>
        </w:rPr>
        <w:t>As an advisory firm, the primary assets we bring to bear on any engagement are deep insights and creative ideas. However,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w:t>
      </w:r>
    </w:p>
    <w:p>
      <w:pPr>
        <w:spacing w:after="0" w:line="12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As we execute on our growth strategy, we expect to expand our relationships with clients and the capabilities we can offer them, which will enhance our position as a leading independent advisory firm.</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plan to accomplish these goals by executing on the following strategies:</w:t>
      </w:r>
    </w:p>
    <w:p>
      <w:pPr>
        <w:spacing w:after="0" w:line="16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Leveraging our Existing Client Relationships: </w:t>
      </w:r>
      <w:r>
        <w:rPr>
          <w:rFonts w:ascii="Times New Roman" w:cs="Times New Roman" w:eastAsia="Times New Roman" w:hAnsi="Times New Roman"/>
          <w:sz w:val="18"/>
          <w:szCs w:val="18"/>
          <w:color w:val="auto"/>
        </w:rPr>
        <w:t>As we grow our business, we seek to deepen and expand our client relationships, which are the foundation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Company's success.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7" w:name="page8"/>
    <w:bookmarkEnd w:id="7"/>
    <w:p>
      <w:pPr>
        <w:jc w:val="both"/>
        <w:ind w:firstLine="318"/>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Broadening Client Coverage in Our Markets of Focus: </w:t>
      </w:r>
      <w:r>
        <w:rPr>
          <w:rFonts w:ascii="Times New Roman" w:cs="Times New Roman" w:eastAsia="Times New Roman" w:hAnsi="Times New Roman"/>
          <w:sz w:val="17"/>
          <w:szCs w:val="17"/>
          <w:color w:val="auto"/>
        </w:rPr>
        <w:t>We have established a strong global presence in key industry sectors across which we apply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recognized M&amp;A and financing and capital solutions expertise to assist clients as they tackle critical decisions for their businesses. While we believe we have successfully established well-regarded practices in these core industry areas, we believe that we have substantial head room to further expand our coverage.</w:t>
      </w:r>
    </w:p>
    <w:p>
      <w:pPr>
        <w:spacing w:after="0" w:line="10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Expanding Our Advisory Capabilities to Better Serve Our Clients: </w:t>
      </w:r>
      <w:r>
        <w:rPr>
          <w:rFonts w:ascii="Times New Roman" w:cs="Times New Roman" w:eastAsia="Times New Roman" w:hAnsi="Times New Roman"/>
          <w:sz w:val="18"/>
          <w:szCs w:val="18"/>
          <w:color w:val="auto"/>
        </w:rPr>
        <w:t>We provide a range of advisory services to our clients, including strategic advisory,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M&amp;A, shareholder and defense advisory, financing and capital solutions, and energy underwriting and research. We will continue to deepen our capabilities in the core product areas we compete in today. We plan to also invest in expanding our capabilities to provide additional advisory services where we believe such expansions can represent a compelling value proposition to our clients and an attractive commercial opportunity for us.</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to Drive Innovation and Insights: </w:t>
      </w:r>
      <w:r>
        <w:rPr>
          <w:rFonts w:ascii="Times New Roman" w:cs="Times New Roman" w:eastAsia="Times New Roman" w:hAnsi="Times New Roman"/>
          <w:sz w:val="18"/>
          <w:szCs w:val="18"/>
          <w:color w:val="auto"/>
        </w:rPr>
        <w:t>We believe that the market for advisory services is undergoing a period of transition away from solely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transactional advice.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24"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Attracting, Developing and Retaining World-Class Talent to the Company: </w:t>
      </w:r>
      <w:r>
        <w:rPr>
          <w:rFonts w:ascii="Times New Roman" w:cs="Times New Roman" w:eastAsia="Times New Roman" w:hAnsi="Times New Roman"/>
          <w:sz w:val="18"/>
          <w:szCs w:val="18"/>
          <w:color w:val="auto"/>
        </w:rPr>
        <w:t>Attracting, developing and retaining world-class talent at the Company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critical component to our growth and to our success. We will continue to attract, develop and retain advisory professionals who seek an environment where they can collaborate to deliver excellent advice to their clients.</w:t>
      </w:r>
    </w:p>
    <w:p>
      <w:pPr>
        <w:spacing w:after="0" w:line="11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Maintaining Discipline in How We Manage Our Business: </w:t>
      </w:r>
      <w:r>
        <w:rPr>
          <w:rFonts w:ascii="Times New Roman" w:cs="Times New Roman" w:eastAsia="Times New Roman" w:hAnsi="Times New Roman"/>
          <w:sz w:val="18"/>
          <w:szCs w:val="18"/>
          <w:color w:val="auto"/>
        </w:rPr>
        <w:t>We manage our business in an effort to deliver value creation to our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w:t>
      </w:r>
    </w:p>
    <w:p>
      <w:pPr>
        <w:spacing w:after="0" w:line="1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Advisory Offerings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Company and high level senior banker attention to every client, regardless of size or situation.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8" w:name="page9"/>
    <w:bookmarkEnd w:id="8"/>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45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Advisory Services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seek to advise our clients throughout their corporate evolution, with the full range of our advisory capabilities. Those services include advice related to mission-critical strategic and financial decisions, mergers and acquisitions (“M&amp;A”) execution, shareholder and defense advisory, financing and capital solutions advice with resources focused on restructuring and liability management, capital markets advisory, and private capital placement, as well as specialized underwriting and research services primarily for the energy and related industries.</w:t>
      </w:r>
    </w:p>
    <w:p>
      <w:pPr>
        <w:spacing w:after="0" w:line="203"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M&amp;A and Strategic Advisory: </w:t>
      </w:r>
      <w:r>
        <w:rPr>
          <w:rFonts w:ascii="Times New Roman" w:cs="Times New Roman" w:eastAsia="Times New Roman" w:hAnsi="Times New Roman"/>
          <w:sz w:val="18"/>
          <w:szCs w:val="18"/>
          <w:color w:val="auto"/>
        </w:rPr>
        <w:t>We have established a leading M&amp;A and strategic advisory practice, advising clients on a range of strategic issues,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10"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and Capital Solutions Advisory: </w:t>
      </w:r>
      <w:r>
        <w:rPr>
          <w:rFonts w:ascii="Times New Roman" w:cs="Times New Roman" w:eastAsia="Times New Roman" w:hAnsi="Times New Roman"/>
          <w:sz w:val="18"/>
          <w:szCs w:val="18"/>
          <w:color w:val="auto"/>
        </w:rPr>
        <w:t>We have built, and are continuing to invest in, a leading franchise advising clients on capital markets matters,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in transaction-related and ordinary course financing execution. We provide comprehensive capital structure advice and help our clients develop financing solutions tailored to their specific needs. We believe our independence and objectivity, coupled with our deep experience in complex financial matters, inform our market views and enhance the likelihood of a successful transaction, and in turn have helped us develop trusted and long-lasting relationships with our clients.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 to Environmental, Social and Governance Leadership</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believe that leadership in the Environmental, Social and Governance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28" w:lineRule="exact"/>
        <w:rPr>
          <w:sz w:val="20"/>
          <w:szCs w:val="20"/>
          <w:color w:val="auto"/>
        </w:rPr>
      </w:pPr>
    </w:p>
    <w:p>
      <w:pPr>
        <w:ind w:left="640" w:hanging="316"/>
        <w:spacing w:after="0" w:line="30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Environmental. </w:t>
      </w:r>
      <w:r>
        <w:rPr>
          <w:rFonts w:ascii="Times New Roman" w:cs="Times New Roman" w:eastAsia="Times New Roman" w:hAnsi="Times New Roman"/>
          <w:sz w:val="17"/>
          <w:szCs w:val="17"/>
          <w:color w:val="auto"/>
        </w:rPr>
        <w:t>The Environmental pillar is focused on assessing and monitoring our environmental footprint, and proactively raising our firm-wide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awareness of environmental risk and opportunity by committing to sustainable practices to oversee environmental aspects in our business activities.</w:t>
      </w:r>
    </w:p>
    <w:p>
      <w:pPr>
        <w:spacing w:after="0" w:line="79" w:lineRule="exact"/>
        <w:rPr>
          <w:rFonts w:ascii="Times New Roman" w:cs="Times New Roman" w:eastAsia="Times New Roman" w:hAnsi="Times New Roman"/>
          <w:sz w:val="17"/>
          <w:szCs w:val="17"/>
          <w:color w:val="auto"/>
        </w:rPr>
      </w:pPr>
    </w:p>
    <w:p>
      <w:pPr>
        <w:ind w:left="640" w:hanging="316"/>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w:t>
      </w:r>
      <w:r>
        <w:rPr>
          <w:rFonts w:ascii="Times New Roman" w:cs="Times New Roman" w:eastAsia="Times New Roman" w:hAnsi="Times New Roman"/>
          <w:sz w:val="18"/>
          <w:szCs w:val="18"/>
          <w:color w:val="auto"/>
        </w:rPr>
        <w:t>The Social pillar is focused on promoting diversity and inclusion, reinforcing our commitment to engage, develop and motivate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maintaining a rigorous cybersecurity program to protect our valuable data.</w:t>
      </w:r>
    </w:p>
    <w:p>
      <w:pPr>
        <w:spacing w:after="0" w:line="103" w:lineRule="exact"/>
        <w:rPr>
          <w:rFonts w:ascii="Times New Roman" w:cs="Times New Roman" w:eastAsia="Times New Roman" w:hAnsi="Times New Roman"/>
          <w:sz w:val="18"/>
          <w:szCs w:val="18"/>
          <w:color w:val="auto"/>
        </w:rPr>
      </w:pPr>
    </w:p>
    <w:p>
      <w:pPr>
        <w:ind w:left="640" w:hanging="316"/>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Governance. </w:t>
      </w:r>
      <w:r>
        <w:rPr>
          <w:rFonts w:ascii="Times New Roman" w:cs="Times New Roman" w:eastAsia="Times New Roman" w:hAnsi="Times New Roman"/>
          <w:sz w:val="18"/>
          <w:szCs w:val="18"/>
          <w:color w:val="auto"/>
        </w:rPr>
        <w:t>The Governance pillar is focused on upholding our commitment to ethical business conduct, professional integrity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responsibility by integrating strong governance and enterprise risk management oversight across all aspects of our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 and Inclusive Culture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9" w:name="page10"/>
    <w:bookmarkEnd w:id="9"/>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Since our founding we have experienced significant growth of our team. At founding in 2006, we began the Company with 16 advisory professionals, including ten advisory partners. As of December 31, 2022, we serve our clients with 484 advisory professionals, including 64 advisory partners and 47 advisory managing directors, based in ten offices, located in five countries around the world.</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drivers of the growth of the Company include a combination of internal promotions and lateral recruiting in our areas of focus.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recruit our junior professionals from the world's leading undergraduate and graduate programs. We devote significant time and resources to attracting, training and mentoring our employees. This starts with positioning our Company to attract competitive, high caliber talent and providing a hands-on development platform from day one through our global internship program and early careers curriculum. We are committed to talent retention, and our goal is to develop our brightest and most ambitious junior professionals into successful partners. To this end, as of December 31, 2022, 24 of our 64 advisory partners and 34 of our 47 advisory managing directors were promoted internally.</w:t>
      </w:r>
    </w:p>
    <w:p>
      <w:pPr>
        <w:spacing w:after="0" w:line="13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Diversity, equity and inclusion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Global Advisory Women's Prep Program and the Global Advisory Diversity Prep Program, have been instrumental to increase representation of women and ethnically diverse junior professionals. Our focus and effort on recruiting and developing undergraduate women through the Advisory Women's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to ensure an equitable hiring process.</w:t>
      </w:r>
    </w:p>
    <w:p>
      <w:pPr>
        <w:spacing w:after="0" w:line="1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to recruiting and developing advisory professionals, we have also entered into formal relationships with certain senior advisors who work with our advisory professionals to augment our overall advisory services to our clients.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2022, we had 667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Focus on Cybersecurity</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(“NIST”) and International Organization for Standardization (“ISO”) frameworks, and our policies and procedures in managing personally identifiable information (“PII”) are in compliance with General Data Protection Regulation (“GDPR”)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0" w:name="page11"/>
    <w:bookmarkEnd w:id="10"/>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PWP Separation</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28, 2019, we effected the separation of our advisory business from the asset management business of PWP OpCo pursuant to a master separation agreement, pursuant to which PWP Capital Holdings LP (“PWP Capital”) became the holding company for our asset management business and PWP OpCo continued to be the holding company for our advisory business (the “PWP Separation”).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a holding company and our only material assets are our partnership interests in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25"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w:t>
      </w:r>
    </w:p>
    <w:p>
      <w:pPr>
        <w:spacing w:after="0" w:line="1" w:lineRule="exact"/>
        <w:rPr>
          <w:sz w:val="20"/>
          <w:szCs w:val="20"/>
          <w:color w:val="auto"/>
        </w:rPr>
      </w:pPr>
    </w:p>
    <w:p>
      <w:pPr>
        <w:jc w:val="both"/>
        <w:ind w:firstLine="6"/>
        <w:spacing w:after="0" w:line="270" w:lineRule="auto"/>
        <w:tabs>
          <w:tab w:leader="none" w:pos="18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Inc., Guggenheim Partners, Houlihan Lokey, Inc., Lazard Ltd, Moelis, Inc., NM Rothschild &amp; Sons Limited, PJT Partners, Inc., and other closely held boutique firms. 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1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clients participating in those markets.</w:t>
      </w:r>
    </w:p>
    <w:p>
      <w:pPr>
        <w:spacing w:after="0" w:line="125"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Tudor, Pickering, Holt &amp; Co. Securities, LLC (“TPH Securities”), through which we conduct equity research and sales and market making in the United States are registered as broker-dealers with, and are subject to regulation and oversight by, the SEC. In addition, the Financial Industry Regulatory Authority (“FINRA”), a self-regulatory organization that is subject to oversight by the SEC, adopts and enforces 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12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Broker-dealers are subject to regulations that cover all aspects of the securities business, including trading practices, order handling, best execution,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4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In addition to the regulation we are subject to in the United States, we are also subject to regulation internationally. Perella Weinberg UK Limited (“PWP U.K.”) is authorized and regulated by the Financial Conduct Authority (“FCA”) and, as a Small Non-Interconnected investment firm, is required to maintain certain minimum regulatory capital. Perella Weinberg Partners France SAS (“PWP France”) is authorized and regulated by the Authorite de Controle Prudentiel (“ACPR”) and the Authorite des Marches Financiers (“AMF”) and, as a class 3 investment firm, is required to maintain certain minimum regulatory capital. Tudor, Pickering, Holt &amp; Co. Securities - Canada, ULC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the New Self-Regulatory Organization of Canada (“New SRO,” formerly the Investment Industry Regulatory Organization of Canada or “IIROC”), which adopts and enforces rules governing the capital, business conduct, record keeping, trading, individual registration and proficiency, governance, and examines the activities of, its member firms. Per the New SRO’s rules, TPH Canada is required to maintain certain minimum capital, with additional capital requirements when TPH Canada participates in deal financings or executes trades outside of its carrying broker relationship.</w:t>
      </w:r>
    </w:p>
    <w:p>
      <w:pPr>
        <w:spacing w:after="0" w:line="12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12" w:name="page13"/>
    <w:bookmarkEnd w:id="12"/>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14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Bank Secrecy Act (the “BSA”), as amended by the USA PATRIOT Act of 2001, the Anti-Money Laundering Act of 2021,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34"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In support of U.S. foreign policy and national security goals, the Treasury Department's Office of Foreign Assets Control (“OFAC”),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(“Sanctioned Countries”)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“SDNs”)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3" w:name="page14"/>
    <w:bookmarkEnd w:id="13"/>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Foreign Corrupt Practices Act (“FCPA”) the UK Bribery Act 2010 (the “UK Bribery Act”)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United Kingdom (“U.K.”) or outside the U.K., where the person's act or omission would constitute an offense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all of the risks described below, which we believe are the principal risks that we face and of which we are currently aware, and all of the other information contained in this report. If any of the events or developments described below occur, our business, financial condition or results of operations could be negatively affected. Additional risks and uncertainties not presently known to us or that we currently deem immaterial may also impair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principal risks and uncertainties affecting our business include (but are not limited to) the following: global economic, business and market conditions; the Company's dependence on and ability to retain and successfully identify, recruit and develop talent; the high volatility of the Company's revenues as a result of its non-exclusive, engagement-by-engagement business model and its reliance on advisory fees that are largely contingent on the completion of events which may be out of its control; the Company's ability to appropriately manage conflicts of interest,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arising from catastrophic events, such as the global outbreak of COVID-19 or other pandemic diseases.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COVID-19 has created global economic disruption and uncertainty. At any given time, COVID-19 or another public health crisis may have a significant and adverse short-term effect on our business, revenues and operating results. Additionally, prolonged effects from a public health crisis and related disruption could heighten the impact of one or more of the other risk factors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4" w:name="page15"/>
    <w:bookmarkEnd w:id="14"/>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financing and capital solutions advisory services and increasing price competition among financial services companies seeking such engagements. Numerous factors related to public health crises, which are also beyond our control, such as governmental response, medical advancements, economic impact and recovery and clients’ willingness to transact in a sustained uncertain environment, may also have an adverse impact on our business, revenues and operating results.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retain key employees is critical to the success of our business.</w:t>
      </w:r>
    </w:p>
    <w:p>
      <w:pPr>
        <w:spacing w:after="0" w:line="16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“Part I—Item 3. Legal Proceedings” included elsewhere in this Form 10-K. In addition, some of our competitors have more resources than we do, which may allow them to attract some of our existing employees through higher compensation, promotions or otherwise. Further, we may be unable to implement or enforce adequate restrictive covenants, including non-competition arrangements, due to legal and regulatory constraints in the jurisdictions in which we operate, which may currently or in the future apply to our working partners and other senior professionals. For example, in January 2023, the U.S. Federal Trade Commission published a proposed rule that, if finally issued, would generally prohibit post-employment non-compete clauses (or other clauses with comparable effect) in agreements between employers and their employees. We are monitoring the proposed rule and the impact it may have on our ability to recruit and retain our professionals. The departure of a number of working partners or groups of professionals could have a material adverse effect on our business and our profitability.</w:t>
      </w:r>
    </w:p>
    <w:p>
      <w:pPr>
        <w:spacing w:after="0" w:line="135"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experienced significant growth over the past several years, which may be difficult to sustain at the same rate. Our business objectives are dependent, in part, on our ability to further grow our business to gain benefits related to scale.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Company.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gain benefits related to scale, and our financial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5" w:name="page16"/>
    <w:bookmarkEnd w:id="15"/>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Times New Roman" w:cs="Times New Roman" w:eastAsia="Times New Roman" w:hAnsi="Times New Roman"/>
          <w:sz w:val="18"/>
          <w:szCs w:val="18"/>
          <w:i w:val="1"/>
          <w:iCs w:val="1"/>
          <w:color w:val="auto"/>
        </w:rPr>
        <w:t>Risks Related to our Business—Our growth strategy may involve opening or acquiring new offices and/or expanding,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both domestically and internationally, and could involve hiring new partners and other senior professionals for these offices, which would require substantial investment by us and could materially adversely affect our operating results</w:t>
      </w:r>
      <w:r>
        <w:rPr>
          <w:rFonts w:ascii="Times New Roman" w:cs="Times New Roman" w:eastAsia="Times New Roman" w:hAnsi="Times New Roman"/>
          <w:sz w:val="18"/>
          <w:szCs w:val="18"/>
          <w:color w:val="auto"/>
        </w:rPr>
        <w:t>.” There can be no assurance that we will be able to manage our expanding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effectively, and any failure to do so could materially adversely affect our ability to grow revenue and control our expenses.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to recruiting and internal promotions, we may grow our business through strategic transactions, including joint ventures, strategic investments or acquisitions.</w:t>
      </w:r>
    </w:p>
    <w:p>
      <w:pPr>
        <w:spacing w:after="0" w:line="11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of 2002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1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6" w:name="page17"/>
    <w:bookmarkEnd w:id="16"/>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10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international hostilities, including the current hostilities between Russia and Ukraine,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are suppressed or experience volatility for an extended period of time. In addition, during periods of strong market and economic conditions, the volume and value of other advisory services, including recapitalization and restructuring transactions, may decrease, thereby reducing demand for those services on our platform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such other areas.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17" w:name="page18"/>
    <w:bookmarkEnd w:id="17"/>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revenue in any given period is dependent on the number of fee-paying clients in such period. For the year ended December 31, 2022, we earned revenues from 200 advisory clients, 127 of which generated fees equal to or greater than $1.0 million. For the year ended December 31, 2021 we earned revenues from 232 advisory clients, 142 of which generated fees equal to or greater than $1.0 million. For the year ended December 31, 2020, we earned revenues from 175 advisory clients, 99 of which generated fees equal to or greater than $1.0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2022, 2021, and 2020.</w:t>
      </w:r>
    </w:p>
    <w:p>
      <w:pPr>
        <w:spacing w:after="0" w:line="13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operating losses in the past and may experience operating losses in the future.</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For the years ended December 31, 2022 and 2020, we recorded operating losses of $47.7 million and $14.6 million, respectively. These operating losses were largely due to amortization of the equity-based compensation awards granted by Professional Partners, which have no economic impact on PWP or PWP OpCo. The vesting of equity awards granted in connection with the Business Combination have been and will be recorded as equity-based compensation expense at PWP OpCo for U.S. GAAP accounting purposes. We did not record an operating loss for the year ended December 31, 2021. We need to continue to compensate personnel competitively in order to continue building our business and as a result, we may again experience operating losses in future periods.</w:t>
      </w:r>
    </w:p>
    <w:p>
      <w:pPr>
        <w:spacing w:after="0" w:line="11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18" w:name="page19"/>
    <w:bookmarkEnd w:id="18"/>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 may be unable to pay us for our services.</w:t>
      </w:r>
    </w:p>
    <w:p>
      <w:pPr>
        <w:spacing w:after="0" w:line="16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restructuring activities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9" w:name="page20"/>
    <w:bookmarkEnd w:id="19"/>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number of debt defaults, bankruptcies or other factors affecting demand for our recapitalization and restructuring advisory services declines, our business related to such services could suffer.</w:t>
      </w:r>
    </w:p>
    <w:p>
      <w:pPr>
        <w:spacing w:after="0" w:line="10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advisory services related to recapitalization and restructuring activity declines, our business could be adversely affected.</w:t>
      </w:r>
    </w:p>
    <w:p>
      <w:pPr>
        <w:spacing w:after="0" w:line="1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w:t>
      </w:r>
    </w:p>
    <w:p>
      <w:pPr>
        <w:spacing w:after="0" w:line="9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Further, certain members of our management team oversee or are otherwise involved in PWP Capital Holdings LP’s (“PWP Capital”) asset management business or other businesses, which could divert their time and attention away from running our advisory business and create, or appear to create, potential conflicts of interest when they are faced with decisions that could have different implications for us and PWP Capital’s asset management business or other businesses that they may manage or otherwise be involved with.</w:t>
      </w:r>
    </w:p>
    <w:p>
      <w:pPr>
        <w:spacing w:after="0" w:line="22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 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0" w:name="page21"/>
    <w:bookmarkEnd w:id="20"/>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Employee misconduct, which is difficult to detect and deter, and other labor-related issues could harm us by impairing our ability to attract and retain clients and talent and by subjecting us to legal liability and reputational harm.</w:t>
      </w:r>
    </w:p>
    <w:p>
      <w:pPr>
        <w:spacing w:after="0" w:line="107"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We also face the risk that our employees engage in work place misconduct, such as sexual harassment or discrimination, despite our implementation of policies and training to prevent and detect misconduct. In addition to impairing our ability to attract and retain clients, such misconduct may also impair our ability to attract and retain talent resulting in a materially adverse effect on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2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U.S. Department of Justice and the SEC continue to devote significant resources to the enforcement of the FCPA. In addition, the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securities. For further detail regarding the FCPA and other regulations that we are subject to, see “</w:t>
      </w:r>
      <w:r>
        <w:rPr>
          <w:rFonts w:ascii="Times New Roman" w:cs="Times New Roman" w:eastAsia="Times New Roman" w:hAnsi="Times New Roman"/>
          <w:sz w:val="18"/>
          <w:szCs w:val="18"/>
          <w:i w:val="1"/>
          <w:iCs w:val="1"/>
          <w:color w:val="auto"/>
        </w:rPr>
        <w:t>Part I—Item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damage to our professional reputation if our services are not regarded as satisfactory or for other reasons.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3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1" w:name="page22"/>
    <w:bookmarkEnd w:id="21"/>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1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2" w:name="page23"/>
    <w:bookmarkEnd w:id="22"/>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Goodwill and other intangible assets represent a significant portion of our assets, and totaled $60.2 million and $66.7 million as of December 31, 2022 and 2021,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 and projected growth rates. Because these factors are ever changing, due to market and general business conditions, our goodwill and indefinite-lived intangible assets may be impaired in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on our growth initiatives, business strategies or operating plans.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Credit Agreement (as defined below) governing our Revolving Credit Facility (as defined below) or the credit agreement governing any replacement credit facility may impair our ability to finance our future operations or capital needs or engage in other business activities that may be in our interests.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December 11, 2018, Perella Weinberg Partners Group LP (“PWP Group”), a wholly owned subsidiary of PWP OpCo, entered into a revolving credit facility (the “Revolving Credit Facility”) with Cadence Bank, N.A. (“Cadence Bank”) in order to pay in full the outstanding credit agreement with Cadence Bank, dated November 30, 2016 (as amended and restated on December 11, 2018, the “Credit Agreement”), through which the Company borrowed an aggregate of $50.0 million, plus outstanding interest, fees and expenses related thereto and provide for the future working capital needs and other general corporate purposes of PWP Group and its subsidiaries. The Revolving Credit Facility, as amended in connection with the Closing, provides for a $50.0 million unsecured revolving credit facility that matures on July 1, 2025, and contains a number of significant covenants that, among other things, require PWP OpCo and certain of its subsidiaries (the “Loan Parties”) to maintain (on a consolidated basis) minimum liquidity levels, a minimum debt service coverage ratio and a maximum leverage ratio and restrict the ability of the Loan Parties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3" w:name="page24"/>
    <w:bookmarkEnd w:id="23"/>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restricted payments;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mergers or consolidations;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subsidiaries and affiliates.</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w:t>
      </w:r>
    </w:p>
    <w:p>
      <w:pPr>
        <w:spacing w:after="0" w:line="132"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commitments of all of the lenders under the Revolving Credit Facility (or any replacement credit facility) to be terminated;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all outstanding debt, accrued interest and fees to be due and immediately payable.</w:t>
      </w:r>
    </w:p>
    <w:p>
      <w:pPr>
        <w:spacing w:after="0" w:line="17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member of the financial services industry, we face substantial litigation risks.</w:t>
      </w:r>
    </w:p>
    <w:p>
      <w:pPr>
        <w:spacing w:after="0" w:line="155"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Our business is subject to various U.S. and international laws and regulations that could lead to enforcement actions, fines, civil or criminal penalties or the assertion of litigation claims and damages. In addition, improper conduct by our employees, agents or other related parties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Such events could lead to an adverse impact on our financial condition or results of operations.</w:t>
      </w:r>
    </w:p>
    <w:p>
      <w:pPr>
        <w:spacing w:after="0" w:line="22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working partners and a former employee regarding claims of breach of contract. For further information, see “</w:t>
      </w:r>
      <w:r>
        <w:rPr>
          <w:rFonts w:ascii="Times New Roman" w:cs="Times New Roman" w:eastAsia="Times New Roman" w:hAnsi="Times New Roman"/>
          <w:sz w:val="18"/>
          <w:szCs w:val="18"/>
          <w:i w:val="1"/>
          <w:iCs w:val="1"/>
          <w:color w:val="auto"/>
        </w:rPr>
        <w:t>Part I—Item 3. Legal Proceedings</w:t>
      </w:r>
      <w:r>
        <w:rPr>
          <w:rFonts w:ascii="Times New Roman" w:cs="Times New Roman" w:eastAsia="Times New Roman" w:hAnsi="Times New Roman"/>
          <w:sz w:val="18"/>
          <w:szCs w:val="18"/>
          <w:color w:val="auto"/>
        </w:rPr>
        <w:t>” included elsewhere in this Form 10-K.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4" w:name="page25"/>
    <w:bookmarkEnd w:id="24"/>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cybersecurity and other operational risks.</w:t>
      </w:r>
    </w:p>
    <w:p>
      <w:pPr>
        <w:spacing w:after="0" w:line="16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Company.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4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5" w:name="page26"/>
    <w:bookmarkEnd w:id="25"/>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any indebtedness.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certain risks, which may affect our revenue.</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For the years ended December 31, 2022, 2021 and 2020, we earned approximately 24.3%, 17.7% and 25.4%,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106"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difficulties in managing and staffing foreign operations;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and cultural differences, including the need to adopt different business practices in different geographic areas;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that could adversely affect our results;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additional and/or costly changes in trading policies, regulatory requirements, tariffs and other barriers;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transaction cycles;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operating costs;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labor conditions and regulations;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consequences or restrictions on the repatriation of earnings;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such as trapped foreign losses or profits;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less stable political and economic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6" w:name="page27"/>
    <w:bookmarkEnd w:id="26"/>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international hostilities, war and other civil disturbances or other catastrophic events that reduce business activity;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fee structures for our advisory services;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collecting fees.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our international business increases relative to our total business, the materialization of these risks could have a more pronounced effect on our operating results or growth prospects.</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may involve opening or acquiring new offices and/or expanding, both domestically and internationally, and could involve hiring new partners and other senior professionals for these offices, which would require substantial investment by us and could materially adversely affect our operating results.</w:t>
      </w:r>
    </w:p>
    <w:p>
      <w:pPr>
        <w:spacing w:after="0" w:line="121"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ability to grow our advisory business depends in part on our ability to open or acquire new offices, expand internationally and hire new partners and other senior professionals for these offices. We may not be successful in any efforts to open new offices, expand internationally or hire new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European Union (the “E.U.”),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2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Depending upon the extent of our expansion, and whether it is done by recruiting new partners and other senior professionals,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enter into new lines of business which may result in additional risks and uncertainties in our business.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7" w:name="page28"/>
    <w:bookmarkEnd w:id="27"/>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Times New Roman" w:cs="Times New Roman" w:eastAsia="Times New Roman" w:hAnsi="Times New Roman"/>
          <w:sz w:val="18"/>
          <w:szCs w:val="18"/>
          <w:i w:val="1"/>
          <w:iCs w:val="1"/>
          <w:color w:val="auto"/>
        </w:rPr>
        <w:t>Risks Related to Our Business—Our failure to deal appropriately with 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potential or perceived conflicts of interest could damage our reputation and materially adversely affect our business</w:t>
      </w:r>
      <w:r>
        <w:rPr>
          <w:rFonts w:ascii="Times New Roman" w:cs="Times New Roman" w:eastAsia="Times New Roman" w:hAnsi="Times New Roman"/>
          <w:sz w:val="18"/>
          <w:szCs w:val="18"/>
          <w:color w:val="auto"/>
        </w:rPr>
        <w:t>” above.</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may in the future also invest in companies, including our clients, or enter into new lines of business,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adversely affect our results.</w:t>
      </w:r>
    </w:p>
    <w:p>
      <w:pPr>
        <w:spacing w:after="0" w:line="16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Because our financial statements are denominated in U.S. dollars and we receive a portion of our revenue in other currencies (including the Euro, pound sterling and Canadian dollars), we are exposed to fluctuations in foreign currencies. During the years ended December 31, 2022 and 2021, 19.2% and 14.5%, respectively, of revenue was denominated in currencies other than the U.S. dollar. In addition, we pay certain of our expenses in such currencies. Additionally, entering into transactions and holding monetary assets and liabilities that are not denominated in the functional currency of our foreign subsidiaries exposes the Company to exchange rate fluctuations which can result in foreign currency related transaction gains and losses.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exit by the U.K. from the E.U. could adversely impact our business, operations and financial condition.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“TCA”), which was applied on a provisional basis from January 1, 2021 and entered into full force on May 1, 2021, following formal approval by the U.K. and the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8" w:name="page29"/>
    <w:bookmarkEnd w:id="28"/>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operate our business will depend largely upon the efforts of certain key personnel, including the key personnel of PWP. The loss of such key personnel could adversely affect the operations and profitability of our business.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ability to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9" w:name="page30"/>
    <w:bookmarkEnd w:id="29"/>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historical consolidated financial information for periods prior to the Business Combination on June 24, 2021 in our filings is not representative of the results we would have achieved as a stand-alone public company and may not be an appropriate basis for evaluating our potential future results.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historical consolidated financial information for periods prior to the Business Combination on June 24, 2021 in our filings does not reflect the financial condition, results of operations or cash flows that we would have achieved as a stand-alone public company during the periods presented or those we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 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6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TPH Securities. We are subject to regulatory restrictions and requirements imposed by applicable statutes, regulations and policies in the jurisdictions in which we operate. U.S. and non-U.S. government agencies and self-regulatory organizations, including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Times New Roman" w:cs="Times New Roman" w:eastAsia="Times New Roman" w:hAnsi="Times New Roman"/>
          <w:sz w:val="18"/>
          <w:szCs w:val="18"/>
          <w:i w:val="1"/>
          <w:iCs w:val="1"/>
          <w:color w:val="auto"/>
        </w:rPr>
        <w:t>Part I—Item 1. Business—Regulation</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Canada, 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There are also examples of changes to legislation in non-U.S. jurisdictions that directly or indirectly affect our business. For instance, in the U.K. and E.U., there are extensive changes to the prudential framework applicable to investment firms which are likely to impact the way in which we remunerate staff, including by imposing malus and clawback requirements on variable remuneration, that may impair our ability to attract and retain talent.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0" w:name="page31"/>
    <w:bookmarkEnd w:id="30"/>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Administrators, the New SRO (formerly IIROC), the ACPR, the AMF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Administrators, the New SRO (formerly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12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New laws or regulations or changes in enforcement of existing laws or regulations applicable to our clients may also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changes in the way business is conducted and advances in technology can pose new risks under existing laws or regulations. For example, the increase in the use of private texting applications and other similar electronic business communications by employees to communicate with each other and clients could lead to information loss as there might not be structured processes in place to secure and archive this information and such use of unauthorized applications, and failure to archive those communications, could violate record-keeping and privacy rules. While we have policies and practices in place to prevent the use of such unauthorized communications, these policies and practices may not be sufficient to prevent, detect, and correct such unauthorized communications. Our inability or failure to recognize, respond to and effectively manage the accelerated impact of private texting applications and other similar electronic business communications could lead to fines, penalties, judgements and reputational harm, which could materially adversely impact our business.</w:t>
      </w:r>
    </w:p>
    <w:p>
      <w:pPr>
        <w:spacing w:after="0" w:line="13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31" w:name="page32"/>
    <w:bookmarkEnd w:id="31"/>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and the U.K., the GDPR and the U.K. GDPR, took effect on May 25, 2018. As we engage in significant business in Europe and in the U.K.,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1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TRA (as defined below) and pay other expenses.</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TRA, Professional Partners' indemnification claims with respect to the advisory business and dividends, if any, declared by us.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Times New Roman" w:cs="Times New Roman" w:eastAsia="Times New Roman" w:hAnsi="Times New Roman"/>
          <w:sz w:val="18"/>
          <w:szCs w:val="18"/>
          <w:i w:val="1"/>
          <w:iCs w:val="1"/>
          <w:color w:val="auto"/>
        </w:rPr>
        <w:t>“Part I—Item 1. Business—Regulation.”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our ILPs (as defined below) and/or Limited Partners (as defined below) for certain tax benefits we may claim as a result of the tax basis step-up we received in connection with the Business Combination and related transactions and that we may receive in connection with subsequent exchanges of PWP OpCo Class A partnership units for cash or our Class A common stock. In certain circumstances, payments under the TRA (as defined herein) may be accelerated and/or significantly exceed the actual tax benefits we realize.</w:t>
      </w:r>
    </w:p>
    <w:p>
      <w:pPr>
        <w:spacing w:after="0" w:line="12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acquisition of PWP OpCo Class A partnership units in connection with the Business Combination or pursuant to future exchanges of PWP OpCo Class A partnership units for shares of our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At the Closing, we entered into a tax receivable agreement (the “TRA” or “Tax Receivable Agreement”) with PWP OpCo, Professional Partners and certain other persons party thereto. The TRA generally provides for payment by us to Investor Limited Partners (the “ILPs” or “ILP”) and certain Partners (as defined therein) (the “TRA Parties” and individually, a “TRA Party”)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TRA. We expect to retain the benefit of the remaining 15% of these cash tax savings. While the actual increase in tax basis, as well as the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TRA, the payments that we may make under the TRA could be substantial.</w:t>
      </w:r>
    </w:p>
    <w:p>
      <w:pPr>
        <w:spacing w:after="0" w:line="14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payment obligation under the TRA is our obligation and not an obligation of PWP OpCo. In addition, although we are not aware of any issue that would cause the IRS to challenge a tax basis increase or other benefits, the relevant ILPs and/or limited partners of Professional Partners (“Limited Partners”) will not reimburse us for any payments that may previously have been made under the TRA if such basis increases or other benefits are subsequently disallowed, although excess payments made to any ILP and/or Limited Partner may be netted against payments otherwise to be made, if any, to the relevant party after our determination of such excess. As a result, in certain circumstances we could make payments to the relevant ILPs and/or Limited Partners under the TRA in excess of our cash tax savings. Our ability to achieve benefits from any tax basis increase or other benefits, and the payments to be made under the TRA, will depend upon a number of factors, as discussed above, including the timing and amount of our future income.</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TRA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3" w:name="page34"/>
    <w:bookmarkEnd w:id="33"/>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PWP OpCo may make distributions of cash to us substantially in excess of the amounts we use to make distributions to our shareholders and to pay our expenses (including our taxes and payments under the TRA).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2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Under the amended and restated agreement of limited partnership of PWP OpCo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1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If we accumulate cash received as distributions from PWP OpCo in excess of the amounts that we need to pay any cash dividends declared by our board of directors, taxes and other expenses (including payments under the TRA),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and instead, for example, hold such cash balances or lend them to PWP OpCo, this may result in shares of our Class A common stock increasing in value relative to the PWP OpCo Class A partnership units. The holders of PWP OpCo Units may benefit from any value attributable to such cash balances or loans to PWP OpCo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34" w:name="page35"/>
    <w:bookmarkEnd w:id="3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If Perella Weinberg Partners were to cease participation in the management of PWP OpCo, its interests in PWP OpCo could be deemed an “investment security” for purposes of the Investment Company Act of 1940 (the “1940 Act”).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securities.</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could prevent us from benefiting from corporate opportunities that might have otherwise been available to us.</w:t>
      </w:r>
    </w:p>
    <w:p>
      <w:pPr>
        <w:spacing w:after="0" w:line="18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Our Restated Certificate of Incorporation, which is subject to the terms and provisions of the Stockholders Agreement (as defined below), contains provisions related to corporate opportunities that may be of interest to us and our subsidiaries and Perella Weinberg Partners LLC (“Professionals GP”) and Professional Partners and their respective subsidiaries. It provides that Professional Partners and its subsidiaries, Professionals GP and its subsidiaries, FinTech Masala Advisors, LLC and FinTech Investor Holdings IV, LLC (together, the “Sponsor”) and any of their respective affiliates (excluding us or any of our subsidiaries) (collectively, the “PWP Partner Group”)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TRA even if the corresponding tax benefits were subsequently determined to have been unavailable due to such status.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Class A partnership units pursuant to the PWP OpCo LPA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TRA and would not be able to recover any of our previously made payments under the TRA, even if the corresponding tax benefits (including any claimed increase in the tax basis of PWP OpCo's assets) were subsequently determined to have been unavailable.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6" w:name="page37"/>
    <w:bookmarkEnd w:id="36"/>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spacing w:after="0" w:line="128"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Professional Partners beneficially owns all of the outstanding shares of our Class B-1 common stock, representing approximately 90.7% of our total voting power, ILPs beneficially own all of the outstanding shares of our Class B-2 common stock, representing approximately 0.4% of our total voting power, and holders of Class A common stock own shares of our Class A common stock, representing approximately 8.9% of our total voting power (in each case as of December 31, 2022).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7" w:name="page38"/>
    <w:bookmarkEnd w:id="37"/>
    <w:p>
      <w:pPr>
        <w:ind w:right="5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10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7"/>
          <w:szCs w:val="17"/>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TRA, and whether and when we should undergo certain changes of control within the meaning of the TRA or terminate the TRA.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 approximately 90.7% of the voting interest in us as of December 31, 2022. The shares of Class B-1 common stock will entitle Professional Partners to (i) for so long as the condition that Professional Partners or its Limited Partners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is satisfied, 10 votes per share for each share held of record on all matters submitted to a vote of stockholders and (ii) after the Class B Condition ceases to be satisfied, one vote per share for each share held of record on all matters submitted to a vote of stockholders. In addition, we are party to the Stockholders Agreement with Professional Partners, pursuant to which, for so long as the Class B 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shares of Class A common stock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we are delisted, there could be significant material adverse consequences, including:</w:t>
      </w:r>
    </w:p>
    <w:p>
      <w:pPr>
        <w:spacing w:after="0" w:line="164"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the combined company;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obtain capital or pursue acquisitions by issuing additional equity or convertible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securities may decline.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Factors affecting the trading price of our common stock may include:</w:t>
      </w:r>
    </w:p>
    <w:p>
      <w:pPr>
        <w:spacing w:after="0" w:line="164"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market expectations in a particular period;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online automobile sales industry and market in general;</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board or management;</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39" w:name="page40"/>
    <w:bookmarkEnd w:id="39"/>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international hostilities and acts of war or terrorism.</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2022, we had 1,500,000,000 shares of Class A common stock authorized, of which 52,237,247 had been issued.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46.3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46,320 shares of Class A common stock for issuance from time to time in respect of conversion of shares of Class B-1 or Class B-2 common stock into Class A common stock.</w:t>
      </w:r>
    </w:p>
    <w:p>
      <w:pPr>
        <w:spacing w:after="0" w:line="13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securities,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securities and dilute their percentage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0" w:name="page41"/>
    <w:bookmarkEnd w:id="40"/>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securities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may reduce the market price of our Class A common stock.</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(as defined below) and Placement Shares (as defined below) owned by the Sponsor were subject to transfer restrictions for six months following the closing of the Business Combination and certain of the Founder Shares held by the Sponsor continue to be subject to transfer restrictions based on certain closing share price thresholds of the Company's Class A common stock for 20 out of any 30 consecutive trading days. On January 7, 2022, the Sponsor distributed 5,456,667 shares of Class A common stock (Founder Shares and Placement Shares) and 203,333 warrants to its members (the "Sponsor Distribution"), after which the Sponsor owned 1,000,000 shares of Class A common stock. The 1,000,000 shares of Class A common stock retained by the Sponsor continue to be subject to transfer restrictions until the $15 Threshold (as defined herein) is met. 1,738,680 of the shares distributed in the Sponsor Distribution remain subject to transfer restrictions until either the $15 Threshold or the $17 Threshold (as defined herein), as applicable, is met.</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amended and restated the existing registration rights agreement with the Sponsor by entering into an amended and restated registration rights agreement (the “Amended and Restated Registration Rights Agreement”) with the RRA Parties with respect to the shares of our Class A common stock and certain other equity securities held by the RRA Parties. On July 15, 2021, we filed with the SEC a registration statement (the “Shelf Registration Statement”) pursuant to Rule 415 under the Securities Act registering the resale of certain shares of our Class A common stock and certain of our other equity securities held by the RRA Parties, which Shelf Registration Statement became effective on July 26, 2021.</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registration and availability of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and obligations as a result of being a public company.</w:t>
      </w:r>
    </w:p>
    <w:p>
      <w:pPr>
        <w:spacing w:after="0" w:line="16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As a privately held company, PWP had not been required to comply with many corporate governance and financial reporting practices and policies required of a publicly traded company. As a publicly traded company, we incur significant legal, accounting and other expenses that PWP was not required to incur in the past. These expenses will increase once we are no longer an “emerging growth company” as defined under the Jumpstart Our Business Startups Act of 2012 (the “JOBS Act”). In addition, new and changing laws, regulations and standards relating to corporate governance and public disclosure for public companies, including Dodd-Frank Wall Street Reform and Consumer Protection Act,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December 31,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94"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Perella Weinberg Partner’s predecessor entity, FinTech Acquisition Corp. IV’s (“FTIV”), initial public offering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42" w:name="page43"/>
    <w:bookmarkEnd w:id="42"/>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securities on the Nasdaq.</w:t>
      </w:r>
    </w:p>
    <w:p>
      <w:pPr>
        <w:spacing w:after="0" w:line="13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Our management is required to evaluate the effectiveness of our internal control over financial reporting as required by Section 404(a) of the Sarbanes-Oxley Act. If we are unable to maintain effective internal control over financial reporting, this could have a material adverse effect on our business.</w:t>
      </w:r>
    </w:p>
    <w:p>
      <w:pPr>
        <w:spacing w:after="0" w:line="70"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404(a) of the Sarbanes-Oxley Act requires that our management assess and report annually on the effectiveness of our internal control over financial reporting and to identify any material weaknesses in our internal control over financial reporting. If we are not able to adequately comply with Section 404(a) of the Sarbanes-Oxley Act or our management asserts that our internal control over financial reporting is ineffective, we may become subject to adverse regulatory consequences and/or investors could lose confidence in the accuracy and completeness of our financial reports and that could lead to a decrease in the market price of our Class A common stock.</w:t>
      </w:r>
    </w:p>
    <w:p>
      <w:pPr>
        <w:spacing w:after="0" w:line="210"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Class A common stock is listed, the SEC or other regulatory authorities. We may also be subject to litigation or other disputes which may include, among others, claims invoking the federal and state securities laws, contractual claims or other claims relating to our financial statements or any material weaknesses in our internal control over financial reporting. In either case, there could result a material adverse effect on our business.</w:t>
      </w:r>
    </w:p>
    <w:p>
      <w:pPr>
        <w:spacing w:after="0" w:line="20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can give no assurance that material weaknesses or restatements of financial results will not arise in the future due to a failure to maintain adequate internal control over financial reporting or circumvention of these controls, or that any measures we take will be sufficient to remediate such material weaknesses. In addition, even if we are successful in maintaining our controls and procedures, in the future those controls and procedures may not be adequate to prevent or identify irregularities or errors or to facilitate the fair presentation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3" w:name="page44"/>
    <w:bookmarkEnd w:id="43"/>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Governance and Governance Documents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3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classification of our board of directors may have anti-takeover effects, including discouraging, delaying or preventing our change of control.</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4" w:name="page45"/>
    <w:bookmarkEnd w:id="4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as well as the rules of FINRA, the FCA, the Alberta Commission, the New SRO (formerly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w:t>
      </w:r>
    </w:p>
    <w:p>
      <w:pPr>
        <w:spacing w:after="0" w:line="13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Similarly, our U.K. subsidiary, PWP U.K.,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5" w:name="page46"/>
    <w:bookmarkEnd w:id="45"/>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12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Delaware General Corporation Law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pacing w:after="0" w:line="13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4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47" w:name="page48"/>
    <w:bookmarkEnd w:id="47"/>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As previously disclosed, on February 17, 2023, the Company filed a petition in the Delaware Court of Chancery (“Court of Chancery”) pursuant to Section 205 of the Delaware General Corporation Law seeking validation of an amendment to the Company’s Amended and Restated Certificate of Incorporation increasing the authorized common stock of the Company to resolve any uncertainty with respect thereto (the “Section 205 Action”). The Section 205 Action filed by the Company in the Court of Chancery is captioned </w:t>
      </w:r>
      <w:r>
        <w:rPr>
          <w:rFonts w:ascii="Times New Roman" w:cs="Times New Roman" w:eastAsia="Times New Roman" w:hAnsi="Times New Roman"/>
          <w:sz w:val="18"/>
          <w:szCs w:val="18"/>
          <w:i w:val="1"/>
          <w:iCs w:val="1"/>
          <w:color w:val="auto"/>
        </w:rPr>
        <w:t>In re Perella Weinberg Partners</w:t>
      </w:r>
      <w:r>
        <w:rPr>
          <w:rFonts w:ascii="Times New Roman" w:cs="Times New Roman" w:eastAsia="Times New Roman" w:hAnsi="Times New Roman"/>
          <w:sz w:val="18"/>
          <w:szCs w:val="18"/>
          <w:color w:val="auto"/>
        </w:rPr>
        <w:t>, C.A. No. 2023-0209-LWW (Del. Ch.). On February 20, 2023, the Court of Chancery granted the Company’s motion for expedited proceedings in the Section 205 Action. The Court of Chancery will hold a final hearing to consider the merits of the petition filed by the Company in the Section 205 Action on March 6, 2023, at 12:00 p.m., Eastern Time. The Court of Chancery recently granted petitions filed pursuant to Section 205 by other companies with similar uncertainty with respect to shareholder votes to amend their certificate of incorporation to increase their authorized common stock. If the Company is not successful in the Section 205 Action, the uncertainty with respect to the Company’s capitalization could have a material adverse effect on the Company, including its ability to issue shares of Class A common stock, until the underlying issues are definitively resolved.</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8" w:name="page49"/>
    <w:bookmarkEnd w:id="4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40"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Our Class A common stock is listed and traded on the Nasdaq Global Select Market under the stock symbol “PWP.” As of February 23, 2023, there were approximately 51 holders of record of our Class A common stock and 3 holders of record of our Class B common stock. This does not include the number of shareholders that hold shares in “street name” through banks or broker-dealers. Our Class B common stock is not listed or quoted on any exchange and is not transferable by the holders, subject to certain limited exceptions.</w:t>
      </w:r>
    </w:p>
    <w:p>
      <w:pPr>
        <w:spacing w:after="0" w:line="127"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We intend to pay dividends quarterly to our common stockholders. For the year ended December 31, 2022, cash dividends of $0.28 per outstanding share of Class A common stock were paid to our stockholders. The declaration of any future cash dividends and, if declared, the amount of any such dividends, will be subject to our financial condition, earnings, capital requirements, financial covenants, applicable law and other factors our board of directors deems relevant. Therefore, there can be no assurance as to what level of dividends, if any, will be paid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Equity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repurchases of equity securities during the three months ended December 31, 2022:</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 Value of Shares that m</w:t>
            </w:r>
          </w:p>
        </w:tc>
        <w:tc>
          <w:tcPr>
            <w:tcW w:w="0" w:type="dxa"/>
            <w:vAlign w:val="bottom"/>
          </w:tcPr>
          <w:p>
            <w:pPr>
              <w:spacing w:after="0"/>
              <w:rPr>
                <w:sz w:val="1"/>
                <w:szCs w:val="1"/>
                <w:color w:val="auto"/>
              </w:rPr>
            </w:pPr>
          </w:p>
        </w:tc>
      </w:tr>
      <w:tr>
        <w:trPr>
          <w:trHeight w:val="168"/>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20" w:type="dxa"/>
            <w:vAlign w:val="bottom"/>
            <w:vMerge w:val="restart"/>
          </w:tcPr>
          <w:p>
            <w:pPr>
              <w:spacing w:after="0"/>
              <w:rPr>
                <w:sz w:val="14"/>
                <w:szCs w:val="14"/>
                <w:color w:val="auto"/>
              </w:rPr>
            </w:pPr>
          </w:p>
        </w:tc>
        <w:tc>
          <w:tcPr>
            <w:tcW w:w="1280" w:type="dxa"/>
            <w:vAlign w:val="bottom"/>
          </w:tcPr>
          <w:p>
            <w:pPr>
              <w:jc w:val="right"/>
              <w:ind w:right="83"/>
              <w:spacing w:after="0"/>
              <w:rPr>
                <w:sz w:val="20"/>
                <w:szCs w:val="20"/>
                <w:color w:val="auto"/>
              </w:rPr>
            </w:pPr>
            <w:r>
              <w:rPr>
                <w:rFonts w:ascii="Times New Roman" w:cs="Times New Roman" w:eastAsia="Times New Roman" w:hAnsi="Times New Roman"/>
                <w:sz w:val="14"/>
                <w:szCs w:val="14"/>
                <w:color w:val="auto"/>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Price Paid</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 Number of Shares Purchased as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yet to be Purchased Under t</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Shares Repurchased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color w:val="auto"/>
              </w:rPr>
              <w:t>per Unit</w:t>
            </w:r>
          </w:p>
        </w:tc>
        <w:tc>
          <w:tcPr>
            <w:tcW w:w="12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Part of Publicly Announced Program</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Publicly Announced Progra</w:t>
            </w:r>
          </w:p>
        </w:tc>
        <w:tc>
          <w:tcPr>
            <w:tcW w:w="0" w:type="dxa"/>
            <w:vAlign w:val="bottom"/>
          </w:tcPr>
          <w:p>
            <w:pPr>
              <w:spacing w:after="0"/>
              <w:rPr>
                <w:sz w:val="1"/>
                <w:szCs w:val="1"/>
                <w:color w:val="auto"/>
              </w:rPr>
            </w:pPr>
          </w:p>
        </w:tc>
      </w:tr>
      <w:tr>
        <w:trPr>
          <w:trHeight w:val="26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2022 - October 31,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shd w:val="clear" w:color="auto" w:fill="CCEEFF"/>
          </w:tcPr>
          <w:p>
            <w:pPr>
              <w:spacing w:after="0"/>
              <w:rPr>
                <w:sz w:val="23"/>
                <w:szCs w:val="23"/>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41,160,2</w:t>
            </w:r>
          </w:p>
        </w:tc>
        <w:tc>
          <w:tcPr>
            <w:tcW w:w="0" w:type="dxa"/>
            <w:vAlign w:val="bottom"/>
          </w:tcPr>
          <w:p>
            <w:pPr>
              <w:spacing w:after="0"/>
              <w:rPr>
                <w:sz w:val="1"/>
                <w:szCs w:val="1"/>
                <w:color w:val="auto"/>
              </w:rPr>
            </w:pPr>
          </w:p>
        </w:tc>
      </w:tr>
      <w:tr>
        <w:trPr>
          <w:trHeight w:val="26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2022 - November 30,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36,148,7</w:t>
            </w:r>
          </w:p>
        </w:tc>
        <w:tc>
          <w:tcPr>
            <w:tcW w:w="0" w:type="dxa"/>
            <w:vAlign w:val="bottom"/>
          </w:tcPr>
          <w:p>
            <w:pPr>
              <w:spacing w:after="0"/>
              <w:rPr>
                <w:sz w:val="1"/>
                <w:szCs w:val="1"/>
                <w:color w:val="auto"/>
              </w:rPr>
            </w:pPr>
          </w:p>
        </w:tc>
      </w:tr>
      <w:tr>
        <w:trPr>
          <w:trHeight w:val="268"/>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2022 - December 31,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shd w:val="clear" w:color="auto" w:fill="CCEEFF"/>
          </w:tcPr>
          <w:p>
            <w:pPr>
              <w:spacing w:after="0"/>
              <w:rPr>
                <w:sz w:val="23"/>
                <w:szCs w:val="23"/>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503,591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31,312,6</w:t>
            </w:r>
          </w:p>
        </w:tc>
        <w:tc>
          <w:tcPr>
            <w:tcW w:w="0" w:type="dxa"/>
            <w:vAlign w:val="bottom"/>
          </w:tcPr>
          <w:p>
            <w:pPr>
              <w:spacing w:after="0"/>
              <w:rPr>
                <w:sz w:val="1"/>
                <w:szCs w:val="1"/>
                <w:color w:val="auto"/>
              </w:rPr>
            </w:pPr>
          </w:p>
        </w:tc>
      </w:tr>
      <w:tr>
        <w:trPr>
          <w:trHeight w:val="213"/>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1,814,350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160" w:type="dxa"/>
            <w:vAlign w:val="bottom"/>
            <w:gridSpan w:val="2"/>
            <w:vMerge w:val="continue"/>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391" w:right="239" w:bottom="1440" w:gutter="0" w:footer="0" w:header="0"/>
        </w:sectPr>
      </w:pPr>
    </w:p>
    <w:bookmarkStart w:id="49" w:name="page50"/>
    <w:bookmarkEnd w:id="49"/>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30"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Further information regarding our business is provided in “Part I. Item 1. Business” of this filing.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the level of M&amp;A advisory dialogue remains active across our industries and geographies of focus, a challenging macroeconomic environment may persist in the near-term and continue to adversely affect M&amp;A and financing volumes. Headwinds currently impacting industry volumes include rate outlook and inflation, credit spreads, market volatility, lower liquidity and capital availability, recession risk and geopolitical tensions, amongst others.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Notwithstanding near-term headwinds, our core advisory services benefit from macro-economic changes that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 over the long-term.</w:t>
      </w:r>
    </w:p>
    <w:p>
      <w:pPr>
        <w:spacing w:after="0" w:line="12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Economic and global financial conditions can materially affect our operational and financial performance. See “</w:t>
      </w:r>
      <w:r>
        <w:rPr>
          <w:rFonts w:ascii="Times New Roman" w:cs="Times New Roman" w:eastAsia="Times New Roman" w:hAnsi="Times New Roman"/>
          <w:sz w:val="18"/>
          <w:szCs w:val="18"/>
          <w:i w:val="1"/>
          <w:iCs w:val="1"/>
          <w:color w:val="auto"/>
        </w:rPr>
        <w:t>Part I — Item 1A. Risk Factors</w:t>
      </w:r>
      <w:r>
        <w:rPr>
          <w:rFonts w:ascii="Times New Roman" w:cs="Times New Roman" w:eastAsia="Times New Roman" w:hAnsi="Times New Roman"/>
          <w:sz w:val="18"/>
          <w:szCs w:val="18"/>
          <w:color w:val="auto"/>
        </w:rPr>
        <w:t>” included elsewhere in this Form 10-K for a discussion of some of the factors that can affect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years ended December 31, 2022 and 2021. For a discussion of the year ended December 31, 2021 versus 2020, refer to Item 7, “Management’s Discussion and Analysis of Financial Condition and Results of Operations - Results of Operations” in our Form 10-K/A for the year ended December 31, 2021.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2021 vs. 2020</w:t>
            </w: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631,507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801,662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1"/>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391,333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504,364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154,158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96,330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0" w:type="dxa"/>
            <w:vAlign w:val="bottom"/>
          </w:tcPr>
          <w:p>
            <w:pPr>
              <w:spacing w:after="0"/>
              <w:rPr>
                <w:sz w:val="1"/>
                <w:szCs w:val="1"/>
                <w:color w:val="auto"/>
              </w:rPr>
            </w:pPr>
          </w:p>
        </w:tc>
      </w:tr>
      <w:tr>
        <w:trPr>
          <w:trHeight w:val="207"/>
        </w:trPr>
        <w:tc>
          <w:tcPr>
            <w:tcW w:w="33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545,491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600,694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Non-compensation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133,749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134,384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134,435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679,240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735,078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(47,733)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66,584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party income</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948 %</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311 %</w:t>
            </w: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7"/>
        </w:trPr>
        <w:tc>
          <w:tcPr>
            <w:tcW w:w="33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26,313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593 %</w:t>
            </w: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22,950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448 %</w:t>
            </w:r>
          </w:p>
        </w:tc>
        <w:tc>
          <w:tcPr>
            <w:tcW w:w="0" w:type="dxa"/>
            <w:vAlign w:val="bottom"/>
          </w:tcPr>
          <w:p>
            <w:pPr>
              <w:spacing w:after="0"/>
              <w:rPr>
                <w:sz w:val="1"/>
                <w:szCs w:val="1"/>
                <w:color w:val="auto"/>
              </w:rPr>
            </w:pPr>
          </w:p>
        </w:tc>
      </w:tr>
      <w:tr>
        <w:trPr>
          <w:trHeight w:val="205"/>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(31,747)</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(24,342)</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8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3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Less: Net income (loss) attributable to non-</w:t>
            </w:r>
          </w:p>
        </w:tc>
        <w:tc>
          <w:tcPr>
            <w:tcW w:w="32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13,444</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300" w:type="dxa"/>
            <w:vAlign w:val="bottom"/>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Net income (loss) attributable to Perella</w:t>
            </w:r>
          </w:p>
        </w:tc>
        <w:tc>
          <w:tcPr>
            <w:tcW w:w="32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17,878</w:t>
            </w:r>
          </w:p>
        </w:tc>
        <w:tc>
          <w:tcPr>
            <w:tcW w:w="80" w:type="dxa"/>
            <w:vAlign w:val="bottom"/>
          </w:tcPr>
          <w:p>
            <w:pPr>
              <w:spacing w:after="0"/>
              <w:rPr>
                <w:sz w:val="12"/>
                <w:szCs w:val="12"/>
                <w:color w:val="auto"/>
              </w:rPr>
            </w:pPr>
          </w:p>
        </w:tc>
        <w:tc>
          <w:tcPr>
            <w:tcW w:w="3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(9,421)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Weinberg Partners</w:t>
            </w:r>
          </w:p>
        </w:tc>
        <w:tc>
          <w:tcPr>
            <w:tcW w:w="3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-115570</wp:posOffset>
            </wp:positionV>
            <wp:extent cx="7084060" cy="134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4060" cy="13462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1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specifically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do not present our revenue by the type of advice we provide because of the complexity of the transactions on which we may earn revenue and our holistic approach to client service. For example, a traditional M&amp;A engagement may also require capital markets or capital solutions advice, or an engagement to raise private capital could also be followed by a business combination. These engagements may call for cross-functional expertise from a number of our professionals across M&amp;A advisory and/or financing and capital solutions advisory.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Year Ended December 31, 2021</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Revenues were $631.5 million for the year ended December 31, 2022 as compared with $801.7 million for the year ended December 31, 2021, representing a decrease of 21%. The period-over-period decline was primarily driven by a reduction in mergers and acquisitions activity, partially offset by a step-up in fees related to financing and capital solutions advisory activity. The decrease in revenues can be attributed to both fewer advisory transaction completions as well as a decrease in average fee size per client.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2022 and 2021, we earned revenues from 200 and 232 advisory clients, respectively. The number of advisory clients who paid fees equal to or greater than $1.0 million decreased to 127 advisory clients for the year ended December 31, 2022 compared to 142 advisory clients for the year ended December 31, 2021. The average fee size decreased to $3.1 million for the year ended December 31, 2022 from $3.4 million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our operating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8"/>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20" w:type="dxa"/>
            <w:vAlign w:val="bottom"/>
          </w:tcPr>
          <w:p>
            <w:pPr>
              <w:spacing w:after="0"/>
              <w:rPr>
                <w:sz w:val="18"/>
                <w:szCs w:val="18"/>
                <w:color w:val="auto"/>
              </w:rPr>
            </w:pPr>
          </w:p>
        </w:tc>
        <w:tc>
          <w:tcPr>
            <w:tcW w:w="1060" w:type="dxa"/>
            <w:vAlign w:val="bottom"/>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2021 vs. 2020</w:t>
            </w:r>
          </w:p>
        </w:tc>
      </w:tr>
      <w:tr>
        <w:trPr>
          <w:trHeight w:val="192"/>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14"/>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391,333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504,364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374,332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1"/>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3"/>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154,158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96,330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24,815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288 %</w:t>
            </w:r>
          </w:p>
        </w:tc>
      </w:tr>
      <w:tr>
        <w:trPr>
          <w:trHeight w:val="211"/>
        </w:trPr>
        <w:tc>
          <w:tcPr>
            <w:tcW w:w="4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545,491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600,694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399,147</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1"/>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3"/>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Non-compensation expenses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133,749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134,384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134,435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1"/>
        </w:trPr>
        <w:tc>
          <w:tcPr>
            <w:tcW w:w="4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679,240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735,078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533,582</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0"/>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23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 Headcount is a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technology and infrastructure, rent and occupancy, travel and related expenses, general, administrative and other expenses and depreciation and amortization generally have been less significant in comparison with compensation and benefits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Year Ended December 31, 2021</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Operating expenses were $679.2 million for the year ended December 31, 2022 and represented 108% of revenues, compared with $735.1 million for the year ended December 31, 2021, which represented 92% of revenues. The decrease in operating expenses was primarily driven by a decrease in total compensation and benefits expenses, which were $545.5 million for the year ended December 31, 2022 compared to $600.7 million for the year ended December 31, 2021, as well as a slight decrease in non-compensation expenses which were $133.7 million for the year ended December 31, 2022 and represented 21% of revenues, compared to $134.4 million for the year ended December 31, 2021, which represented 17% of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revenues earned,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Equity awards are measured at fair value on the grant date and recognized on a straight-line basis over the requisite vesting period or requisite service period. The awards are subject to a service vesting condition, and in some cases a market-based performance vesting condition, and generally vest ratably on a graded vesting schedule of up to five years. Certain awards are recognized over the expected service period for employees who are or will become retirement eligible prior to the stated vesting date. As such, over time, a greater number of employees may become retirement eligible and the related requisite service period over which we expense these awards will be shorter than the stated vesting. The awards are recorded within equity as they are expensed. The vesting of Legacy Awards granted prior to the Business Combination and the various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Consolidated Statements of Operations and Consolidated Statements of Financial Condition.</w:t>
      </w:r>
    </w:p>
    <w:p>
      <w:pPr>
        <w:spacing w:after="0" w:line="14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Beginning in the third quarter of 2021, the Company granted incentive compensation awards in accordance with the Perella Weinberg Partners 2021 Omnibus Incentive Plan (the “PWP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The accounting for this equity-based compensation expense, and potentially other factors as well, may cause the Company to experience operating losses in future periods.</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intend to compensate our personnel competitively in order to continue building our business and growing our Company.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four years before accounting for forfeitures is $53.0 million for a) the restricted stock units (“RSUs”) that vest upon the achievement of service conditions (the “Transaction Pool RSUs”) and b) the performance restricted stock units (“PSUs”) that only vest upon the achievement of both service and market conditions (the “Transaction Pool PSUs”) and $55.4 million for PSUs granted to certain executives that vest upon the achievement of both service and market conditions (“Long-Term Incentive Awards”), in each case granted in conjunction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Year Ended December 31, 2021</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2022, total compensation and benefits expenses of $545.5 million represented 86% of revenues, compared with $600.7 million of compensation-related expenses, which represented 75% of revenues for the year ended December 31, 2021. Included in total compensation-related expense was $154.2 million and $96.3 million amortization of equity awards for the years ended December 31, 2022 and 2021, respectively. The decrease in total compensation and benefit expenses was due to a smaller bonus accrual on an absolute dollar basis associated with lower revenues, despite a higher compensation margin necessitated to attract, motivate and retain talent. The smaller bonus accrual was partially offset by both an increase in equity-based compensation related to awards granted in conjunction with or subsequent to the Business Combination and increased base salaries and benefits due to increased headcount.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non-compensation expenses include the costs of professional fees, technology and infrastructure, rent and occupancy, travel and related expenses, depreciation and amortization and general, administrative and other expenses including certain co-advisory fees and expenses reimbursed by our clients. Revenues related to co-advisory fees and expenses reimbursed by clients are presented within revenues on our Consolidated Statements of Operations.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Historically, our non-compensation expenses associated with business development have increased as we have increased our headcount. These costs include costs such as travel and related expenses which have increased due to increased headcount, increasing prices charged by travel vendors and an increased volume of travel as COVID-19 pandemic-related travel restrictions have eased and we return to more normalized travel levels.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there are temporary factors causing rent and occupancy, depreciation and amortization, as well as professional fees to be lower for the year ended December 31, 2022 compared to the year ended December 31, 2021 and while we expect to continue to reduce certain costs associated with being a newly public company, over the long term we expect our non-compensation expenses will trend upward with growth in headcount and inflation.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Year Ended December 31, 2021</w:t>
      </w:r>
    </w:p>
    <w:p>
      <w:pPr>
        <w:spacing w:after="0" w:line="166"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For the year ended December 31, 2022, non-compensation expenses of $133.7 million represented 21% of revenues, compared with $134.4 million, which represented 17% of revenues, for the year ended December 31, 2021. While non-compensation expenses remained relatively flat compared to the prior year, they included a $6.8 million increase in travel related expenses due to the return to more normalized travel levels, increased headcount and the higher cost of travel, a $3.2 million increase in general, administrative and other expenses resulting from a full year of public company costs such as D&amp;O insurance, the recognition of a bad debt reserve in the second quarter of 2022 as well as a $1.7 million increase in technology and infrastructure. These increases were partially offset by decreases in professional fees of $7.1 million, depreciation and amortization of $3.8 million and rent and occupancy of $1.5 million. The decrease in professional fees included an $8.3 million decrease in legal and consulting fees from 2021’s elevated levels, which included costs associated with the Business Combination as well as higher costs associated with ongoing litigation, while recruiting fees increased year-over-year by $0.8 million with increased hiring activities. While legal and consulting fees were comparatively elevated in the year ended 2021 due to the Business Combination and higher costs associated with ongoing litigation, the year ended December 31, 2022 included $1.5 million of Business Combination related costs associated with a potential future partnership restructuring contemplated during the implementation of the Up-C structure, as well as $1.3 million of costs associated with the Warrant Exchange Offer (as defined below). The reduction in rent and occupancy as well as depreciation and amortization expense, are temporary decreases as certain leasehold improvements became fully depreciated in the current year with our New York and London headquarters each reaching the end of their initial lease term. New leasehold improvement activities for New York and London were not completed during the year ended December 31, 2022 and therefore had not begun depreciating. Additionally, some lease amendment and extension negotiations resulted in favorable leasehold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6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Non-operating income (expenses) includes the impact of income and expense items that we consider to be non-operational in nature, including related party income, loss on debt extinguishment, interest expense, and other income (expense), which includes gains (losses) on foreign exchange rate fluctuations. Also included in non-operating income (expenses) was the change in fair value of warrant liabilities prior to the Warrant Exchange Offer. On August 23, 2022, the Company concluded an offer to holders of its outstanding warrants which provided such holders the opportunity to receive 0.20 shares of the Company’s Class A common stock in exchange for each warrant tendered by such holders. This offer coincided with a solicitation of consents from holders of the public warrants to amend the warrant agreement (together, the “Warrant Exchange Offer”). The Warrant Exchange Offer resulted in the exchange of all outstanding warrants for shares of the Company’s Class A common stock with a minimal cash settlement in lieu of partial shares. As a result, the warrant liabilities were removed from the Consolidated Statements of Financial Condition and the issuance of shares of Class A common stock was reflected within equity. Refer to Note 12—Warrants in the notes to consolidated financial statements included elsewhere in this Form 10-K for additional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Year Ended December 31, 2021</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 the year ended December 31, 2022, non-operating income (expenses) was $26.3 million of income compared to $43.6 million of expense for the year ended December 31, 2021. For the prior year ended December 31, 2021, non-operating income (expenses) included a $39.4 million loss on debt extinguishment which was related to the redemption of the $150.0 million aggregate principal of Convertible Notes concurrent with the Business Combination. The loss was composed of the $10.9 million premium and $28.5 million of unamortized debt discount and issuance costs. The change in non-operating income (expenses) also included a $15.8 million gain from the change in fair value of warrant liabilities for the year ended December 31, 2022 as opposed to a $4.9 million loss in the prior year ended December 31, 2021 as the warrant price fell year-over-year prior to the Warrant Exchange Offer. Additionally, interest expense decreased $7.3 million related to the repayment of all indebtedness in connection with the Business Combination, while the impact of foreign exchange rate fluctuations recorded in Other income (expense) resulted in a $6.8 million gain for the year ended December 31, 2022 as opposed to a loss of $0.2 million for the prior year ended December 31, 2021. The current year foreign exchange rate gain was primarily related to the revaluation of U.S. dollar-denominated cash and intercompany receivables held by our foreign subsidiaries as the U.S. dollar strengthened.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effective tax rate is dependent on many factors, including the amount of income subject to tax. Consequently, the effective tax rate can vary from period to period. The Company's overall effective tax rate varies from the U.S. federal statutory rate primarily because (i) a portion of the Company's income is allocated to non-controlling interests held in PWP OpCo in which the majority of any tax liability on such income is borne by the holders of such non-controlling interests and reported outside of the consolidated financial statements, (ii) a portion of the Company’s compensation expense is non-deductible for tax purposes and (iii) the Company has recorded unrecognized tax benefits related to potential double taxation for certain of its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Year Ended December 31, 2021</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income tax expense and effective tax rate were $10.3 million and (48.2)%, respectively, for the year ended December 31, 2022 compared to income tax expense and an effective tax rate of $18.9 million and 82.5%, respectively, for the year ended December 31, 2021. The change in the effective tax rate was primarily driven by the Company having a pre-tax loss for the year ended December 31, 2022, as compared to pre-tax income for the year ended December 31, 2021.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were primarily influenced by the payment of dividends, distributions to partners, purchases of treasury shares and withholding payments for vesting of PWP Incentive Plan Awards during the year ended December 31, 2022.</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8"/>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Provided By (Used In)</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(31,747)</w:t>
            </w:r>
          </w:p>
        </w:tc>
        <w:tc>
          <w:tcPr>
            <w:tcW w:w="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(24,342)</w:t>
            </w:r>
          </w:p>
        </w:tc>
      </w:tr>
      <w:tr>
        <w:trPr>
          <w:trHeight w:val="210"/>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charges and other operating activity adjustments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171,886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63,825</w:t>
            </w:r>
          </w:p>
        </w:tc>
      </w:tr>
      <w:tr>
        <w:trPr>
          <w:trHeight w:val="214"/>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58,999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46,424</w:t>
            </w:r>
          </w:p>
        </w:tc>
      </w:tr>
      <w:tr>
        <w:trPr>
          <w:trHeight w:val="20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activities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234,908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85,907</w:t>
            </w:r>
          </w:p>
        </w:tc>
      </w:tr>
      <w:tr>
        <w:trPr>
          <w:trHeight w:val="21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w:t>
            </w:r>
          </w:p>
        </w:tc>
      </w:tr>
      <w:tr>
        <w:trPr>
          <w:trHeight w:val="211"/>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(21,989)</w:t>
            </w:r>
          </w:p>
        </w:tc>
      </w:tr>
      <w:tr>
        <w:trPr>
          <w:trHeight w:val="21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5,930</w:t>
            </w:r>
          </w:p>
        </w:tc>
      </w:tr>
      <w:tr>
        <w:trPr>
          <w:trHeight w:val="20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173,867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64,326</w:t>
            </w:r>
          </w:p>
        </w:tc>
      </w:tr>
      <w:tr>
        <w:trPr>
          <w:trHeight w:val="21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330,908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266,582</w:t>
            </w:r>
          </w:p>
        </w:tc>
      </w:tr>
      <w:tr>
        <w:trPr>
          <w:trHeight w:val="205"/>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174,166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504,775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330,908</w:t>
            </w:r>
          </w:p>
        </w:tc>
      </w:tr>
      <w:tr>
        <w:trPr>
          <w:trHeight w:val="20"/>
        </w:trPr>
        <w:tc>
          <w:tcPr>
            <w:tcW w:w="6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w:t>
      </w:r>
    </w:p>
    <w:p>
      <w:pPr>
        <w:spacing w:after="0" w:line="166"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Cash and restricted cash were $174.2 million as of December 31, 2022, resulting in a decrease of $330.6 million from $504.8 million as of December 31, 2021. Cash, restricted cash and investments in short-term marketable debt securities (U.S. Treasuries) were $314.3 million as of December 31, 2022, a decrease of $190.5 million from $504.8 million as of December 31, 2021. The Company reported a net loss of $31.7 million for the year ended December 31, 2022 which includes $162.4 million of non-cash charges and other adjustments, largely comprised of equity-based awards vesting expense, depreciation and amortization, the change in fair value of warrant liabilities, foreign currency revaluation and non-cash operating lease expense. This operating cash inflow was offset by working capital needs predominantly due to the payment of annual bonus compensation in the first quarter of the year as well as payments for lease liabilities, resulting in a net operating outflow of cash of $17.8 million during the year ended December 31, 2022. The timing of accounts receivable collections and the payment of incentive compensation have significant impact on operating cash flows. Accounts receivable, net of allowance balance was higher as of December 31, 2022 compared to December 31, 2021, despite a year-over-year decrease in revenues, due largely to the timing of collections as certain large balances were collected shortly after December 31, 2022. A large portion of 2021 incentive compensation, which was based on a record year, was paid in the form of cash bonuses in the first quarter of 2022. Investing activities resulted in a net decrease in cash of $166.2 million largely attributable to investments of excess cash in treasury securities as well as the purchase of fixed assets attributable largely to leasehold improvements associated with the construction and design of the New York and London leased space. Financing activities resulted in a net outflow of $136.8 million primarily related to the repurchase of shares pursuant to the stock repurchase program, distributions to partners, withholding payments for vesting of PWP Incentive Plan Awards and the payment of dividends.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2021</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Cash and restricted cash were $504.8 million as of December 31, 2021, an increase of $173.9 million from $330.9 million as of December 31, 2020. Operating activities resulted in a net inflow of $234.9 million largely attributable to changes in working capital and net income generated during the year ended December 31, 2021. Net income included $171.9 million of non-cash charges including a $39.4 million loss on debt extinguishment related to the redemption of the Convertible Notes concurrent with the Business Combination. Investing activities resulted in a net outflow of $2.4 million attributable to the Company’s purchases of fixed assets and the deconsolidation of PFAC Holdings I LLC. Financing activities resulted in a net outflow of $55.0 million primarily related to the transactions associated with the Business Combination, the payoff of all outstanding debt and tax distributions to limited partners of PWP OpCo, the repurchase of Founder Shares held as treasury shares, withholding payments for vesting of incentive awards and the payment of dividends.</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 discussion of the year ended December 31, 2020, refer to Item 7, “Management’s Discussion and Analysis of Financial Condition and Results of Operations - Cash Flows” in our Form 10-K/A for the year ended December 31,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and cash equivalents, working capital assets and liabilities, commitments and other liquidity requirements. Our primary sources of liquidity are our cash balances, our investments in short-term marketable debt securities, the net cash generated from operations and the available borrowing capacity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13"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Our current assets are primarily composed of cash, investments in short-term marketable securities, receivables related to fees earned from providing advisory services, certain prepaid expenses and certain amounts due from related parties. Our current liabilities are primarily composed of accrued and deferred employee compensation, accounts payable and other accrued expenses. We generally pay a significant portion of our annual incentive compensation, in the form of cash bonuses, during the first quarter of each calendar year with respect to the prior year’s results. Therefore, levels of cash and/or investments in short-term marketable securities generally decline during the first quarter of each year after our annual incentive compensation has been paid to our employees and typically builds over the remainder of the year. The Company makes quarterly partner tax distributions as required under the Amended and Restated Agreement of Limited Partnership of PWP OpCo, dated as of June 24, 2021 (as amended, restated, modified or supplemented from time to time, the “PWP OpCo LPA”). These distributions totaled $44.5 million, $65.9 million and $12.0 million, respectively, during the years ended December 31, 2022, 2021 and 2020. Additionally, we intend to pay dividends throughout each year and may continue our share repurchases from time to time. During the year ended December 31, 2022 and 2021, the Company paid $12.8 million and $6.0 million, respectively, in cash dividends. The Company has the option to net settle shares upon the vesting of PWP Incentive Plan Awards in order to remit required employee withholding taxes using cash on hand. During the year ended December 31, 2022 and 2021, the Company paid $9.7 million and $10.5 million, respectively, in withholding payments in lieu of issuing 1,045,847 and 749,042, shares upon the net settlement of vested PWP Incentive Plan Awards. Additionally, during the year ended December 31, 2022, the Company purchased 9,544,016 shares of Class A common stock at a cost of $68.7 million in the aggregate, pursuant to the stock repurchase program described below.</w:t>
      </w:r>
    </w:p>
    <w:p>
      <w:pPr>
        <w:spacing w:after="0" w:line="12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evaluate our cash needs on a regular basis in light of current market and business conditions and regulatory requirements. Cash and cash equivalents include short-term highly liquid investments that are readily convertible to known amounts of cash and have original maturities of three months or less from the date of purchase. The Company had no cash equivalents as of December 31, 2022 and 2021. As of December 31, 2022 and 2021, the Company had cash balances of $171.6 million and $502.8 million, respectively, maintained in U.S. and non-U.S. bank accounts, of which most bank account balances exceeded the U.S. Federal Deposit Insurance Corporation (“FDIC”) and U.K. Financial Services Compensation Scheme (“FSCS”) coverage limits. Additionally, as of December 31, 2022, the Company held investments in short-term marketable debt securities, consisting entirely of U.S. Treasury securities, of $140.1 million.</w:t>
      </w:r>
    </w:p>
    <w:p>
      <w:pPr>
        <w:spacing w:after="0" w:line="11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liquidity is highly dependent upon cash receipts from clients, which generally require the successful completion of transactions. Accounts receivable generally have net terms of 30 days. Accounts receivable were $67.9 million, net of $1.1 million of allowance for credit losses balance as of December 31, 2022. Accounts receivable were $46.9 million, net of $1.9 million of allowance for credit losses balance as of December 31,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has a Revolving Credit Facility with Cadence Bank with an available line of credit of $50.0 million. Under the Credit Agreement outstanding borrowings accrue interest at LIBOR plus a fixed rate of 2.00% per annum (with a 0.25% LIBOR floor) or an alternate base rate option equal to Cadence Bank’s prime rate minus 1.00% (with a 3.25% floor) and mature on July 1, 2025. Up to $15.0 million of the Revolving Credit Facility may be used for the issuance of letters of credit. Additionally, up to $20.0 million of incremental revolving commitments above the $50.0 million commitment amount may be incurred under the Credit Agreement. The Credit Agreement provides that the benchmark of LIBOR will be replaced with a SOFR-based rate on or prior to the date that the LIBOR benchmark is unavailable. As of December 31, 2022, the Company had no outstanding balance related to the Revolving Credit Facility and no incremental revolving commitments were incurred. For further information on the Revolving Credit Facility, refer to Note 10—Debt in the notes to consolidated financial statements included elsewhere in this Form 10-K.</w:t>
      </w:r>
    </w:p>
    <w:p>
      <w:pPr>
        <w:spacing w:after="0" w:line="13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Based on current market conditions, we believe that our cash on hand, the investments in short-term marketable debt securities,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 During the year ended December 31, 2022, the Company purchased 9,544,016 shares, at a cost of $68.7 million in the aggregate. On February 8, 2023, the Company’s board of directors increased the Company’s share repurchase authorization amount by an additional $100.0 million of the Company’s Class A common stock from the previously announced $100.0 million, with no requirement to purchase any minimum number of shares. As of February 23, 2023, $121.6 million remains of the combined $200.0 million share repurchase authorization.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Capital</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7—Regulatory Requirements in the notes to consolidated financial statements included elsewhere in this Form 10-K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Rights</w:t>
      </w:r>
    </w:p>
    <w:p>
      <w:pPr>
        <w:spacing w:after="0" w:line="16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See Note 11—Stockholders' Equity in the notes to consolidated financial statements included elsewhere in this Form 10-K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Share Surrender and Share Restriction Agreement</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Concurrent with the Business Combination Agreement, FTIV, PWP OpCo and certain other parties entered into the Sponsor Share Surrender and Share Restriction Agreement with the Sponsor, which was amended on May 4, 2021. See Note 11—Stockholders' Equity in the notes to consolidated financial statements included elsewhere in this Form 10-K for further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PWP OpCo has also unconditionally guaranteed, through a wholly-owned subsidiary, certain loans to limited partners of Professional Partners (“Limited Partners”) with First Republic Bank (the “Program Lender”), whereby PWP OpCo will pay the Program Lender upon the occurrence of a default event. Refer to Note 17—Related Party Transactions and Note 18—Commitments and Contingencies in the notes to consolidated financial statements included elsewhere in this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PWP OpCo,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See Note 17—Related Party Transactions in the notes to consolidated financial statements included elsewhere in this Form 10-K for further information as well as the expected timing of payments.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various non-cancelable operating leases in connection with the leases of our office spaces and equipment. The related lease agreements, which range from non-cancelable to month-to-month terms, generally provide for fixed monthly rentals and can also include renewal options. See Note 5—Leases in the notes to consolidated financial statements included elsewhere in this Form 10-K for further information as well as the expected timing of payments. Our London and New York office leases had expiration dates in December 2022 and September 2023, respectively. The Company signed new lease agreements in February 2022 for the London office and in April 2022 for the New York office spaces, which expand our square footage meaningfully in both locations in order to accommodate our anticipated growth. This expansion increased our contractual obligations upon lease commencement and will require capital contributions towards the design and construction of these spaces, mitigated in part by free rent periods at both locations. Construction of the London space was completed in February 2023 and completion of the New York space is expected by the end of 2023. As of December 31, 2022, the Company estimates spending approximately $25 million to complete the construction of these spaces, net of tenant improvement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2—Summary of Significant Accounting Policies in the notes to consolidated financial statements included elsewhere in this Form 10-K for further information.</w:t>
      </w:r>
    </w:p>
    <w:p>
      <w:pPr>
        <w:spacing w:after="0" w:line="12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With respect to investments, we manage our credit risk exposure by maintaining investment grade credit quality. As of December 31, 2022, the Company held investments of $140.1 million in U.S. Treasury securities with maturities of less than 12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is exposed to exchange rate risk as a result of having foreign subsidiaries with non-U.S. dollar functional currencies as well as from entering into 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 sterling, Euro, and Canadian dollar and our reporting currency, the U.S. dollar. For the years ended December 31, 2022, 2021 and 2020, the net impact of non-functional currency-related transaction gains and losses recorded in Other income (expense) on our Consolidated Statements of Operations was a $6.8 million gain, a $0.2 million loss, and a $0.2 million loss, respectively, primarily related to U.S. dollar-denominated cash and intercompany receivables held by our foreign subsidiaries as the U.S. dollar strengthened. For the years ended December 31, 2022, 2021, and 2020, the net impact of the fluctuation of foreign currencies recorded in Foreign currency translation gain (loss) within our Consolidated Statements of Comprehensive Income (Loss) was a $9.7 million loss, a $1.5 million loss, and a $3.5 million gain, respectively. We have not entered into any transactions to hedge our exposure to these foreign currency fluctuations using derivative instruments or other methods but may do so if we deem appropriate in the future.</w:t>
      </w:r>
    </w:p>
    <w:p>
      <w:pPr>
        <w:spacing w:after="0" w:line="14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2022, we held balances of $43.7 million of non-U.S. dollar denominated currencies, composed of pound sterling, the Euro, and Canadian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the critical accounting estimates included below represent those that are most important to the presentation of our financial condition and results of operations and require management's most difficult, subjective and complex judgment.</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our historical consolidated financial statements and related disclosures in conformity with U.S.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services provided under contracts with clients include transaction-related advisory services, fairness opinion services, research and trading services, and underwriting services. The fee structures for the Company’s transaction-related advisory services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 Such determination of probability may require significant judgement, especially when assessed near the end of a reporting period.</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records deferred revenue when it receives fees from clients that have not yet been earned or when the Company has an unconditional right to consideration before all performance obligations are complete (e.g., when announcement fees are received but additional services are expected to be provided between transaction announcement and transaction close). In these cases, the deferred amount is often based on an estimate of the services remaining to be completed, if any. The determination of when and to what extent to subsequently recognize deferred variable fees may require significant judgment, particularly when milestones are met near the end of a reporting period and in cases where additional services are expected to be provided subsequent to the achievement of the milestone.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fixed fees specified in the Company’s contracts, which may include upfront fees and retainers, are recognized on a systematic basis over the estimated period in which the related services are performed. Estimating contract terms may require significant judgment and often change over the course of an engagement.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Accounts receivable are presented net of allowance for credit losses based on the Company’s assessment of the collectability of client accounts. The Company maintains an allowance for credit 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client and the current economic conditions that may affect a client’s ability to pay such amounts owed to the Company and as a result may recognize a specific credit loss reserve. Accounts receivable also includes accrued revenue which represents amounts due from clients and recognized as revenue in accordance with the Company’s revenue recognition polices, but unbilled as of the date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income tax expense, deferred tax assets and deferred tax liabilities, and liabilities for unrecognized tax benefits reflect management’s best estimate of current and future taxes to be paid. We are subject to income taxes in the United States and certain foreign jurisdictions. We make estimates and judgments in determining the provision for income taxes. These estimates and judgments occur in the calculation of tax credits, benefits, and deductions, and in the calculation of certain tax assets and liabilities that arise from differences in the timing of recognition of revenue and expense for tax and financial reporting purposes, as well as the interest and penalties related to uncertain tax positions. Significant changes in these estimates may result in an increase or decrease to our tax provision in a subsequent period.</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assess the likelihood that we will be able to recover our deferred tax assets. If recovery is not likely, we increase our provision for taxes by recording a valuation allowance against the deferred tax assets that we estimate will not ultimately be recoverable. We believe that we will ultimately recover the deferred tax assets recorded on our Consolidated Statements of Financial Condition. However, should there be a change in our ability to recover our deferred tax assets, our tax provision would increase in the period in which we determined that the recovery was not likely. In evaluating our ability to recover our deferred tax assets in the jurisdiction from which they arise, we consider all available positive and negative evidence, including projected future taxable income. In projecting future taxable income, we begin with historical results and incorporate certain assumptions, including revenue growth and operating margin. The assumptions about future taxable income require the use of significant judgment and are consistent with the plans and estimates we are using to manage the underlying business.</w:t>
      </w:r>
    </w:p>
    <w:p>
      <w:pPr>
        <w:spacing w:after="0" w:line="13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laws and regulations. We recognize liabilities for uncertain tax positions based on a two-step process. The first step is to evaluate the tax position for recognition by determining if the weight of available evidence indicates that based on the technical merits it is more likely than not that the position will be sustained on audit, including resolution of related appeals or litigation processes. If we determine that a tax position will more likely than not be sustained on audit, the second step requires us to estimate and measure the tax benefit as the largest amount that is more than 50% likely to be realized upon ultimate settlement. It is inherently difficult and subjective to estimate such amounts, as we must determine the probability of various possible outcomes. We re-evaluate these uncertain tax positions on a quarterly basis. This evaluation is based on factors such as changes in facts or circumstances, changes in tax law, new audit activity, and effectively settled issues. Determining whether an uncertain tax position is effectively settled requires judgment. Such a change in recognition or measurement would result in the recognition of a tax benefit or an additional charge to the tax provision.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granted certain employees Transaction Pool PSUs and Long-Term Incentive Awards that vest upon the occurrence of both service and market conditions being achieved. Compensation expense is recognized for these equity-based awards over the requisite vesting period in an amount equal to the fair value of the awards at the grant date, provided the requisite service period is completed, irrespective of whether the market condition is satisfied. The effect of the market condition is reflected in the grant date fair value of the award. The Company utilized a Monte Carlo simulation valuation model to determine the grant date fair value which required significant judgment for various inputs including the risk-free interest rate, dividend yield and the volatility factor.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w:t>
      </w:r>
      <w:r>
        <w:rPr>
          <w:rFonts w:ascii="Times New Roman" w:cs="Times New Roman" w:eastAsia="Times New Roman" w:hAnsi="Times New Roman"/>
          <w:sz w:val="18"/>
          <w:szCs w:val="18"/>
          <w:i w:val="1"/>
          <w:iCs w:val="1"/>
          <w:color w:val="auto"/>
        </w:rPr>
        <w:t>Item 7—Management’s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Operations—Market Risk and Credit Risk.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71"/>
        </w:trPr>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540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7"/>
              </w:rPr>
              <w:t>Report of Independent Registered Public Accounting Firm (PCAOB ID: 42)</w:t>
            </w:r>
          </w:p>
        </w:tc>
        <w:tc>
          <w:tcPr>
            <w:tcW w:w="4220" w:type="dxa"/>
            <w:vAlign w:val="bottom"/>
            <w:gridSpan w:val="6"/>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8"/>
                <w:szCs w:val="18"/>
                <w:color w:val="3051F2"/>
                <w:w w:val="88"/>
              </w:rPr>
              <w:t>64</w:t>
            </w:r>
          </w:p>
        </w:tc>
      </w:tr>
      <w:tr>
        <w:trPr>
          <w:trHeight w:val="205"/>
        </w:trPr>
        <w:tc>
          <w:tcPr>
            <w:tcW w:w="20" w:type="dxa"/>
            <w:vAlign w:val="bottom"/>
          </w:tcPr>
          <w:p>
            <w:pPr>
              <w:spacing w:after="0"/>
              <w:rPr>
                <w:sz w:val="17"/>
                <w:szCs w:val="17"/>
                <w:color w:val="auto"/>
              </w:rPr>
            </w:pPr>
          </w:p>
        </w:tc>
        <w:tc>
          <w:tcPr>
            <w:tcW w:w="96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3051F2"/>
              </w:rPr>
              <w:t>Consolidated Statements of Financial Condition as of December 31, 2022 and 2021</w:t>
            </w:r>
          </w:p>
        </w:tc>
        <w:tc>
          <w:tcPr>
            <w:tcW w:w="15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3051F2"/>
              </w:rPr>
              <w:t>65</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2800" w:type="dxa"/>
            <w:vAlign w:val="bottom"/>
            <w:gridSpan w:val="2"/>
            <w:shd w:val="clear" w:color="auto" w:fill="3051F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6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3051F2"/>
              </w:rPr>
              <w:t>Consolidated Statements of Operations for the Years Ended December 31, 2022, 2021, and 2020</w:t>
            </w:r>
          </w:p>
        </w:tc>
        <w:tc>
          <w:tcPr>
            <w:tcW w:w="15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3051F2"/>
              </w:rPr>
              <w:t>66</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3720" w:type="dxa"/>
            <w:vAlign w:val="bottom"/>
            <w:gridSpan w:val="3"/>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620" w:type="dxa"/>
            <w:vAlign w:val="bottom"/>
            <w:tcBorders>
              <w:bottom w:val="single" w:sz="8" w:color="3051F2"/>
            </w:tcBorders>
            <w:gridSpan w:val="8"/>
          </w:tcPr>
          <w:p>
            <w:pPr>
              <w:spacing w:after="0" w:line="192" w:lineRule="exact"/>
              <w:rPr>
                <w:sz w:val="20"/>
                <w:szCs w:val="20"/>
                <w:color w:val="auto"/>
              </w:rPr>
            </w:pPr>
            <w:r>
              <w:rPr>
                <w:rFonts w:ascii="Times New Roman" w:cs="Times New Roman" w:eastAsia="Times New Roman" w:hAnsi="Times New Roman"/>
                <w:sz w:val="18"/>
                <w:szCs w:val="18"/>
                <w:color w:val="3051F2"/>
              </w:rPr>
              <w:t>Consolidated Statements of Comprehensive Income (Loss) for the Years Ended December 31, 2022, 2021, and 2020</w:t>
            </w:r>
          </w:p>
        </w:tc>
        <w:tc>
          <w:tcPr>
            <w:tcW w:w="1400" w:type="dxa"/>
            <w:vAlign w:val="bottom"/>
          </w:tcPr>
          <w:p>
            <w:pPr>
              <w:spacing w:after="0"/>
              <w:rPr>
                <w:sz w:val="18"/>
                <w:szCs w:val="18"/>
                <w:color w:val="auto"/>
              </w:rPr>
            </w:pPr>
          </w:p>
        </w:tc>
        <w:tc>
          <w:tcPr>
            <w:tcW w:w="180" w:type="dxa"/>
            <w:vAlign w:val="bottom"/>
            <w:tcBorders>
              <w:bottom w:val="single" w:sz="8" w:color="3051F2"/>
            </w:tcBorders>
          </w:tcPr>
          <w:p>
            <w:pPr>
              <w:jc w:val="right"/>
              <w:spacing w:after="0" w:line="192" w:lineRule="exact"/>
              <w:rPr>
                <w:sz w:val="20"/>
                <w:szCs w:val="20"/>
                <w:color w:val="auto"/>
              </w:rPr>
            </w:pPr>
            <w:r>
              <w:rPr>
                <w:rFonts w:ascii="Times New Roman" w:cs="Times New Roman" w:eastAsia="Times New Roman" w:hAnsi="Times New Roman"/>
                <w:sz w:val="18"/>
                <w:szCs w:val="18"/>
                <w:color w:val="3051F2"/>
                <w:w w:val="88"/>
              </w:rPr>
              <w:t>67</w:t>
            </w:r>
          </w:p>
        </w:tc>
      </w:tr>
      <w:tr>
        <w:trPr>
          <w:trHeight w:val="397"/>
        </w:trPr>
        <w:tc>
          <w:tcPr>
            <w:tcW w:w="20" w:type="dxa"/>
            <w:vAlign w:val="bottom"/>
          </w:tcPr>
          <w:p>
            <w:pPr>
              <w:spacing w:after="0"/>
              <w:rPr>
                <w:sz w:val="24"/>
                <w:szCs w:val="24"/>
                <w:color w:val="auto"/>
              </w:rPr>
            </w:pPr>
          </w:p>
        </w:tc>
        <w:tc>
          <w:tcPr>
            <w:tcW w:w="7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7"/>
              </w:rPr>
              <w:t>Consolidated Statements of Changes in Equity for the Years Ended December 31, 2022, 2021, and 2020</w:t>
            </w:r>
          </w:p>
        </w:tc>
        <w:tc>
          <w:tcPr>
            <w:tcW w:w="226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8"/>
                <w:szCs w:val="18"/>
                <w:color w:val="3051F2"/>
                <w:w w:val="88"/>
              </w:rPr>
              <w:t>68</w:t>
            </w:r>
          </w:p>
        </w:tc>
      </w:tr>
      <w:tr>
        <w:trPr>
          <w:trHeight w:val="205"/>
        </w:trPr>
        <w:tc>
          <w:tcPr>
            <w:tcW w:w="20" w:type="dxa"/>
            <w:vAlign w:val="bottom"/>
          </w:tcPr>
          <w:p>
            <w:pPr>
              <w:spacing w:after="0"/>
              <w:rPr>
                <w:sz w:val="17"/>
                <w:szCs w:val="17"/>
                <w:color w:val="auto"/>
              </w:rPr>
            </w:pPr>
          </w:p>
        </w:tc>
        <w:tc>
          <w:tcPr>
            <w:tcW w:w="6880" w:type="dxa"/>
            <w:vAlign w:val="bottom"/>
            <w:tcBorders>
              <w:bottom w:val="single" w:sz="8" w:color="3051F2"/>
            </w:tcBorders>
            <w:gridSpan w:val="5"/>
          </w:tcPr>
          <w:p>
            <w:pPr>
              <w:spacing w:after="0" w:line="205" w:lineRule="exact"/>
              <w:rPr>
                <w:sz w:val="20"/>
                <w:szCs w:val="20"/>
                <w:color w:val="auto"/>
              </w:rPr>
            </w:pPr>
            <w:r>
              <w:rPr>
                <w:rFonts w:ascii="Times New Roman" w:cs="Times New Roman" w:eastAsia="Times New Roman" w:hAnsi="Times New Roman"/>
                <w:sz w:val="18"/>
                <w:szCs w:val="18"/>
                <w:color w:val="3051F2"/>
                <w:w w:val="97"/>
              </w:rPr>
              <w:t>Consolidated Statements of Cash Flows for the Years Ended December 31, 2022, 2021, and 2020</w:t>
            </w:r>
          </w:p>
        </w:tc>
        <w:tc>
          <w:tcPr>
            <w:tcW w:w="2740" w:type="dxa"/>
            <w:vAlign w:val="bottom"/>
            <w:gridSpan w:val="3"/>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70</w:t>
            </w:r>
          </w:p>
        </w:tc>
      </w:tr>
      <w:tr>
        <w:trPr>
          <w:trHeight w:val="205"/>
        </w:trPr>
        <w:tc>
          <w:tcPr>
            <w:tcW w:w="20" w:type="dxa"/>
            <w:vAlign w:val="bottom"/>
          </w:tcPr>
          <w:p>
            <w:pPr>
              <w:spacing w:after="0"/>
              <w:rPr>
                <w:sz w:val="17"/>
                <w:szCs w:val="17"/>
                <w:color w:val="auto"/>
              </w:rPr>
            </w:pPr>
          </w:p>
        </w:tc>
        <w:tc>
          <w:tcPr>
            <w:tcW w:w="3100" w:type="dxa"/>
            <w:vAlign w:val="bottom"/>
            <w:tcBorders>
              <w:bottom w:val="single" w:sz="8" w:color="3051F2"/>
            </w:tcBorders>
          </w:tcPr>
          <w:p>
            <w:pPr>
              <w:spacing w:after="0" w:line="205" w:lineRule="exact"/>
              <w:rPr>
                <w:sz w:val="20"/>
                <w:szCs w:val="20"/>
                <w:color w:val="auto"/>
              </w:rPr>
            </w:pPr>
            <w:r>
              <w:rPr>
                <w:rFonts w:ascii="Times New Roman" w:cs="Times New Roman" w:eastAsia="Times New Roman" w:hAnsi="Times New Roman"/>
                <w:sz w:val="18"/>
                <w:szCs w:val="18"/>
                <w:color w:val="3051F2"/>
                <w:w w:val="97"/>
              </w:rPr>
              <w:t>Notes to Consolidated Financial Statements</w:t>
            </w:r>
          </w:p>
        </w:tc>
        <w:tc>
          <w:tcPr>
            <w:tcW w:w="6520" w:type="dxa"/>
            <w:vAlign w:val="bottom"/>
            <w:gridSpan w:val="7"/>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11" w:lineRule="exact"/>
        <w:rPr>
          <w:sz w:val="20"/>
          <w:szCs w:val="20"/>
          <w:color w:val="auto"/>
        </w:rPr>
      </w:pPr>
    </w:p>
    <w:p>
      <w:pPr>
        <w:ind w:right="3400" w:firstLine="3407"/>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Perella Weinberg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Perella Weinberg Partners (the “Company”) as of December 31, 2022 and 2021, the related consolidated statements of operations, comprehensive income (loss), changes in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-528955</wp:posOffset>
            </wp:positionV>
            <wp:extent cx="16510" cy="927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510" cy="9271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80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502,773</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in short-term marketable debt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46,914</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asset,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0" w:type="dxa"/>
            <w:vAlign w:val="bottom"/>
          </w:tcPr>
          <w:p>
            <w:pPr>
              <w:spacing w:after="0"/>
              <w:rPr>
                <w:sz w:val="1"/>
                <w:szCs w:val="1"/>
                <w:color w:val="auto"/>
              </w:rPr>
            </w:pPr>
          </w:p>
        </w:tc>
      </w:tr>
      <w:tr>
        <w:trPr>
          <w:trHeight w:val="271"/>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717,093</w:t>
            </w: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718,327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214,082</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311,500</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compensation 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31,048</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43,448</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 liabilities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27,805</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14,108</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456,953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446,975</w:t>
            </w:r>
          </w:p>
        </w:tc>
        <w:tc>
          <w:tcPr>
            <w:tcW w:w="0" w:type="dxa"/>
            <w:vAlign w:val="bottom"/>
          </w:tcPr>
          <w:p>
            <w:pPr>
              <w:spacing w:after="0"/>
              <w:rPr>
                <w:sz w:val="1"/>
                <w:szCs w:val="1"/>
                <w:color w:val="auto"/>
              </w:rPr>
            </w:pPr>
          </w:p>
        </w:tc>
      </w:tr>
      <w:tr>
        <w:trPr>
          <w:trHeight w:val="205"/>
        </w:trPr>
        <w:tc>
          <w:tcPr>
            <w:tcW w:w="8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18)</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w w:val="98"/>
              </w:rPr>
              <w:t>Class A common stock, par value $0.0001 per share (1,500,000,000 shares authorized, 52,237,247 issued and</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41,744,961 outstanding at December 31, 2022; 1,500,000,000 shares authorized, 43,649,319 issued and</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42,649,319 outstanding at December 31, 2021)</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2"/>
        </w:trPr>
        <w:tc>
          <w:tcPr>
            <w:tcW w:w="80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44,563,877 issued and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outstanding at December 31, 2022; 600,000,000 shares authorized, 50,154,199 issued and outstanding at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2021)</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Preferred stock, par value $0.0001 per share (100,000,000 shares authorized, no shares issued and</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December 31, 2022 and 2021, respectively)</w:t>
            </w:r>
          </w:p>
        </w:tc>
        <w:tc>
          <w:tcPr>
            <w:tcW w:w="3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Treasury stock, at cost (10,492,286 and 1,000,000 shares of Class A common stock at December 31, 2022</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(80,067)</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1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126,319</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145,033</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271,352</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717,093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718,327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518,986</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374,332</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399,147</w:t>
            </w:r>
          </w:p>
        </w:tc>
        <w:tc>
          <w:tcPr>
            <w:tcW w:w="0" w:type="dxa"/>
            <w:vAlign w:val="bottom"/>
          </w:tcPr>
          <w:p>
            <w:pPr>
              <w:spacing w:after="0"/>
              <w:rPr>
                <w:sz w:val="1"/>
                <w:szCs w:val="1"/>
                <w:color w:val="auto"/>
              </w:rPr>
            </w:pPr>
          </w:p>
        </w:tc>
      </w:tr>
      <w:tr>
        <w:trPr>
          <w:trHeight w:val="225"/>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42,880</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0" w:type="dxa"/>
            <w:vAlign w:val="bottom"/>
          </w:tcPr>
          <w:p>
            <w:pPr>
              <w:spacing w:after="0"/>
              <w:rPr>
                <w:sz w:val="1"/>
                <w:szCs w:val="1"/>
                <w:color w:val="auto"/>
              </w:rPr>
            </w:pPr>
          </w:p>
        </w:tc>
      </w:tr>
      <w:tr>
        <w:trPr>
          <w:trHeight w:val="225"/>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 and occupancy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27,958</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25"/>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533,582</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0" w:type="dxa"/>
            <w:vAlign w:val="bottom"/>
          </w:tcPr>
          <w:p>
            <w:pPr>
              <w:spacing w:after="0"/>
              <w:rPr>
                <w:sz w:val="1"/>
                <w:szCs w:val="1"/>
                <w:color w:val="auto"/>
              </w:rPr>
            </w:pPr>
          </w:p>
        </w:tc>
      </w:tr>
      <w:tr>
        <w:trPr>
          <w:trHeight w:val="205"/>
        </w:trPr>
        <w:tc>
          <w:tcPr>
            <w:tcW w:w="6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0" w:type="dxa"/>
            <w:vAlign w:val="bottom"/>
          </w:tcPr>
          <w:p>
            <w:pPr>
              <w:spacing w:after="0"/>
              <w:rPr>
                <w:sz w:val="1"/>
                <w:szCs w:val="1"/>
                <w:color w:val="auto"/>
              </w:rPr>
            </w:pPr>
          </w:p>
        </w:tc>
      </w:tr>
      <w:tr>
        <w:trPr>
          <w:trHeight w:val="225"/>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36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line="211" w:lineRule="exact"/>
              <w:rPr>
                <w:sz w:val="20"/>
                <w:szCs w:val="20"/>
                <w:color w:val="auto"/>
              </w:rPr>
            </w:pPr>
            <w:r>
              <w:rPr>
                <w:rFonts w:ascii="Times New Roman" w:cs="Times New Roman" w:eastAsia="Times New Roman" w:hAnsi="Times New Roman"/>
                <w:sz w:val="18"/>
                <w:szCs w:val="18"/>
                <w:b w:val="1"/>
                <w:bCs w:val="1"/>
                <w:color w:val="auto"/>
              </w:rPr>
              <w:t xml:space="preserve">Net income (loss) per share attributable to Class A common shareholders </w:t>
            </w:r>
            <w:r>
              <w:rPr>
                <w:rFonts w:ascii="Times New Roman" w:cs="Times New Roman" w:eastAsia="Times New Roman" w:hAnsi="Times New Roman"/>
                <w:sz w:val="22"/>
                <w:szCs w:val="22"/>
                <w:b w:val="1"/>
                <w:bCs w:val="1"/>
                <w:color w:val="auto"/>
                <w:vertAlign w:val="superscript"/>
              </w:rPr>
              <w:t>(1)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 xml:space="preserve">Weighted-average shares of Class A common stock outstanding </w:t>
            </w:r>
            <w:r>
              <w:rPr>
                <w:rFonts w:ascii="Times New Roman" w:cs="Times New Roman" w:eastAsia="Times New Roman" w:hAnsi="Times New Roman"/>
                <w:sz w:val="22"/>
                <w:szCs w:val="22"/>
                <w:b w:val="1"/>
                <w:bCs w:val="1"/>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43,837,640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42,595,712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89,755,632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92,749,911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jc w:val="both"/>
        <w:ind w:left="320" w:hanging="314"/>
        <w:spacing w:after="0" w:line="261" w:lineRule="auto"/>
        <w:tabs>
          <w:tab w:leader="none" w:pos="3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2021, net income (loss) per share of Class A common stock and weighted-average shares of Class A common stock outstanding is representative of the period from June 24, 2021 through December 31, 2021, the period following the Business Combination, as defined in Note 1—Organization and Nature of Business. For more information, refer to Note 15—Net Income (Loss) Per Share Attributable to Class A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(24,342)</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(54,515)</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36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Perella Weinberg Partners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60" w:type="dxa"/>
            <w:vAlign w:val="bottom"/>
          </w:tcPr>
          <w:p>
            <w:pPr>
              <w:spacing w:after="0"/>
              <w:rPr>
                <w:sz w:val="2"/>
                <w:szCs w:val="2"/>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Partners’</w:t>
            </w: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60" w:type="dxa"/>
            <w:vAlign w:val="bottom"/>
          </w:tcPr>
          <w:p>
            <w:pPr>
              <w:spacing w:after="0"/>
              <w:rPr>
                <w:sz w:val="9"/>
                <w:szCs w:val="9"/>
                <w:color w:val="auto"/>
              </w:rPr>
            </w:pPr>
          </w:p>
        </w:tc>
        <w:tc>
          <w:tcPr>
            <w:tcW w:w="88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6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6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w w:val="92"/>
              </w:rPr>
              <w:t>Common</w:t>
            </w:r>
          </w:p>
        </w:tc>
        <w:tc>
          <w:tcPr>
            <w:tcW w:w="100" w:type="dxa"/>
            <w:vAlign w:val="bottom"/>
          </w:tcPr>
          <w:p>
            <w:pPr>
              <w:spacing w:after="0"/>
              <w:rPr>
                <w:sz w:val="9"/>
                <w:szCs w:val="9"/>
                <w:color w:val="auto"/>
              </w:rPr>
            </w:pPr>
          </w:p>
        </w:tc>
        <w:tc>
          <w:tcPr>
            <w:tcW w:w="66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840" w:type="dxa"/>
            <w:vAlign w:val="bottom"/>
            <w:gridSpan w:val="3"/>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9"/>
                <w:szCs w:val="9"/>
                <w:color w:val="auto"/>
              </w:rPr>
            </w:pPr>
          </w:p>
        </w:tc>
        <w:tc>
          <w:tcPr>
            <w:tcW w:w="88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9"/>
                <w:szCs w:val="9"/>
                <w:color w:val="auto"/>
              </w:rPr>
            </w:pPr>
          </w:p>
        </w:tc>
        <w:tc>
          <w:tcPr>
            <w:tcW w:w="74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8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2"/>
              </w:rPr>
              <w:t>Interests</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87,725</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81,905</w:t>
            </w:r>
          </w:p>
        </w:tc>
        <w:tc>
          <w:tcPr>
            <w:tcW w:w="0" w:type="dxa"/>
            <w:vAlign w:val="bottom"/>
          </w:tcPr>
          <w:p>
            <w:pPr>
              <w:spacing w:after="0"/>
              <w:rPr>
                <w:sz w:val="1"/>
                <w:szCs w:val="1"/>
                <w:color w:val="auto"/>
              </w:rPr>
            </w:pPr>
          </w:p>
        </w:tc>
      </w:tr>
      <w:tr>
        <w:trPr>
          <w:trHeight w:val="151"/>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w w:val="98"/>
              </w:rPr>
              <w:t>New accounting pronouncement adoption</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(24,342)</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(24,342)</w:t>
            </w:r>
          </w:p>
        </w:tc>
        <w:tc>
          <w:tcPr>
            <w:tcW w:w="0" w:type="dxa"/>
            <w:vAlign w:val="bottom"/>
          </w:tcPr>
          <w:p>
            <w:pPr>
              <w:spacing w:after="0"/>
              <w:rPr>
                <w:sz w:val="1"/>
                <w:szCs w:val="1"/>
                <w:color w:val="auto"/>
              </w:rPr>
            </w:pPr>
          </w:p>
        </w:tc>
      </w:tr>
      <w:tr>
        <w:trPr>
          <w:trHeight w:val="151"/>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Equity-based compensation</w:t>
            </w:r>
          </w:p>
        </w:tc>
        <w:tc>
          <w:tcPr>
            <w:tcW w:w="10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24,815</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24,815</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Distributions to partners</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(11,989)</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(11,989)</w:t>
            </w:r>
          </w:p>
        </w:tc>
        <w:tc>
          <w:tcPr>
            <w:tcW w:w="0" w:type="dxa"/>
            <w:vAlign w:val="bottom"/>
          </w:tcPr>
          <w:p>
            <w:pPr>
              <w:spacing w:after="0"/>
              <w:rPr>
                <w:sz w:val="1"/>
                <w:szCs w:val="1"/>
                <w:color w:val="auto"/>
              </w:rPr>
            </w:pPr>
          </w:p>
        </w:tc>
      </w:tr>
      <w:tr>
        <w:trPr>
          <w:trHeight w:val="151"/>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Other</w:t>
            </w:r>
          </w:p>
        </w:tc>
        <w:tc>
          <w:tcPr>
            <w:tcW w:w="10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488</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488</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3,494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3,494</w:t>
            </w:r>
          </w:p>
        </w:tc>
        <w:tc>
          <w:tcPr>
            <w:tcW w:w="0" w:type="dxa"/>
            <w:vAlign w:val="bottom"/>
          </w:tcPr>
          <w:p>
            <w:pPr>
              <w:spacing w:after="0"/>
              <w:rPr>
                <w:sz w:val="1"/>
                <w:szCs w:val="1"/>
                <w:color w:val="auto"/>
              </w:rPr>
            </w:pPr>
          </w:p>
        </w:tc>
      </w:tr>
      <w:tr>
        <w:trPr>
          <w:trHeight w:val="144"/>
        </w:trPr>
        <w:tc>
          <w:tcPr>
            <w:tcW w:w="1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2020</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76,509</w:t>
            </w: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(2,326)</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74,183</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prior to Business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Combination</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59,857</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59,857</w:t>
            </w:r>
          </w:p>
        </w:tc>
        <w:tc>
          <w:tcPr>
            <w:tcW w:w="0" w:type="dxa"/>
            <w:vAlign w:val="bottom"/>
          </w:tcPr>
          <w:p>
            <w:pPr>
              <w:spacing w:after="0"/>
              <w:rPr>
                <w:sz w:val="1"/>
                <w:szCs w:val="1"/>
                <w:color w:val="auto"/>
              </w:rPr>
            </w:pPr>
          </w:p>
        </w:tc>
      </w:tr>
      <w:tr>
        <w:trPr>
          <w:trHeight w:val="145"/>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Equity-based compensation prior to</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Business Combination</w:t>
            </w:r>
          </w:p>
        </w:tc>
        <w:tc>
          <w:tcPr>
            <w:tcW w:w="10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11,761</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11,761</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prior to Business Combination</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526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526</w:t>
            </w:r>
          </w:p>
        </w:tc>
        <w:tc>
          <w:tcPr>
            <w:tcW w:w="0" w:type="dxa"/>
            <w:vAlign w:val="bottom"/>
          </w:tcPr>
          <w:p>
            <w:pPr>
              <w:spacing w:after="0"/>
              <w:rPr>
                <w:sz w:val="1"/>
                <w:szCs w:val="1"/>
                <w:color w:val="auto"/>
              </w:rPr>
            </w:pPr>
          </w:p>
        </w:tc>
      </w:tr>
      <w:tr>
        <w:trPr>
          <w:trHeight w:val="145"/>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w w:val="98"/>
              </w:rPr>
              <w:t>Distributions to partners prior to Business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Combination</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(47,389)</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(47,389)</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prior to Business Combination</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374</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374</w:t>
            </w:r>
          </w:p>
        </w:tc>
        <w:tc>
          <w:tcPr>
            <w:tcW w:w="0" w:type="dxa"/>
            <w:vAlign w:val="bottom"/>
          </w:tcPr>
          <w:p>
            <w:pPr>
              <w:spacing w:after="0"/>
              <w:rPr>
                <w:sz w:val="1"/>
                <w:szCs w:val="1"/>
                <w:color w:val="auto"/>
              </w:rPr>
            </w:pPr>
          </w:p>
        </w:tc>
      </w:tr>
      <w:tr>
        <w:trPr>
          <w:trHeight w:val="151"/>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Effect of Business Combination</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(101,112)</w:t>
            </w:r>
          </w:p>
        </w:tc>
        <w:tc>
          <w:tcPr>
            <w:tcW w:w="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42,956,667</w:t>
            </w:r>
          </w:p>
        </w:tc>
        <w:tc>
          <w:tcPr>
            <w:tcW w:w="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50,154,199</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133,832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154,619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188,322</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after Business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Combination</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(9,421)</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(46,413)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(55,834)</w:t>
            </w:r>
          </w:p>
        </w:tc>
        <w:tc>
          <w:tcPr>
            <w:tcW w:w="0" w:type="dxa"/>
            <w:vAlign w:val="bottom"/>
          </w:tcPr>
          <w:p>
            <w:pPr>
              <w:spacing w:after="0"/>
              <w:rPr>
                <w:sz w:val="1"/>
                <w:szCs w:val="1"/>
                <w:color w:val="auto"/>
              </w:rPr>
            </w:pPr>
          </w:p>
        </w:tc>
      </w:tr>
      <w:tr>
        <w:trPr>
          <w:trHeight w:val="145"/>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Equity-based awards after Business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Combination</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45,594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39,678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85,272</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Distributions to partners after Business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Combination</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(18,542)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(18,542)</w:t>
            </w:r>
          </w:p>
        </w:tc>
        <w:tc>
          <w:tcPr>
            <w:tcW w:w="0" w:type="dxa"/>
            <w:vAlign w:val="bottom"/>
          </w:tcPr>
          <w:p>
            <w:pPr>
              <w:spacing w:after="0"/>
              <w:rPr>
                <w:sz w:val="1"/>
                <w:szCs w:val="1"/>
                <w:color w:val="auto"/>
              </w:rPr>
            </w:pPr>
          </w:p>
        </w:tc>
      </w:tr>
      <w:tr>
        <w:trPr>
          <w:trHeight w:val="151"/>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w w:val="99"/>
              </w:rPr>
              <w:t>Liability awards reclassification to equity</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3,912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3,912</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Class A common stock for</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vested PWP Incentive Plan Awards</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692,652</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5"/>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Withholding payments on vested PWP</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Incentive Plan Awards</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(10,462)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(10,462)</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declared ($0.14 per share of</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A common stock)</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230</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(8,654)</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(8,424)</w:t>
            </w:r>
          </w:p>
        </w:tc>
        <w:tc>
          <w:tcPr>
            <w:tcW w:w="0" w:type="dxa"/>
            <w:vAlign w:val="bottom"/>
          </w:tcPr>
          <w:p>
            <w:pPr>
              <w:spacing w:after="0"/>
              <w:rPr>
                <w:sz w:val="1"/>
                <w:szCs w:val="1"/>
                <w:color w:val="auto"/>
              </w:rPr>
            </w:pPr>
          </w:p>
        </w:tc>
      </w:tr>
      <w:tr>
        <w:trPr>
          <w:trHeight w:val="145"/>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after Business Combination</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(2,007)</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after Business Combination</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870</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933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1,803</w:t>
            </w:r>
          </w:p>
        </w:tc>
        <w:tc>
          <w:tcPr>
            <w:tcW w:w="0" w:type="dxa"/>
            <w:vAlign w:val="bottom"/>
          </w:tcPr>
          <w:p>
            <w:pPr>
              <w:spacing w:after="0"/>
              <w:rPr>
                <w:sz w:val="1"/>
                <w:szCs w:val="1"/>
                <w:color w:val="auto"/>
              </w:rPr>
            </w:pPr>
          </w:p>
        </w:tc>
      </w:tr>
      <w:tr>
        <w:trPr>
          <w:trHeight w:val="151"/>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Treasury stock purchase</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(15,845)</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15,845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43,649,319</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50,154,199</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158,131</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(18,075)</w:t>
            </w:r>
          </w:p>
        </w:tc>
        <w:tc>
          <w:tcPr>
            <w:tcW w:w="8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145,033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271,352</w:t>
            </w:r>
          </w:p>
        </w:tc>
        <w:tc>
          <w:tcPr>
            <w:tcW w:w="0" w:type="dxa"/>
            <w:vAlign w:val="bottom"/>
          </w:tcPr>
          <w:p>
            <w:pPr>
              <w:spacing w:after="0"/>
              <w:rPr>
                <w:sz w:val="1"/>
                <w:szCs w:val="1"/>
                <w:color w:val="auto"/>
              </w:rPr>
            </w:pPr>
          </w:p>
        </w:tc>
      </w:tr>
      <w:tr>
        <w:trPr>
          <w:trHeight w:val="24"/>
        </w:trPr>
        <w:tc>
          <w:tcPr>
            <w:tcW w:w="1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170180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19" w:right="359"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 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60" w:type="dxa"/>
            <w:vAlign w:val="bottom"/>
          </w:tcPr>
          <w:p>
            <w:pPr>
              <w:spacing w:after="0"/>
              <w:rPr>
                <w:sz w:val="2"/>
                <w:szCs w:val="2"/>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18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Partners’</w:t>
            </w: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60" w:type="dxa"/>
            <w:vAlign w:val="bottom"/>
          </w:tcPr>
          <w:p>
            <w:pPr>
              <w:spacing w:after="0"/>
              <w:rPr>
                <w:sz w:val="9"/>
                <w:szCs w:val="9"/>
                <w:color w:val="auto"/>
              </w:rPr>
            </w:pPr>
          </w:p>
        </w:tc>
        <w:tc>
          <w:tcPr>
            <w:tcW w:w="88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6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w w:val="92"/>
              </w:rPr>
              <w:t>Common</w:t>
            </w:r>
          </w:p>
        </w:tc>
        <w:tc>
          <w:tcPr>
            <w:tcW w:w="76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w w:val="92"/>
              </w:rPr>
              <w:t>Common</w:t>
            </w:r>
          </w:p>
        </w:tc>
        <w:tc>
          <w:tcPr>
            <w:tcW w:w="100" w:type="dxa"/>
            <w:vAlign w:val="bottom"/>
          </w:tcPr>
          <w:p>
            <w:pPr>
              <w:spacing w:after="0"/>
              <w:rPr>
                <w:sz w:val="9"/>
                <w:szCs w:val="9"/>
                <w:color w:val="auto"/>
              </w:rPr>
            </w:pPr>
          </w:p>
        </w:tc>
        <w:tc>
          <w:tcPr>
            <w:tcW w:w="66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840" w:type="dxa"/>
            <w:vAlign w:val="bottom"/>
            <w:gridSpan w:val="3"/>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60" w:type="dxa"/>
            <w:vAlign w:val="bottom"/>
          </w:tcPr>
          <w:p>
            <w:pPr>
              <w:spacing w:after="0"/>
              <w:rPr>
                <w:sz w:val="9"/>
                <w:szCs w:val="9"/>
                <w:color w:val="auto"/>
              </w:rPr>
            </w:pPr>
          </w:p>
        </w:tc>
        <w:tc>
          <w:tcPr>
            <w:tcW w:w="88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9"/>
                <w:szCs w:val="9"/>
                <w:color w:val="auto"/>
              </w:rPr>
            </w:pPr>
          </w:p>
        </w:tc>
        <w:tc>
          <w:tcPr>
            <w:tcW w:w="74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8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2"/>
              </w:rPr>
              <w:t>Interests</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43,649,319</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50,154,199</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158,131</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(18,075)</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9"/>
              </w:rPr>
              <w:t>(1,746)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145,033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271,352</w:t>
            </w:r>
          </w:p>
        </w:tc>
        <w:tc>
          <w:tcPr>
            <w:tcW w:w="0" w:type="dxa"/>
            <w:vAlign w:val="bottom"/>
          </w:tcPr>
          <w:p>
            <w:pPr>
              <w:spacing w:after="0"/>
              <w:rPr>
                <w:sz w:val="1"/>
                <w:szCs w:val="1"/>
                <w:color w:val="auto"/>
              </w:rPr>
            </w:pPr>
          </w:p>
        </w:tc>
      </w:tr>
      <w:tr>
        <w:trPr>
          <w:trHeight w:val="151"/>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17,878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(31,747)</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Equity-based awards</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81,804</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74,616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156,420</w:t>
            </w:r>
          </w:p>
        </w:tc>
        <w:tc>
          <w:tcPr>
            <w:tcW w:w="0" w:type="dxa"/>
            <w:vAlign w:val="bottom"/>
          </w:tcPr>
          <w:p>
            <w:pPr>
              <w:spacing w:after="0"/>
              <w:rPr>
                <w:sz w:val="1"/>
                <w:szCs w:val="1"/>
                <w:color w:val="auto"/>
              </w:rPr>
            </w:pPr>
          </w:p>
        </w:tc>
      </w:tr>
      <w:tr>
        <w:trPr>
          <w:trHeight w:val="151"/>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 to partners</w:t>
            </w:r>
          </w:p>
        </w:tc>
        <w:tc>
          <w:tcPr>
            <w:tcW w:w="8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(44,455)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(44,455)</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Class A common stock for</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vested PWP Incentive Plan Awards</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1,426,073</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51,730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620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5"/>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Withholding payments on vested PWP</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Incentive Plan Awards</w:t>
            </w:r>
          </w:p>
        </w:tc>
        <w:tc>
          <w:tcPr>
            <w:tcW w:w="8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(9,703)</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declared ($0.28 per share of</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A common stock)</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522</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(17,874)</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(17,352)</w:t>
            </w:r>
          </w:p>
        </w:tc>
        <w:tc>
          <w:tcPr>
            <w:tcW w:w="0" w:type="dxa"/>
            <w:vAlign w:val="bottom"/>
          </w:tcPr>
          <w:p>
            <w:pPr>
              <w:spacing w:after="0"/>
              <w:rPr>
                <w:sz w:val="1"/>
                <w:szCs w:val="1"/>
                <w:color w:val="auto"/>
              </w:rPr>
            </w:pPr>
          </w:p>
        </w:tc>
      </w:tr>
      <w:tr>
        <w:trPr>
          <w:trHeight w:val="151"/>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8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9"/>
              </w:rPr>
              <w:t>(4,792)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(9,682)</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702</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1,233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1,935</w:t>
            </w:r>
          </w:p>
        </w:tc>
        <w:tc>
          <w:tcPr>
            <w:tcW w:w="0" w:type="dxa"/>
            <w:vAlign w:val="bottom"/>
          </w:tcPr>
          <w:p>
            <w:pPr>
              <w:spacing w:after="0"/>
              <w:rPr>
                <w:sz w:val="1"/>
                <w:szCs w:val="1"/>
                <w:color w:val="auto"/>
              </w:rPr>
            </w:pPr>
          </w:p>
        </w:tc>
      </w:tr>
      <w:tr>
        <w:trPr>
          <w:trHeight w:val="145"/>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Class A common stock and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exchange of PWP OpCo Units with</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w w:val="99"/>
              </w:rPr>
              <w:t>corresponding Class B common stock for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cash using Offering proceeds (Note 11—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80" w:type="dxa"/>
            <w:vAlign w:val="bottom"/>
          </w:tcPr>
          <w:p>
            <w:pPr>
              <w:spacing w:after="0"/>
              <w:rPr>
                <w:sz w:val="12"/>
                <w:szCs w:val="12"/>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3,502,033</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(3,498,534)</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Exchange of PWP OpCo Units and</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99"/>
              </w:rPr>
              <w:t>corresponding Class B common stock for</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A common stock (Note 11—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2,093,874</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(2,091,788)</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598</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597</w:t>
            </w:r>
          </w:p>
        </w:tc>
        <w:tc>
          <w:tcPr>
            <w:tcW w:w="0" w:type="dxa"/>
            <w:vAlign w:val="bottom"/>
          </w:tcPr>
          <w:p>
            <w:pPr>
              <w:spacing w:after="0"/>
              <w:rPr>
                <w:sz w:val="1"/>
                <w:szCs w:val="1"/>
                <w:color w:val="auto"/>
              </w:rPr>
            </w:pPr>
          </w:p>
        </w:tc>
      </w:tr>
      <w:tr>
        <w:trPr>
          <w:trHeight w:val="145"/>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Warrant exchange for Class A common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stock</w:t>
            </w:r>
          </w:p>
        </w:tc>
        <w:tc>
          <w:tcPr>
            <w:tcW w:w="8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1,565,948</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11,999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11,999</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Treasury stock purchases</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(9,544,016)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(68,687)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(68,687)</w:t>
            </w:r>
          </w:p>
        </w:tc>
        <w:tc>
          <w:tcPr>
            <w:tcW w:w="0" w:type="dxa"/>
            <w:vAlign w:val="bottom"/>
          </w:tcPr>
          <w:p>
            <w:pPr>
              <w:spacing w:after="0"/>
              <w:rPr>
                <w:sz w:val="1"/>
                <w:szCs w:val="1"/>
                <w:color w:val="auto"/>
              </w:rPr>
            </w:pPr>
          </w:p>
        </w:tc>
      </w:tr>
      <w:tr>
        <w:trPr>
          <w:trHeight w:val="151"/>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8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766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
        </w:trPr>
        <w:tc>
          <w:tcPr>
            <w:tcW w:w="18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52,237,247</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44,563,877</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(10,492,286)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242,129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9"/>
              </w:rPr>
              <w:t>(6,538)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122,678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260,140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170180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119" w:right="3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63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(31,747)</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(24,342)</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6"/>
        </w:trPr>
        <w:tc>
          <w:tcPr>
            <w:tcW w:w="6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6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Equity-based awards vesting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24,815</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8"/>
        </w:trPr>
        <w:tc>
          <w:tcPr>
            <w:tcW w:w="6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15,531</w:t>
            </w:r>
          </w:p>
        </w:tc>
      </w:tr>
      <w:tr>
        <w:trPr>
          <w:trHeight w:val="214"/>
        </w:trPr>
        <w:tc>
          <w:tcPr>
            <w:tcW w:w="6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Amortization of debt discounts and deferred financing costs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8"/>
        </w:trPr>
        <w:tc>
          <w:tcPr>
            <w:tcW w:w="6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6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Foreign currency revaluation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9"/>
        </w:trPr>
        <w:tc>
          <w:tcPr>
            <w:tcW w:w="6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17,069</w:t>
            </w:r>
          </w:p>
        </w:tc>
      </w:tr>
      <w:tr>
        <w:trPr>
          <w:trHeight w:val="214"/>
        </w:trPr>
        <w:tc>
          <w:tcPr>
            <w:tcW w:w="6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taxes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8"/>
        </w:trPr>
        <w:tc>
          <w:tcPr>
            <w:tcW w:w="6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Bad debt expense</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r>
      <w:tr>
        <w:trPr>
          <w:trHeight w:val="214"/>
        </w:trPr>
        <w:tc>
          <w:tcPr>
            <w:tcW w:w="6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Decrease (increase) in operating assets: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4"/>
        </w:trPr>
        <w:tc>
          <w:tcPr>
            <w:tcW w:w="6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27,527</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8"/>
        </w:trPr>
        <w:tc>
          <w:tcPr>
            <w:tcW w:w="6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Due from related parties</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r>
      <w:tr>
        <w:trPr>
          <w:trHeight w:val="214"/>
        </w:trPr>
        <w:tc>
          <w:tcPr>
            <w:tcW w:w="6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4"/>
        </w:trPr>
        <w:tc>
          <w:tcPr>
            <w:tcW w:w="6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19,348</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8"/>
        </w:trPr>
        <w:tc>
          <w:tcPr>
            <w:tcW w:w="6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compensation programs</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r>
      <w:tr>
        <w:trPr>
          <w:trHeight w:val="214"/>
        </w:trPr>
        <w:tc>
          <w:tcPr>
            <w:tcW w:w="6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9"/>
        </w:trPr>
        <w:tc>
          <w:tcPr>
            <w:tcW w:w="6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8,717</w:t>
            </w:r>
          </w:p>
        </w:tc>
      </w:tr>
      <w:tr>
        <w:trPr>
          <w:trHeight w:val="214"/>
        </w:trPr>
        <w:tc>
          <w:tcPr>
            <w:tcW w:w="6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(19,516)</w:t>
            </w:r>
          </w:p>
        </w:tc>
      </w:tr>
      <w:tr>
        <w:trPr>
          <w:trHeight w:val="24"/>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2"/>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85,907</w:t>
            </w:r>
          </w:p>
        </w:tc>
      </w:tr>
      <w:tr>
        <w:trPr>
          <w:trHeight w:val="17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25"/>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w:t>
            </w:r>
          </w:p>
        </w:tc>
      </w:tr>
      <w:tr>
        <w:trPr>
          <w:trHeight w:val="214"/>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investments in short-term marketable debt securities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(166,231)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(5,522)</w:t>
            </w:r>
          </w:p>
        </w:tc>
      </w:tr>
      <w:tr>
        <w:trPr>
          <w:trHeight w:val="24"/>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Business Combination, including PIPE Investment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 of Business Combination costs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Draw down of Revolving Credit Facility</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 on Revolving Credit Facility</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Redemption of Convertible Notes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Redemption of partners’ interests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the Offering, net of underwriting discount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9"/>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Exchange of PWP OpCo Units and corresponding Class B common stock for cash using Offering proceeds</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 of offering costs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(11,989)</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Dividends paid on Class A and Class B common stock</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Withholding payments for vested PWP Incentive Plan Awards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Treasury stock purchases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issuance costs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Proceeds from Partner Promissory Note</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(21,989)</w:t>
            </w:r>
          </w:p>
        </w:tc>
      </w:tr>
      <w:tr>
        <w:trPr>
          <w:trHeight w:val="208"/>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5,930</w:t>
            </w:r>
          </w:p>
        </w:tc>
      </w:tr>
      <w:tr>
        <w:trPr>
          <w:trHeight w:val="24"/>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2"/>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(330,609)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173,867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64,326</w:t>
            </w:r>
          </w:p>
        </w:tc>
      </w:tr>
      <w:tr>
        <w:trPr>
          <w:trHeight w:val="214"/>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504,775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266,582</w:t>
            </w:r>
          </w:p>
        </w:tc>
      </w:tr>
      <w:tr>
        <w:trPr>
          <w:trHeight w:val="24"/>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174,166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330,908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9" w:right="339" w:bottom="1440" w:gutter="0" w:footer="0" w:header="0"/>
        </w:sectPr>
      </w:pPr>
    </w:p>
    <w:p>
      <w:pPr>
        <w:spacing w:after="0" w:line="1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3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Lease liabilities arising from obtaining right-of-use lease assets</w:t>
            </w: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131,232</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14,192</w:t>
            </w:r>
          </w:p>
        </w:tc>
        <w:tc>
          <w:tcPr>
            <w:tcW w:w="0" w:type="dxa"/>
            <w:vAlign w:val="bottom"/>
          </w:tcPr>
          <w:p>
            <w:pPr>
              <w:spacing w:after="0"/>
              <w:rPr>
                <w:sz w:val="1"/>
                <w:szCs w:val="1"/>
                <w:color w:val="auto"/>
              </w:rPr>
            </w:pPr>
          </w:p>
        </w:tc>
      </w:tr>
      <w:tr>
        <w:trPr>
          <w:trHeight w:val="214"/>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dividends and dividend equivalent units on unvested PWP Incentive Plan Awards</w:t>
            </w: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5,711</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paydown of Partner promissory notes</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6360" w:type="dxa"/>
            <w:vAlign w:val="bottom"/>
            <w:shd w:val="clear" w:color="auto" w:fill="CCEEFF"/>
          </w:tcPr>
          <w:p>
            <w:pPr>
              <w:ind w:left="240"/>
              <w:spacing w:after="0" w:line="137" w:lineRule="exact"/>
              <w:rPr>
                <w:sz w:val="20"/>
                <w:szCs w:val="20"/>
                <w:color w:val="auto"/>
              </w:rPr>
            </w:pPr>
            <w:r>
              <w:rPr>
                <w:rFonts w:ascii="Times New Roman" w:cs="Times New Roman" w:eastAsia="Times New Roman" w:hAnsi="Times New Roman"/>
                <w:sz w:val="14"/>
                <w:szCs w:val="14"/>
                <w:color w:val="auto"/>
              </w:rPr>
              <w:t>Deferred tax effect resulting from exchanges of PWP OpCo Units, net of amounts payable under tax</w:t>
            </w:r>
          </w:p>
        </w:tc>
        <w:tc>
          <w:tcPr>
            <w:tcW w:w="980" w:type="dxa"/>
            <w:vAlign w:val="bottom"/>
            <w:vMerge w:val="restart"/>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4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receivable agreement</w:t>
            </w:r>
          </w:p>
        </w:tc>
        <w:tc>
          <w:tcPr>
            <w:tcW w:w="98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treasury stock purchases</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Liability awards reclassification to equity</w:t>
            </w: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assets of deconsolidated affiliate</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8"/>
                <w:szCs w:val="18"/>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12,547</w:t>
            </w:r>
          </w:p>
        </w:tc>
        <w:tc>
          <w:tcPr>
            <w:tcW w:w="100" w:type="dxa"/>
            <w:vAlign w:val="bottom"/>
          </w:tcPr>
          <w:p>
            <w:pPr>
              <w:spacing w:after="0"/>
              <w:rPr>
                <w:sz w:val="18"/>
                <w:szCs w:val="18"/>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11,777</w:t>
            </w:r>
          </w:p>
        </w:tc>
        <w:tc>
          <w:tcPr>
            <w:tcW w:w="0" w:type="dxa"/>
            <w:vAlign w:val="bottom"/>
          </w:tcPr>
          <w:p>
            <w:pPr>
              <w:spacing w:after="0"/>
              <w:rPr>
                <w:sz w:val="1"/>
                <w:szCs w:val="1"/>
                <w:color w:val="auto"/>
              </w:rPr>
            </w:pPr>
          </w:p>
        </w:tc>
      </w:tr>
      <w:tr>
        <w:trPr>
          <w:trHeight w:val="24"/>
        </w:trPr>
        <w:tc>
          <w:tcPr>
            <w:tcW w:w="6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including advice related to mission-critical strategic and financial decisions, mergers and acquisitions execution, shareholder and defense advisory, financing and capital solutions advice with resources focused on restructuring and liability management, capital markets advisory, private capital placement, as well as specialized underwriting and research services primarily for the energy and related industries.</w:t>
      </w:r>
    </w:p>
    <w:p>
      <w:pPr>
        <w:spacing w:after="0" w:line="13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a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3—Business Combination for additional discussion related to the transaction.</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11—Stockholders' Equity for additional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consolidated financial statements reflect the financial condition, results of operations and cash flows of the Company and have been prepared in accordance with generally accepted accounting principles in the United States (“U.S. GAAP”). All intercompany balances and transactions between the consolidated subsidiaries comprising the Company have been eliminated in the accompanying consolidated financial statements.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consolidated financial statements included in this Annual Report on Form 10-K reflect (i) the historical operating results of PWP OpCo prior to the Business Combination and (ii) the combined results of the Company following the Business Combination. See Note 3—Business Combination for additional discussion related to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left="80"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32" w:lineRule="exact"/>
        <w:rPr>
          <w:sz w:val="20"/>
          <w:szCs w:val="20"/>
          <w:color w:val="auto"/>
        </w:rPr>
      </w:pPr>
    </w:p>
    <w:p>
      <w:pPr>
        <w:jc w:val="both"/>
        <w:ind w:left="80" w:firstLine="318"/>
        <w:spacing w:after="0" w:line="255"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makes certain estimates regarding the measurement of amounts due pursuant to the tax receivable agreement, measurement and timing of revenue recognition, assumptions used in the provision for income taxes, measurement of equity-based compensation, evaluation of goodwill and intangible assets, fair value measurement of financial instruments, and other matters that affect the reported amounts and disclosures of contingencies in the consolidated financial statements.</w:t>
      </w: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68" w:lineRule="exact"/>
        <w:rPr>
          <w:sz w:val="20"/>
          <w:szCs w:val="20"/>
          <w:color w:val="auto"/>
        </w:rPr>
      </w:pPr>
    </w:p>
    <w:p>
      <w:pPr>
        <w:jc w:val="both"/>
        <w:ind w:left="80" w:firstLine="318"/>
        <w:spacing w:after="0" w:line="259" w:lineRule="auto"/>
        <w:rPr>
          <w:sz w:val="20"/>
          <w:szCs w:val="20"/>
          <w:color w:val="auto"/>
        </w:rPr>
      </w:pPr>
      <w:r>
        <w:rPr>
          <w:rFonts w:ascii="Times New Roman" w:cs="Times New Roman" w:eastAsia="Times New Roman" w:hAnsi="Times New Roman"/>
          <w:sz w:val="18"/>
          <w:szCs w:val="18"/>
          <w:color w:val="auto"/>
        </w:rPr>
        <w:t>Cash includes both cash and interest-bearing money market accounts and cash equivalents are defined as highly liquid investments with original maturities of three months or less from the date of purchase. As of December 31, 2022 and 2021 the Company had no cash equivalents. The Company maintains cash with banks and brokerage firms, which from time to time may exceed federally insured limits.</w:t>
      </w:r>
    </w:p>
    <w:p>
      <w:pPr>
        <w:spacing w:after="0" w:line="125" w:lineRule="exact"/>
        <w:rPr>
          <w:sz w:val="20"/>
          <w:szCs w:val="20"/>
          <w:color w:val="auto"/>
        </w:rPr>
      </w:pPr>
    </w:p>
    <w:p>
      <w:pPr>
        <w:jc w:val="both"/>
        <w:ind w:left="80" w:firstLine="318"/>
        <w:spacing w:after="0" w:line="274" w:lineRule="auto"/>
        <w:rPr>
          <w:sz w:val="20"/>
          <w:szCs w:val="20"/>
          <w:color w:val="auto"/>
        </w:rPr>
      </w:pPr>
      <w:r>
        <w:rPr>
          <w:rFonts w:ascii="Times New Roman" w:cs="Times New Roman" w:eastAsia="Times New Roman" w:hAnsi="Times New Roman"/>
          <w:sz w:val="18"/>
          <w:szCs w:val="18"/>
          <w:color w:val="auto"/>
        </w:rPr>
        <w:t>Restricted cash represents cash that is not readily available for general purpose cash needs. As of December 31, 2022 and 2021, the Company had restricted cash of $2.6 million and $2.0 million, respectively, maintained as collateral for letters of credit related to certain office leases.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the Company’s cash, cash equivalents and restricted cash as of December 31, 2022 and 2021 is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20"/>
                <w:szCs w:val="20"/>
                <w:color w:val="auto"/>
              </w:rPr>
            </w:pPr>
          </w:p>
        </w:tc>
      </w:tr>
      <w:tr>
        <w:trPr>
          <w:trHeight w:val="25"/>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6"/>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502,773</w:t>
            </w:r>
          </w:p>
        </w:tc>
      </w:tr>
      <w:tr>
        <w:trPr>
          <w:trHeight w:val="25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71"/>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shown on statements of cash flows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174,166</w:t>
            </w:r>
          </w:p>
        </w:tc>
        <w:tc>
          <w:tcPr>
            <w:tcW w:w="100" w:type="dxa"/>
            <w:vAlign w:val="bottom"/>
          </w:tcPr>
          <w:p>
            <w:pPr>
              <w:spacing w:after="0"/>
              <w:rPr>
                <w:sz w:val="23"/>
                <w:szCs w:val="23"/>
                <w:color w:val="auto"/>
              </w:rPr>
            </w:pPr>
          </w:p>
        </w:tc>
        <w:tc>
          <w:tcPr>
            <w:tcW w:w="5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504,775</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Short-Term Marketable Debt Securities</w:t>
      </w:r>
    </w:p>
    <w:p>
      <w:pPr>
        <w:spacing w:after="0" w:line="168" w:lineRule="exact"/>
        <w:rPr>
          <w:sz w:val="20"/>
          <w:szCs w:val="20"/>
          <w:color w:val="auto"/>
        </w:rPr>
      </w:pPr>
    </w:p>
    <w:p>
      <w:pPr>
        <w:jc w:val="both"/>
        <w:ind w:left="80" w:firstLine="318"/>
        <w:spacing w:after="0" w:line="271" w:lineRule="auto"/>
        <w:rPr>
          <w:sz w:val="20"/>
          <w:szCs w:val="20"/>
          <w:color w:val="auto"/>
        </w:rPr>
      </w:pPr>
      <w:r>
        <w:rPr>
          <w:rFonts w:ascii="Times New Roman" w:cs="Times New Roman" w:eastAsia="Times New Roman" w:hAnsi="Times New Roman"/>
          <w:sz w:val="17"/>
          <w:szCs w:val="17"/>
          <w:color w:val="auto"/>
        </w:rPr>
        <w:t>The Company invests in short-term marketable debt securities to manage excess liquidity. As of December 31, 2022, these investments consisted solely of U.S. Treasury securities held by a consolidated broker-dealer subsidiary and were carried at fair value with changes in fair value included in Other income (expense) on the Consolidated Statements of Operations, as is required for broker-dealers. In general, these investments are recorded on the Consolidated Statements of Financial Condition within Cash and cash equivalents for investments with an original maturity from the date of purchase of three months or less, and within Investments in short-term marketable debt securities for those with original maturities longer than three months but less than one year.</w:t>
      </w:r>
    </w:p>
    <w:p>
      <w:pPr>
        <w:spacing w:after="0" w:line="1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68" w:lineRule="exact"/>
        <w:rPr>
          <w:sz w:val="20"/>
          <w:szCs w:val="20"/>
          <w:color w:val="auto"/>
        </w:rPr>
      </w:pPr>
    </w:p>
    <w:p>
      <w:pPr>
        <w:jc w:val="both"/>
        <w:ind w:left="80" w:firstLine="318"/>
        <w:spacing w:after="0" w:line="252" w:lineRule="auto"/>
        <w:rPr>
          <w:sz w:val="20"/>
          <w:szCs w:val="20"/>
          <w:color w:val="auto"/>
        </w:rPr>
      </w:pPr>
      <w:r>
        <w:rPr>
          <w:rFonts w:ascii="Times New Roman" w:cs="Times New Roman" w:eastAsia="Times New Roman" w:hAnsi="Times New Roman"/>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2022 and 2021, $5.1 million and $2.5 million, respectively, of accrued revenue was included in Accounts receivable, net of allowance on the Consolidated Statements of Financial Condition. These amounts represent amounts due from clients and recognized as revenue in accordance with the Company’s revenue recognition policies but unbilled at the end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170180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20"/>
          </w:cols>
          <w:pgMar w:left="240" w:top="11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Accounts receivable represent amounts due from clients from various industry and geographic backgrounds. As of December 31, 2022, certain accounts receivable in the aggregate amount of $28.4 million, were individually greater than 10% of the Company’s gross accounts receivable and were concentrated with two clients. Of that amount, all was subsequently received after year end. As of December 31, 2021, certain accounts receivable in the aggregate amount of $13.6 million, were greater than 10% of the Company’s gross accounts receivable and were concentrated with two clients. Of that amount, all was subsequently received after year end.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Consolidated Statements of Operations. After concluding that a reserved accounts receivable is no longer collectible, the Company reduces both the gross receivable and the allowance for credit losses.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1"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w:t>
      </w:r>
    </w:p>
    <w:p>
      <w:pPr>
        <w:jc w:val="both"/>
        <w:ind w:firstLine="6"/>
        <w:spacing w:after="0" w:line="247" w:lineRule="auto"/>
        <w:tabs>
          <w:tab w:leader="none" w:pos="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December 31, 2022 and December 31, 2021, the net assets of PWP OpCo were $237.9 million and $268.5 million, respectively. As of December 31, 2022 and December 31, 2021, the Company did not consolidate any VIEs other than PWP OpCo.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Consolidated Statements of Financial Condition. The Company reflects its share of income and losses of the investee in Other income (expense) on the Consolidated Statements of Operations using the most recently available earnings data for the reporting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financial instruments are generally recorded at fair value or at amounts that approximate fair value. The carrying values of cash, restricted cash, accounts receivable, amounts due from related parties, accounts payable and certain accrued liabilities approximate their fair values due to the short-term nature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Generally, prepaid expenses comprise the majority of Prepaid expenses and other assets on the Consolidated Statements of Financial Condition and represent upfront payments for various services, including subscriptions, cloud computing arrangements, software licenses and insurance, which are amortized over the life, related service period or policy. Other substantial components of Prepaid expenses and other assets are receivables from landlords for tenant improvements, income tax receivables, and certain investments.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Shares of the Company’s Class A common stock may be repurchased from time to time in open market transactions, in privately negotiated transactions or otherwise. The Company may structure such repurchases as either a purchase of treasury stock or a retirement of shares. The Company records its purchases of treasury stock at cost as a separate component of equity. The Company may re-issue treasury stock using the first-in-first-out method.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with PWP OpCo,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Management’s best estimate of the amounts expected to be owed in connection with the tax receivable agreement at each reporting date are reported within Amount due pursuant to tax receivable agreement on the Consolidated Statements of Financial Condition.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uses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is calculated based on multiple factors, including current market conditions, the Company’s credit rating and the terms of the Company’s recent debt issuances and/or current revolving credit facilities.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Consolidated Statements of Financial Condition.</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subleases certain portions its office space. Sublease income is recognized on a straight-line basis over the term of the lease. The Company elected the practical expedient not to separate lease components and non-lease components for subleases.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entities held by PWP OpCo, that are disregarded for U.S. federal and state tax purposes. Certain non-U.S. subsidiaries are subject to income taxes in their respective local jurisdictions, and therefore, the related income tax provision is reported in the Consolidated Statements of Operations.</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of a change in tax rates on deferred tax assets and liabilities is recognized in Income tax benefit (expense)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analyzes its tax positions for all U.S. federal, state and local and foreign tax jurisdictions where it is required to file income tax returns. The Company records unrecognized tax benefits based on whether it is more-likely-than-not that the uncertain tax position will be sustained based on the technical merits of the position. If it is determined, that an uncertain tax position is more-likely-than-not to be sustained, the Company records the largest amount of tax benefit that is more than 50% likely to be realized upon ultimate settlement with the related tax authorities. The Company recognizes interest and penalties, if any, related to unrecognized tax benefits in Income tax benefit (expense) in the Consolidated Statements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 and Issuance Costs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 The Company includes unamortized debt issuance costs within Prepaid expenses and other assets on the Consolidated Statements of Financial Position in periods with no outstanding borrowings.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and its subsidiaries may enter into transactions denominated in a non-functional currency. The Company recognized net foreign exchange gains (losses) arising from such transactions of $6.8 million, $(0.2) million and $(0.2) million during the years ended December 31, 2022, 2021, and 2020, respectively, which are included in Other income (expense) in the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income, expenses, gains and losses are generally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Equity.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Transaction-Related Advisory Services</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 Such determination of probability may require significant judgment.</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some cases, a portion of the variable fees may be deferred based on the services remaining to be completed, if any (e.g., when announcement fees are earned but additional services are expected to be provided between transaction announcement and transaction close). The deferred amount is often based on an estimate of the services remaining to be completed, if any. The determination of when and to what extent to subsequently recognize deferred variable fees may require significant judgment, particularly when milestones are met near the end of a reporting period and in cases where additional services are expected to be provided subsequent to the achievement of the milestone.</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Certain fixed fees specified in the Company’s contracts, which may include upfront fees and retainers, are recognized on a systematic basis over the estimated period in which the related services are performed. 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Fairness Opinion Services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Trading Services</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various ways -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4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Services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Such amounts are adjusted to reflect actual expenses in the period in which the Company receives the final settlement, typically within 90 days following the closing of the transaction.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 and Contract Balances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Company is typically reimbursed by the client for certain of these out-of-pocket expenses, which is recorded within Revenues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typically earns interest on cash at banks, which is recorded on an accrual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deferred compensation, as well as payroll and related taxes and benefits for the Company’s employees. In all instances, compensation expense is accrued over the requisite service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Equity-based compensation relates to equity-based awards granted to employees and partners of the Company. In all instances of equity-based awards, compensation expense is recognized over the requisite vesting period or requisite service period in an amount equal to the fair value of the awards at the grant date. Certain awards are amortized over the expected service period for employees who are or will become retirement eligible prior to the stated vesting date. Equity-based compensation expense for employees and partners is included in Equity-based compensation on the Consolidated Statements of Operations and equity-based compensation expense for non-employees is included in Professional fees on the Consolidated Statements of Operations. Refer to Note 13— Equity-Based Compensation for detail of amounts 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consolidated financial statements. Non-controlling interests are presented as a separate component of equity on the Consolidated Statements of Financial Condition. Net income (loss) includes the net income (loss) attributable to the holders of the non-controlling interests on the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13—Equity-Based Compensation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Litigation</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Comprehensive income (loss) consists of Net income (loss) and Other comprehensive income (loss). The Company’s Other comprehensive income (loss) is comprised of foreign currency cumulative translation adjustments.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recently adopted accounting pronouncements that had a material effect on the Company’s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Pronouncements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changes to U.S. GAAP that are not yet effective are expected to have a material effect on the Company’s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3—Business Combination</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June 24, 2021, the Company consummated a business combination pursuant to the Business Combination Agreement dated as of December 29, 2020, by and among the Company (previously FTIV), the Sponsor,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connection with the consummation of the Business Combination, the following occurred:</w:t>
      </w:r>
    </w:p>
    <w:p>
      <w:pPr>
        <w:spacing w:after="0" w:line="164" w:lineRule="exact"/>
        <w:rPr>
          <w:sz w:val="20"/>
          <w:szCs w:val="20"/>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12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acquired newly-issued common units of PWP OpCo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12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Partners contributed the equity interests of PWP GP, the general partner of PWP OpCo, to FTIV;</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repaid all of its indebtedness including $150.0 million of Convertible Notes and $27.7 million of the Revolving Credit Facility, both as defined in Note 10—Debt, as well as accrued interest and applicable premium, resulting in a Loss on debt extinguishment of $39.4 million;</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was renamed “Perella Weinberg Partners.”</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the date of the Closing, the Company recorded $22.2 million in public warrant liabilities and $0.7 million in private warrant liabilities, which represented their fair value on such date. See Note 12—Warrants for further information. In conjunction with the Business Combination, the Company incurred approximately $2.9 million in transaction expenses, which were recorded in Professional fees on the Consolidated Statements of Operations, as well as $27.6 million of offering costs which were offset against the proceeds of the Business Combination. The Business Combination resulted in an increase to the Company’s deferred tax assets, with a corresponding increase to the Amount due pursuant to tax receivable agreement, primarily related to a step-up in the tax basis of certain assets that will be recovered as those assets are amortized.</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At the time of the Closing, there were 42,956,667 shares of Class A common stock and 50,154,199 shares of Class B common stock outstanding. The number of shares of Class B common stock outstanding corresponds to the number of PWP OpCo Units attributable to the Professional Partners and ILPs. Such PWP OpCo Units are exchangeable into shares of PWP’s Class A common stock on a one-for-one basis and represent the non-controlling ownership interests in the Company. Class B-1 and B-2 common stock have de minimis economic rights. See Note 11—Stockholders' Equity for additional information.</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Concurrent with the Closing, the Company entered into certain other related agreements which are discussed further in Note 11—Stockholders' Equity and Note 17—Related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4—Revenue and Receivables from Contracts with Customers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1"/>
        </w:trPr>
        <w:tc>
          <w:tcPr>
            <w:tcW w:w="80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w w:val="98"/>
              </w:rPr>
              <w:t>The following table disaggregates the Company’s revenue between over time and point in time recognition:</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0"/>
        </w:trPr>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r>
      <w:tr>
        <w:trPr>
          <w:trHeight w:val="219"/>
        </w:trPr>
        <w:tc>
          <w:tcPr>
            <w:tcW w:w="6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609,392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749,067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494,295</w:t>
            </w:r>
          </w:p>
        </w:tc>
      </w:tr>
      <w:tr>
        <w:trPr>
          <w:trHeight w:val="27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24,691</w:t>
            </w:r>
          </w:p>
        </w:tc>
      </w:tr>
      <w:tr>
        <w:trPr>
          <w:trHeight w:val="29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801,662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518,986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Reimbursable expenses billed to clients was $3.2 million, $5.0 million, and $6.5 million for the years ended December 31, 2022, 2021, and 2020,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and Revenue Recognized from Past Performance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2022, the aggregate amount of the transaction price allocated to performance obligations yet to be satisfied is $4.5 million and the Company generally expects to recognize this revenue within the next twelve months. Such amounts primarily relate to the Company’s performance obligations of providing transaction-related advisory services.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recognized revenue of $333.2 million, $313.2 million, and $177.4 million, respectively, during the years ended December 31, 2022, 2021, and 2020, related to performance obligations that were satisfied or partially satisfied in prior periods. These amounts were recognized upon resolution of revenue constraints and uncertainties in the respective current period and generally related to transaction-related advisory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2022 and 2021, the Company recorded $5.0 million and $7.8 million, respectively, for contract liabilities which are presented as Deferred revenue on the Consolidated Statements of Financial Condition. The Company recognized revenue of $5.6 million, $10.6 million and $1.7 million, respectively, for the years ended December 31, 2022, 2021, and 2020, of the respective beginning deferred revenue balance, which was primarily related to transaction-related advisory services that are recognized over time.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allowance for credit losses activity for the years ended December 31, 2022, 2021, and 2020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9"/>
        </w:trPr>
        <w:tc>
          <w:tcPr>
            <w:tcW w:w="63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6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Beginning Balance</w:t>
            </w:r>
            <w:r>
              <w:rPr>
                <w:rFonts w:ascii="Times New Roman" w:cs="Times New Roman" w:eastAsia="Times New Roman" w:hAnsi="Times New Roman"/>
                <w:sz w:val="22"/>
                <w:szCs w:val="22"/>
                <w:color w:val="auto"/>
                <w:vertAlign w:val="superscript"/>
              </w:rPr>
              <w:t>(1)</w:t>
            </w: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r>
      <w:tr>
        <w:trPr>
          <w:trHeight w:val="27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(2,834)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r>
      <w:tr>
        <w:trPr>
          <w:trHeight w:val="27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0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73" w:lineRule="auto"/>
        <w:tabs>
          <w:tab w:leader="none" w:pos="3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balance for the year ended December 31, 2020 includes the cumulative adjustment of approximately $0.2 million which reflects the increase in the Company’s allowance for credit losses upon adoption of Accounting Standards Update 2016-13 on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5—Leases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leases office space and certain office equipment under operating lease agreements. See summary below of significant new leases and lease modifications.</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an increase of $12.9 million and a corresponding increase to the right-of-use asset as well as a $0.1 million gain, which was recognized as Other income (expense) on the Consolidated Statements of Operations.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May 2021, the Company extended the term of its New York office lease by five months, which resulted in an increase to Lease liabilities and a corresponding increase to Right-of-use lease assets of $5.1 million. On July 26, 2021, the Company executed a lease amendment to vacate a portion of its Houston office space, which resulted in a $1.9 million decrease to Right-of-use lease assets, a $2.4 million decrease to Lease liabilities and a $0.5 million gain recorded in Other income (expense) in the Consolidated Statements of Operations.</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During the first half of 2022, the Company entered into amendments to its New York and Los Angeles office leases, as well as a new 12-year lease agreement related to the relocation of the Company’s U.K. office in London. The New York lease amendment extended the term of the lease by approximately 16 years with an expiration of December 31, 2039. The amended term of the Los Angeles lease is scheduled to expire on December 31, 2032. In the second quarter of 2022, the Company’s amended Los Angeles lease commenced and the amended New York lease partially commenced resulting in an increase to Lease liabilities and a corresponding increase to Right-of-use lease assets of $66.3 million. In the third quarter of 2022, the New York lease became fully commenced and the U.K. lease also commenced, which resulted in an additional $62.3 million increase to Lease liabilities and a corresponding increase to Right-of-use lease assets.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information as it relates to the Company’s operating leases is as follows: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0"/>
        </w:trPr>
        <w:tc>
          <w:tcPr>
            <w:tcW w:w="6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19"/>
        </w:trPr>
        <w:tc>
          <w:tcPr>
            <w:tcW w:w="6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1"/>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14.9 years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years</w:t>
            </w:r>
          </w:p>
        </w:tc>
      </w:tr>
      <w:tr>
        <w:trPr>
          <w:trHeight w:val="497"/>
        </w:trPr>
        <w:tc>
          <w:tcPr>
            <w:tcW w:w="6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Borders>
              <w:bottom w:val="single" w:sz="8" w:color="auto"/>
            </w:tcBorders>
          </w:tcPr>
          <w:p>
            <w:pPr>
              <w:spacing w:after="0"/>
              <w:rPr>
                <w:sz w:val="24"/>
                <w:szCs w:val="24"/>
                <w:color w:val="auto"/>
              </w:rPr>
            </w:pPr>
          </w:p>
        </w:tc>
      </w:tr>
      <w:tr>
        <w:trPr>
          <w:trHeight w:val="218"/>
        </w:trPr>
        <w:tc>
          <w:tcPr>
            <w:tcW w:w="6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20,140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19,486</w:t>
            </w: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 operating leases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22,008</w:t>
            </w:r>
          </w:p>
        </w:tc>
        <w:tc>
          <w:tcPr>
            <w:tcW w:w="44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21,689</w:t>
            </w:r>
          </w:p>
        </w:tc>
      </w:tr>
      <w:tr>
        <w:trPr>
          <w:trHeight w:val="25"/>
        </w:trPr>
        <w:tc>
          <w:tcPr>
            <w:tcW w:w="6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6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1"/>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lease obligation</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17,057</w:t>
            </w:r>
          </w:p>
        </w:tc>
        <w:tc>
          <w:tcPr>
            <w:tcW w:w="44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2022, the maturities of undiscounted operating lease liabilities of the Company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2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Operating Leases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Sublease Income</w:t>
            </w:r>
          </w:p>
        </w:tc>
        <w:tc>
          <w:tcPr>
            <w:tcW w:w="180" w:type="dxa"/>
            <w:vAlign w:val="bottom"/>
          </w:tcPr>
          <w:p>
            <w:pPr>
              <w:spacing w:after="0"/>
              <w:rPr>
                <w:sz w:val="20"/>
                <w:szCs w:val="20"/>
                <w:color w:val="auto"/>
              </w:rPr>
            </w:pP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Net Payments</w:t>
            </w: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187,612</w:t>
            </w:r>
          </w:p>
        </w:tc>
        <w:tc>
          <w:tcPr>
            <w:tcW w:w="0" w:type="dxa"/>
            <w:vAlign w:val="bottom"/>
          </w:tcPr>
          <w:p>
            <w:pPr>
              <w:spacing w:after="0"/>
              <w:rPr>
                <w:sz w:val="1"/>
                <w:szCs w:val="1"/>
                <w:color w:val="auto"/>
              </w:rPr>
            </w:pPr>
          </w:p>
        </w:tc>
      </w:tr>
      <w:tr>
        <w:trPr>
          <w:trHeight w:val="265"/>
        </w:trPr>
        <w:tc>
          <w:tcPr>
            <w:tcW w:w="6360" w:type="dxa"/>
            <w:vAlign w:val="bottom"/>
            <w:shd w:val="clear" w:color="auto" w:fill="CCEEFF"/>
          </w:tcPr>
          <w:p>
            <w:pPr>
              <w:ind w:left="20"/>
              <w:spacing w:after="0" w:line="245" w:lineRule="exact"/>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247,033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(81,739)</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3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future lease payments are presented net of expected lease incentives, including landlord contributions to tenant improvements.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17—Related Party Transactions for information regarding the Company’s subleasing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6—Goodwill and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2016 business combination between the Company and Tudor, Pickering, Holt &amp; Co., LLC (the “TPH Business Combination”), the Company recorded goodwill in the amount of $34.4 million. Based on the Company’s quantitative assessment for impairment, no goodwill impairment was recorded during the years ended December 31, 2022, 2021, and 2020.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the detail of the intangible assets that were recognized in conjunction with the TPH Business Combination: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4"/>
                <w:szCs w:val="14"/>
                <w:color w:val="auto"/>
              </w:rPr>
            </w:pPr>
          </w:p>
        </w:tc>
        <w:tc>
          <w:tcPr>
            <w:tcW w:w="1360" w:type="dxa"/>
            <w:vAlign w:val="bottom"/>
          </w:tcPr>
          <w:p>
            <w:pPr>
              <w:jc w:val="right"/>
              <w:ind w:right="192"/>
              <w:spacing w:after="0" w:line="172"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32"/>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200" w:type="dxa"/>
            <w:vAlign w:val="bottom"/>
          </w:tcPr>
          <w:p>
            <w:pPr>
              <w:spacing w:after="0"/>
              <w:rPr>
                <w:sz w:val="20"/>
                <w:szCs w:val="20"/>
                <w:color w:val="auto"/>
              </w:rPr>
            </w:pP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December 31, 2021</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line="165"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4"/>
                <w:szCs w:val="14"/>
                <w:color w:val="auto"/>
              </w:rPr>
            </w:pPr>
          </w:p>
        </w:tc>
        <w:tc>
          <w:tcPr>
            <w:tcW w:w="1360" w:type="dxa"/>
            <w:vAlign w:val="bottom"/>
          </w:tcPr>
          <w:p>
            <w:pPr>
              <w:jc w:val="right"/>
              <w:ind w:right="192"/>
              <w:spacing w:after="0" w:line="165"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38"/>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200" w:type="dxa"/>
            <w:vAlign w:val="bottom"/>
          </w:tcPr>
          <w:p>
            <w:pPr>
              <w:spacing w:after="0"/>
              <w:rPr>
                <w:sz w:val="20"/>
                <w:szCs w:val="20"/>
                <w:color w:val="auto"/>
              </w:rPr>
            </w:pP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intangible assets are amortized over an average useful life of 10 years. Intangible amortization expense was $6.6 million for each of the years ended December 31, 2022, 2021, and 2020, which is included in Depreciation and amortization in the Consolidated Statements of Operations. Amortization of intangible assets held at December 31, 2022 is expected to be $6.6 million for each of the years ending December 31, 2023, 2024, and 2025, and $6.0 million for the year ending December 31, 2026. These intangible assets will be fully amortized by November 30,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7—Regulatory Requirements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has a number of consolidated subsidiaries registered as broker-dealers with regulatory agencies in their respective countries, including the Securities and Exchange Commission (“SEC”), the Financial Industry Regulatory Authority (FINRA), the New Self-Regulatory Organization of Canada (“New SRO,” formerly the Investment Industry Regulatory Organization of Canada or “IIROC”), the Financial Conduct Authority (FCA) of the United Kingdom (the “UK”) and the Autorité de contrôle prudentiel et de resolution (ACPR) of France. None of the SEC regulated subsidiaries hold funds or securities for, or owe money or securities to, clients or carry accounts of or for clients, and as such are all exempt from the SEC Customer Protection Rule (Rule 15c3-3). As of December 31, 2022 and 2021, all regulated subsidiaries were in excess of their applicable capital requirements.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result of the capital requirements and various regulations on these broker dealers, a portion of the capital of each subsidiary of the Company is restricted and may be unavailable to pay its creditors.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8—Fixed Assets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December 31,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r>
      <w:tr>
        <w:trPr>
          <w:trHeight w:val="218"/>
        </w:trPr>
        <w:tc>
          <w:tcPr>
            <w:tcW w:w="8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45,770</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82,348</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(71,639)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(71,986)</w:t>
            </w: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Depreciation expense related to fixed assets was $3.1 million, $6.7 million, and $7.3 million for the years ended December 31, 2022, 2021, and 2020, respectively. Amortization expense related to software development costs was $1.0 million, $1.2 million, and $1.7 million for the years ended December 31, 2022, 2021, and 2020, respectively.</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2022, the Company disposed of certain obsolete assets, substantially all of which were fully depreciated. Substantially all leasehold improvement assets capitalized during the year ended December 31, 2022 were related to build-out projects associated with new or amended office leases in New York, Los Angeles, and the U.K. Refer to Note 5—Leases for further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operations are generally comprised of entities that are organized as limited liability companies and limited partnerships. For U.S. federal income tax purposes, taxes related to income earned by these entities represent obligations of their interest holders. The Company is subject to certain foreign, state and local entity-level taxes (for example, the New York City Unincorporated Business Tax). These taxes have been reflected in the Company’s consolidated financial statements and allocated between the Company and the non-controlling interest holders. In addition, the Company is subject to U.S. corporate federal, state and local income tax on its allocable share of results of operations from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4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The Company’s income (loss) before income taxes is associated with activities in domestic and international jurisdictions, as follows: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The components of Income tax benefit (expense) consist of the following: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5"/>
        </w:trPr>
        <w:tc>
          <w:tcPr>
            <w:tcW w:w="6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income tax</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income tax</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income tax benefit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05"/>
        </w:trPr>
        <w:tc>
          <w:tcPr>
            <w:tcW w:w="6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income tax</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income tax</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benefit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tax rate to the effective income tax rate:</w:t>
      </w:r>
    </w:p>
    <w:p>
      <w:pPr>
        <w:spacing w:after="0" w:line="202"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income tax expense at the federal statutory rate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Partnership income not subject to U.S. corporate income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5"/>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taxes, net of federal benefit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5"/>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5"/>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compensation expense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tax benefits, net of federal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(48.2)%</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effective tax rate is dependent on many factors, including the amount of income subject to tax. Consequently, the effective tax rate can vary from period to period. The Company was not subject to U.S. federal or state corporate income taxes prior to the Business Combination.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Deferred income taxes reflect the net effect of temporary differences between the tax basis of an asset or liability and its reported amount on the Company’s Consolidated Statements of Financial Condition. These temporary differences result in taxable or deductible amounts in future years.</w:t>
      </w:r>
    </w:p>
    <w:p>
      <w:pPr>
        <w:spacing w:after="0" w:line="110" w:lineRule="exact"/>
        <w:rPr>
          <w:sz w:val="20"/>
          <w:szCs w:val="20"/>
          <w:color w:val="auto"/>
        </w:rPr>
      </w:pPr>
    </w:p>
    <w:p>
      <w:pPr>
        <w:ind w:right="540" w:firstLine="318"/>
        <w:spacing w:after="0" w:line="267" w:lineRule="auto"/>
        <w:rPr>
          <w:sz w:val="20"/>
          <w:szCs w:val="20"/>
          <w:color w:val="auto"/>
        </w:rPr>
      </w:pPr>
      <w:r>
        <w:rPr>
          <w:rFonts w:ascii="Times New Roman" w:cs="Times New Roman" w:eastAsia="Times New Roman" w:hAnsi="Times New Roman"/>
          <w:sz w:val="18"/>
          <w:szCs w:val="18"/>
          <w:color w:val="auto"/>
        </w:rPr>
        <w:t>The significant components of deferred tax assets and liabilities included on the Company’s Consolidated Statements of Financial Condition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80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Step-up in tax basis in PWP OpCo assets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31,793</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 tax liability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evaluates the realizability of deferred tax assets on a jurisdictional basis at each reporting date. Accounting for income taxes guidance requires that a valuation allowance be established when it is more likely than not that all or a portion of the deferred tax assets will not be realized. As of December 31, 2022, the Company recorded a valuation allowance of $0.7 million related to certain state income tax credits that the Company does not expect to utilize. As of December 31, 2021, no valuation allowance was recognized. No deferred tax asset has been recorded for the excess tax over book outside basis difference related to the Company’s investment in PWP OpCo as the deferred tax asset is not expected to reverse. The Company believes it is more-likely-than-not that the remaining net deferred tax asset recorded as of December 31, 2022 will be recovered in the future based on all available positive and negative evidence.</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Business Combination resulted in a $16.1 million increase to the Company’s deferred tax asset primarily related to a step-up in the tax basis of certain assets that will be recovered as those assets are amortized. In connection with the step-up in tax basis generated on the day of the Business Combination, the Company recorded a payable of $14.1 million pursuant to the terms of the tax receivable agreement.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Company recorded an increase to the deferred tax asset of $9.5 million related to the step-up in tax basis of PWP OpCo assets in connection with the exchanges of PWP OpCo units for shares of Class A common stock during the year. In connection with the step-up in tax basis generated from the exchanges, the Company increased the Amount due pursuant to tax receivable agreement on the Consolidated Statements of Financial Condition by $8.9 million. The remaining tax benefit is allocable to the Company and is recorded within additional paid-in-capital.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does not have excess book over tax basis in its foreign investments and has therefore not provided a deferred tax liability with respect to an outside basis difference in its investment in foreign subsidiaries.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changes in tax positions for the years ended December 31, 2022, 2021, and 2020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unrecognized tax benefit</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10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unrecognized tax benefit</w:t>
            </w:r>
          </w:p>
        </w:tc>
        <w:tc>
          <w:tcPr>
            <w:tcW w:w="104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classifies interest relating to tax matters and tax penalties as components of Income tax benefit (expense) in its Consolidated Statements of Operations. As of December 31, 2022 and 2021, there were $4.7 million and $6.1 million, respectively, of unrecognized tax benefits that, if recognized, would affect the effective tax rate. For the years ended December 31, 2022, 2021, and 2020, no material amounts of interest or penalties were recognized with respect to unrecognized tax positions.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local and foreign jurisdictions. As of December 31, 2022, the Company is not generally subject to examination by the tax authorities in these jurisdictions for years before 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a revolving credit facility (the “Revolving Credit Facility”) through a credit agreement with Cadence Bank, N.A. (“Cadence Bank”), dated November 30, 2016 (as amended, the “Credit Agreement”), with an available line of credit of $50.0 million.</w:t>
      </w:r>
    </w:p>
    <w:p>
      <w:pPr>
        <w:spacing w:after="0" w:line="1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Upon consummation of the Business Combination, the Company repaid all of the outstanding borrowings under the Credit Agreement, which included $27.7 million of principal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a commitment fee of 0.25% on any unused portion of the $50.0 million line of credit is due quarterly, (iv) up to $15.0 million of the Revolving Credit Facility may be used for the issuance of letters of credit, (v) up to $20.0 million of incremental revolving commitments may be incurred under the Credit Agreement, and (vi) certain financial covenants were amended. The Credit Agreement provides that the benchmark of LIBOR will be replaced with a SOFR-based rate on or prior to the date that the LIBOR benchmark is unavailable.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Prior to the Business Combination, the weighted average interest rate for the Revolving Credit Facility was 2.62% for the period from January 1, 2021 through June 24, 2021 (the Closing Date) and 3.02% for the year ended December 31, 2020. The effective interest rate of the Revolving Credit Facility taking into account $1.8 million in issuance costs was 3.7% for the period from January 1, 2021 through June 24, 2021 and 3.9% and for the year ended December 31, 2020. The amendment that occurred with the Business Combination was accounted for as a modification, and therefore, the unamortized original debt issuance costs as well as the additional $0.4 million in fees incurred to amend the facility are being amortized using the effective interest method to Interest expense over the amended remaining term of the Revolving Credit Facility. As of December 31, 2022 and 2021, there were no outstanding borrowings under the Revolving Credit Facility, and as such, unamortized debt issuance costs of $0.4 million and $0.5 million, respectively, are reported within Prepaid expenses and other assets on the Consolidated Statements of Financial Position. Interest expense related to the Revolving Credit Facility was $0.3 million, $0.7 million, and $1.6 million during the years ended December 31, 2022, 2021, and 2020,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 Outstanding Prior to the Business Combination</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2016, the Company issued 7.0% subordinated unsecured convertible notes with an aggregate principal amount of $150.0 million (the “Convertible Notes”). Prior to the Business Combination, each holder of Convertible Notes (each herein referred to as a “Holder”) had the right to convert all or a portion of their Convertible Notes into the Company’s common units at the conversion rate, plus an amount in cash equal to accrued and unpaid interest. The optional conversion was evaluated and deemed to be both beneficial and significant to require separation. The estimated intrinsic value of the beneficial conversion feature (“BCF”) was determined to be $32.7 million. The recognition of the BCF created a discount on the Convertible Notes with an offsetting increase to Partners’ capital.</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 $28.5 million of unamortized debt discount and issuance costs.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 effective interest rate of the Convertible Notes, considering the cash coupon rate of 7.0% as well as amortization of the BCF discount, debt discount and issuance costs, was 11.95% for the period from January 1, 2021 through June 24, 2021 (the date such Convertible Notes were redeemed) and 11.95% for the year ended December 31, 2020. The aggregate interest expense related to the Convertible Notes was $6.9 million, and $14.1 million during the years ended December 31, 2021 and 2020,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11—Stockholders' 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 Holders of Class A common stock vote together with holders of Class B common stock as a single class on all matters submitted to the stockholders for their vote or approval, except as required by applicable law. Shares of Class A common stock as well as Class B common stock are not subject to any conversion rights and do not have preemptive or subscription rights.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2021, the Company had 7,869,975 warrants outstanding, all of which were exchanged for shares of Class A common stock during the third quarter of 2022. As of December 31, 2022, no warrants remained outstanding. See Note 12—Warrants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Company’s Board of Directors declared cash dividends of $0.28 per share and $0.14 per share, of Class A common stock, respectively, totaling $17.9 million and $8.7 million, respectively, including dividends paid, accrued dividends and dividend equivalent units on unvested PWP Incentive Plan Awards (as defined in Note 13—Equity-Based Compensation). Holders of Class B common stock also receive dividends equal to the amount of dividends declared on 0.001 shares of Class A common stock, and such dividends are included in the aforementioned total dividends declared.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 During the year ended December 31, 2022, the Company purchased 9,544,016 shares, at an average price per share of $7.20, resulting in an increase of $68.7 million, at cost, to Treasury stock on the Company’s Consolidated Statement of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Non-controlling interests represents the ownership interests in PWP OpCo held by holders other than Perella Weinberg Partners. As of December 31, 2022 and 2021, Professional Partners and the ILPs own 44,563,877 and 50,154,199 PWP OpCo Units, respectively, which represent a 51.61% and 54.01% non-controlling ownership interest in PWP OpCo, respectively. These PWP OpCo Units are exchangeable into PWP Class A common stock on a one-for-one basis. See further discussion of exchange rights and exchange activity below. Class B-1 and Class B-2 common stock have de minimis economic rights.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connection with the Closing, the Company entered into a registration rights agreement among the Sponsor, Professional Partners and the ILPs pursuant to which the Company was required to file with the SEC a registration statement pursuant to Rule 415 under the Securities Act of 1933, as amended (the “Securities Act”) registering the resale of certain shares of its Class A common stock and certain of its other equity securities, which was filed by the Company with the SEC on July 15, 2021. On July 7, 2022, the Company filed a post-effective amendment to the registration statement on Form S-3 for the purpose of converting the prior registration statement on Form S-1 into a registration statement on Form S-3. The Company bears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Share Surrender and Share Restriction Agreement</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Concurrent with the Business Combination Agreement, FTIV, PWP OpCo and certain other parties entered into the Surrender Agreement with the Sponsor, which was amended on May 4, 2021, under which the founder shares owned by the Sponsor as of the Closing and certain shares of Class A common stock purchased by the Sponsor as part of private placement units in connection with FTIV’s initial public offering were subject to transfer restrictions for six months following the Closing of the Business Combination, or until December 24, 2021, and certain of the founder shares owned by the Sponsor as of the Closing continue to be subject to transfer restrictions that lapse in tranches based on share price targets or the 10 year anniversary, whichever occurs first. On January 7, 2022, the Sponsor distributed 5,456,667 shares of Class A common stock to its members (the “Sponsor Distribution”), after which the Sponsor owned 1,000,000 founder shares. The 1,000,000 founder shares retained by the Sponsor and 1,738,680 of the founder shares distributed in the Sponsor Distribution remain subject to the transfer restrictions referred to above.</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or its permitted transferees, as applicable, up to an aggregate of 1,000,000 founder shares per Trigger Date for a purchase price of $12.00 per share or $15.00 per share, respectively, by providing written notice of such repurchase election to the Sponsor or its permitted transferees, as applicable.</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9, 2021, the Company repurchased 1,000,000 founder shares from the Sponsor at a purchase price of $12.00 per share for a total purchase price of $12.0 million. The share repurchase was recorded to Treasury stock, at cost, on our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Agreement</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of Directors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1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for so long as the 10% Condition is met, the Board of Directors may not approve, absent the prior consent of Professional Partners, a number of ordinary course operating activities in respect of the Company, PWP OpCo and PWP OpCo’s subsidiaries.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OpCo Limited Partnership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and Voting and Economic Rights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Rights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the Company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Units held by ILPs existing at the time of the Business Combination were subject to such restriction for 180 days after the Closing, which expired on December 24, 2021, and (iii) any other outstanding PWP OpCo Units not previously covered by clauses (i) and (ii) above are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January 21, 2022, the Company closed a follow-on public offering of 3,502,033 shares of Class A common stock (the “Offering”) at a public offering price of $10.75 per share for total gross proceeds of $37.6 million, before deducting underwriting discounts and commissions. All proceeds from the Offering, net of the underwriting discounts and commissions of $0.32 per share or an aggregate of $1.1 million, were used by the Company to settle an exchange of certain PWP OpCo Units and certain shares of Class B common stock. Under the terms of the underwriting agreement, directors, officers and certain significant shareholders signed customary lockup agreements with respect to their ownership of Class A common stock. Total deferred offering costs of $1.3 million for the Offering were netted against the proceeds of the offering in Additional paid-in-capital on the Consolidated Statements of Financial Condition.</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February 28, 2022, May 31, 2022, September 6, 2022, and December 1, 2022 the Company settled exchanges of certain PWP OpCo Units and certain shares of Class B common stock for 337,048, 629,591, 764,873 and 362,362 shares of Class A common stock, respectively.</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exchanges created a step-up in tax basis for which the Company recorded on the Consolidated Statements of Financial Condition an increase in Deferred tax assets, net, as well as a related increase in Amounts due pursuant to tax receivable agreement resulting in a net increase to Additional paid-in-capital.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August 23, 2022, the Company concluded an offer to holders of its outstanding warrants which provided such holders the opportunity to receive 0.20 shares of the Company’s Class A common stock in exchange for each warrant tendered by such holders. This offer coincided with a solicitation of consents from holders of the public warrants to amend the warrant agreement (together, the “Warrant Exchange Offer”). As a result, 7,388,071 public warrants and 80,456 private warrants were exchanged, collectively, for 1,493,688 shares of the Company’s Class A common stock, with a minimal cash settlement in lieu of partial shares. Subsequently, as a result of the warrant amendment, each remaining outstanding warrant was converted into 0.18 shares of Class A common stock for a total of 72,260 shares of the Company’s Class A common stock with a minimal cash settlement in lieu of partial shares, and subsequently, no warrants remained outstanding.</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incurred $1.3 million of costs directly related to the Warrant Exchange Offer, consisting primarily of dealer manager fees and professional, legal, printing, filing, regulatory, and other costs. The costs were recorded in Professional fees on the Consolidated Statements of Operations as the transactions did not generate any proceeds to the Company and therefore the costs did not qualify to be deferred or charged to Additional paid-in-capital. Immediately prior to exchange, the warrants were marked to fair value on the respective date of settlement, which was recorded within Change in fair value of warrant liabilities on the Consolidated Statements of Operations. Upon exchange, the warrant liabilities were removed from the Consolidated Statements of Financial Condition and the issuance of shares of Class A common stock was reflected within equity. No public or private warrants remained outstanding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to Warrant Exchange</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Prior to the Warrant Exchange Offer, each warrant entitled the registered holder to purchase one share of Class A common stock at an exercise price of $11.50 per share. The warrants met the definition of a derivative under Accounting Standards Codification (“ASC”) Topic 815, Derivatives and Hedging, and as such, the Company recorded these warrants as liabilities at fair value upon the closing of the Business Combination in accordance with ASC Topic 820, Fair Value Measurement, with subsequent changes in their respective fair values recorded in Change in fair value of warrant liabilities on the Consolidated Statements of Operations. See Note 16—Fair Value Measurements and Investments for descriptions of the valuation methodology and further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13—Equity-Based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16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(“PWP Incentive Plan Awards”). Under the PWP Incentive Plan, the Company may grant options, stock appreciation rights, restricted stock, restricted stock units (“RSUs”), performance restricted stock units (“PSUs”), stock bonuses, other stock-based awards, cash awards or any combination of the foregoing. The PWP Incentive Plan established a reserve for a one-time grant of awards that occurred in connection with the Business Combination (the “Transaction Pool Reserve”) as well as a reserve for general purpose grants (the “General Share Reserve”). The maximum aggregate number of shares of Class A common stock reserved for issuance from the General Share Reserve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the last day of the immediately preceding fiscal year, over (ii) the number of shares of Class A common stock reserved and available for issuance in respect to future grants of awards under the PWP Incentive Plan as of the last day of the immediately preceding fiscal year. The Company uses newly issued shares of Class A common stock to satisfy vested awards under the PWP Incentive Plan, with the exception of vested awards for certain employees in France which are issued out of the Company’s shares of treasury stock. Awards granted from the General Share Reserve that are subsequently forfeited, cancelled, exchanged, surrendered, terminated or expired are available for future grant. However, awards granted from the Transaction Pool Reserve that are subsequently forfeited, cancelled, exchanged, surrendered, terminated or expired are not available for future grant. As of December 31, 2022, 7,733,628 total shares remained reserved and available for future issuance under the PWP Incentive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 Awards</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third quarter of 2021, in connection with the Business Combination, the Company granted awards in the form of (i) restricted stock units out of the Transaction Pool Reserve consisting of (a) PSUs that only vest upon the achievement of both service and market conditions (“Transaction Pool PSUs”) and (b) RSUs that vest upon the achievement of service conditions (“Transaction Pool RSUs”) as well as (ii) PSUs out of the General Share Reserve to certain executives that vest upon the achievement of both service and market conditions (“Long-Term Incentive Awards”).</w:t>
      </w:r>
    </w:p>
    <w:p>
      <w:pPr>
        <w:spacing w:after="0" w:line="17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Transaction Pool PSUs</w:t>
      </w:r>
      <w:r>
        <w:rPr>
          <w:rFonts w:ascii="Times New Roman" w:cs="Times New Roman" w:eastAsia="Times New Roman" w:hAnsi="Times New Roman"/>
          <w:sz w:val="18"/>
          <w:szCs w:val="18"/>
          <w:color w:val="auto"/>
        </w:rPr>
        <w:t>—The service condition requirement with respect to the Transaction Pool PSUs is generally satisfied over three to five years,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December 31, 2022, the $12 and $13.50 market condition requirements were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balance of unvested Transaction Pool PSUs and activity during the year ended December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2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Transaction Pool PSUs</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178"/>
        </w:trPr>
        <w:tc>
          <w:tcPr>
            <w:tcW w:w="8020" w:type="dxa"/>
            <w:vAlign w:val="bottom"/>
          </w:tcPr>
          <w:p>
            <w:pPr>
              <w:spacing w:after="0"/>
              <w:rPr>
                <w:sz w:val="15"/>
                <w:szCs w:val="15"/>
                <w:color w:val="auto"/>
              </w:rPr>
            </w:pPr>
          </w:p>
        </w:tc>
        <w:tc>
          <w:tcPr>
            <w:tcW w:w="15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72"/>
              <w:spacing w:after="0" w:line="178"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2"/>
                <w:szCs w:val="22"/>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3,076,297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dividend equivalent units that have been awarded in the form of additional Transaction Pool PSUs that were granted from the General Share Reserve.</w:t>
      </w:r>
    </w:p>
    <w:p>
      <w:pPr>
        <w:spacing w:after="0" w:line="15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weighted-average grant date fair value of the Transaction Pool PSUs granted during the year ended December 31, 2021 was $12.74 per award. The total fair value of Transaction Pool PSUs that vested during each of the years ended December 31, 2022 and 2021 was nominal. As of December 31, 2022, total unrecognized compensation expense related to unvested Transaction Pool PSUs was $25.3 million, which is expected to be recognized over a weighted average period of 2.7 years.</w:t>
      </w:r>
    </w:p>
    <w:p>
      <w:pPr>
        <w:spacing w:after="0" w:line="12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8"/>
          <w:szCs w:val="18"/>
          <w:color w:val="auto"/>
        </w:rPr>
        <w:t>The Company estimated the fair value of the Transaction Pool PSUs on the grant date using a Monte-Carlo simulation valuation model with the following assumptions:</w:t>
      </w:r>
    </w:p>
    <w:p>
      <w:pPr>
        <w:sectPr>
          <w:pgSz w:w="11900" w:h="16838" w:orient="portrait"/>
          <w:cols w:equalWidth="0" w:num="1">
            <w:col w:w="11240"/>
          </w:cols>
          <w:pgMar w:left="320" w:top="119" w:right="339" w:bottom="1440" w:gutter="0" w:footer="0" w:header="0"/>
        </w:sect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7134860" cy="1854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8542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76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Volatility factor </w:t>
      </w:r>
      <w:r>
        <w:rPr>
          <w:rFonts w:ascii="Times New Roman" w:cs="Times New Roman" w:eastAsia="Times New Roman" w:hAnsi="Times New Roman"/>
          <w:sz w:val="22"/>
          <w:szCs w:val="22"/>
          <w:color w:val="auto"/>
          <w:vertAlign w:val="superscript"/>
        </w:rPr>
        <w:t>(1)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2"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historical peer company volatility.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6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0.93 %</w:t>
      </w:r>
    </w:p>
    <w:p>
      <w:pPr>
        <w:spacing w:after="0" w:line="7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2.00 %</w:t>
      </w:r>
    </w:p>
    <w:p>
      <w:pPr>
        <w:spacing w:after="0" w:line="7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32.90 %</w:t>
      </w:r>
    </w:p>
    <w:p>
      <w:pPr>
        <w:spacing w:after="0" w:line="664" w:lineRule="exact"/>
        <w:rPr>
          <w:sz w:val="20"/>
          <w:szCs w:val="20"/>
          <w:color w:val="auto"/>
        </w:rPr>
      </w:pPr>
    </w:p>
    <w:p>
      <w:pPr>
        <w:sectPr>
          <w:pgSz w:w="11900" w:h="16838" w:orient="portrait"/>
          <w:cols w:equalWidth="0" w:num="2">
            <w:col w:w="9180" w:space="720"/>
            <w:col w:w="1340"/>
          </w:cols>
          <w:pgMar w:left="320" w:top="119" w:right="339" w:bottom="1440" w:gutter="0" w:footer="0" w:header="0"/>
          <w:type w:val="continuous"/>
        </w:sectPr>
      </w:pP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Transaction Pool RSUs</w:t>
      </w:r>
      <w:r>
        <w:rPr>
          <w:rFonts w:ascii="Times New Roman" w:cs="Times New Roman" w:eastAsia="Times New Roman" w:hAnsi="Times New Roman"/>
          <w:sz w:val="18"/>
          <w:szCs w:val="18"/>
          <w:color w:val="auto"/>
        </w:rPr>
        <w:t>—The Transaction Pool RSUs generally vest in equal annual installments over the requisite service period of three years.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balance of unvested Transaction Pool RSUs and activity during the year ended December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2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Transaction Pool RSUs</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172"/>
        </w:trPr>
        <w:tc>
          <w:tcPr>
            <w:tcW w:w="8020" w:type="dxa"/>
            <w:vAlign w:val="bottom"/>
          </w:tcPr>
          <w:p>
            <w:pPr>
              <w:spacing w:after="0"/>
              <w:rPr>
                <w:sz w:val="14"/>
                <w:szCs w:val="14"/>
                <w:color w:val="auto"/>
              </w:rPr>
            </w:pPr>
          </w:p>
        </w:tc>
        <w:tc>
          <w:tcPr>
            <w:tcW w:w="15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72"/>
              <w:spacing w:after="0" w:line="172"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5,450,604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2"/>
                <w:szCs w:val="22"/>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2,589,976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dividend equivalent units that have been awarded in the form of additional Transaction Pool RSUs that were granted from the General Share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weighted-average grant date fair value of the Transaction Pool RSUs granted during the year ended December 31, 2021 was $13.97 per award, which was based on the PWP stock price on the date of grant. The total fair value of Transaction Pool RSUs that vested during the years ended December 31, 2022 and 2021 was $16.2 million and $20.1 million, respectively. As of December 31, 2022, total unrecognized compensation expense related to unvested Transaction Pool RSUs was $27.7 million, which is expected to be recognized over a weighted average period of 1.8 years.</w:t>
      </w:r>
    </w:p>
    <w:p>
      <w:pPr>
        <w:spacing w:after="0" w:line="17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Long-Term Incentive Awards</w:t>
      </w:r>
      <w:r>
        <w:rPr>
          <w:rFonts w:ascii="Times New Roman" w:cs="Times New Roman" w:eastAsia="Times New Roman" w:hAnsi="Times New Roman"/>
          <w:sz w:val="18"/>
          <w:szCs w:val="18"/>
          <w:color w:val="auto"/>
        </w:rPr>
        <w:t>—The service condition requirement with respect to the Long-Term Incentive Awards is generally satisfied in two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installments subject to continued employment on the third and fifth anniversaries of the grant date. The market condition is satisfied upon the achievement of closing stock prices equal to $15, $20, $25 and $30 for any 20 trading days out of any 30 consecutive trading days prior to the fifth anniversary of the grant date, as measured on the last calendar day of each month. The market condition is satisfied with respect to 30% of each award at the $15 closing stock price, 65% of each award at the $20 closing stock price, 82.5% of each award at the $25 closing stock price, and 100% of each award at the $30 closing stock price, subject to linear interpolation between the applicable price points.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balance of unvested Long-Term Incentive Awards and activity during the year ended December 31, 2022:</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2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Long-Term Incentive Awards</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178"/>
        </w:trPr>
        <w:tc>
          <w:tcPr>
            <w:tcW w:w="8020" w:type="dxa"/>
            <w:vAlign w:val="bottom"/>
          </w:tcPr>
          <w:p>
            <w:pPr>
              <w:spacing w:after="0"/>
              <w:rPr>
                <w:sz w:val="15"/>
                <w:szCs w:val="15"/>
                <w:color w:val="auto"/>
              </w:rPr>
            </w:pPr>
          </w:p>
        </w:tc>
        <w:tc>
          <w:tcPr>
            <w:tcW w:w="15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72"/>
              <w:spacing w:after="0" w:line="178"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0" w:type="dxa"/>
            <w:vAlign w:val="bottom"/>
          </w:tcPr>
          <w:p>
            <w:pPr>
              <w:spacing w:after="0"/>
              <w:rPr>
                <w:sz w:val="1"/>
                <w:szCs w:val="1"/>
                <w:color w:val="auto"/>
              </w:rPr>
            </w:pPr>
          </w:p>
        </w:tc>
      </w:tr>
      <w:tr>
        <w:trPr>
          <w:trHeight w:val="2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7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weighted-average grant date fair value of the Long-Term Incentive Awards granted during the year ended December 31, 2021 was $9.55 per award. No Long-Term Incentive Awards vested during the years ended December 31, 2022 or 2021. As of December 31, 2022, total unrecognized compensation expense related to unvested Long-Term Incentive Awards was $55.4 million, which is expected to be recognized over a weighted average period of 2.8 years.</w:t>
      </w:r>
    </w:p>
    <w:p>
      <w:pPr>
        <w:spacing w:after="0" w:line="106"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8"/>
          <w:szCs w:val="18"/>
          <w:color w:val="auto"/>
        </w:rPr>
        <w:t>The Company estimated the fair value of the Long-Term Incentive Awards on the grant date using a Monte-Carlo simulation valuation model with the following assumptions:</w:t>
      </w:r>
    </w:p>
    <w:p>
      <w:pPr>
        <w:sectPr>
          <w:pgSz w:w="11900" w:h="16838" w:orient="portrait"/>
          <w:cols w:equalWidth="0" w:num="1">
            <w:col w:w="11240"/>
          </w:cols>
          <w:pgMar w:left="320" w:top="119" w:right="339" w:bottom="1440" w:gutter="0" w:footer="0" w:header="0"/>
        </w:sect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7134860" cy="1854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18542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76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Volatility factor </w:t>
      </w:r>
      <w:r>
        <w:rPr>
          <w:rFonts w:ascii="Times New Roman" w:cs="Times New Roman" w:eastAsia="Times New Roman" w:hAnsi="Times New Roman"/>
          <w:sz w:val="22"/>
          <w:szCs w:val="22"/>
          <w:color w:val="auto"/>
          <w:vertAlign w:val="superscript"/>
        </w:rPr>
        <w:t>(1)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historical peer company volatility.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6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0.77 %</w:t>
      </w:r>
    </w:p>
    <w:p>
      <w:pPr>
        <w:spacing w:after="0" w:line="7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2.00 %</w:t>
      </w:r>
    </w:p>
    <w:p>
      <w:pPr>
        <w:spacing w:after="0" w:line="7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32.41 %</w:t>
      </w:r>
    </w:p>
    <w:p>
      <w:pPr>
        <w:spacing w:after="0" w:line="985" w:lineRule="exact"/>
        <w:rPr>
          <w:sz w:val="20"/>
          <w:szCs w:val="20"/>
          <w:color w:val="auto"/>
        </w:rPr>
      </w:pPr>
    </w:p>
    <w:p>
      <w:pPr>
        <w:sectPr>
          <w:pgSz w:w="11900" w:h="16838" w:orient="portrait"/>
          <w:cols w:equalWidth="0" w:num="2">
            <w:col w:w="9180" w:space="720"/>
            <w:col w:w="1340"/>
          </w:cols>
          <w:pgMar w:left="320" w:top="119" w:right="339" w:bottom="1440" w:gutter="0" w:footer="0" w:header="0"/>
          <w:type w:val="continuous"/>
        </w:sect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31, 2021, the Company granted RSU awards out of the General Share Reserve that vest upon the achievement of service conditions (the “General RSUs”). The Company expects to grant General RSUs from time to time in the ordinary course of business. The General RSUs vest over the requisite service period, which is generally one to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balance of unvested General RSUs and activity during the year ended December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8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8"/>
                <w:szCs w:val="18"/>
                <w:b w:val="1"/>
                <w:bCs w:val="1"/>
                <w:color w:val="auto"/>
              </w:rPr>
              <w:t>General RSUs</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178"/>
        </w:trPr>
        <w:tc>
          <w:tcPr>
            <w:tcW w:w="778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52"/>
              <w:spacing w:after="0" w:line="178"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2"/>
        </w:trPr>
        <w:tc>
          <w:tcPr>
            <w:tcW w:w="77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0" w:type="dxa"/>
            <w:vAlign w:val="bottom"/>
          </w:tcPr>
          <w:p>
            <w:pPr>
              <w:spacing w:after="0"/>
              <w:rPr>
                <w:sz w:val="1"/>
                <w:szCs w:val="1"/>
                <w:color w:val="auto"/>
              </w:rPr>
            </w:pPr>
          </w:p>
        </w:tc>
      </w:tr>
      <w:tr>
        <w:trPr>
          <w:trHeight w:val="27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7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2"/>
                <w:szCs w:val="22"/>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6,983,355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7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7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9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7,144,227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dividend equivalent units that have been awarded in the form of additional General RSUs that were granted from the General Share Reserve.</w:t>
      </w:r>
    </w:p>
    <w:p>
      <w:pPr>
        <w:spacing w:after="0" w:line="15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weighted-average grant date fair value of the General RSUs granted during the year ended December 31, 2021 was $13.76 per award, which was based on the PWP stock price on the date of grant. The total fair value of General RSUs that vested during the year ended December 31, 2022 was $6.5 million and was a nominal amount for the year ended December 31, 2021. As of December 31, 2022, total unrecognized compensation expense related to unvested General RSUs was $46.8 million which is expected to be recognized over a weighted average period of 2.1 years.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and Dividend Equivalent Rights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Grantees of the Company’s PWP Incentive Plan Awards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Grantees receive dividends in the form of cash when the underlying shares are issued, with the exception of certain employees in France and Canada who receive dividend equivalent units in the form of award grants that match the underlying award from which the dividends were generated. These additional dividend equivalent awards are issued out of the Company’s shares of treasury stock for employees in France and granted from the General Share Reserve for employees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Awards and Professional Partners Awards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Partner Awards</w:t>
      </w:r>
    </w:p>
    <w:p>
      <w:pPr>
        <w:spacing w:after="0" w:line="16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Prior to the Business Combination, Professional Partners granted certain equity-based awards to partners providing services to PWP OpCo (the “Legacy Awards”). 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Topic 718, Compensation—Stock Compensation, with the cost reflected in Equity-based compensation over the requisite service period. The Company will continue to amortize the unrecognized cost associated with the Legacy Awards over its original vesting schedule. The $301.5 million grant-date fair value of the Professional Partners Awards is based on the closing price of PWP Class A common stock on the date of grant as units in Professional Partners are ultimately exchangeable into shares of PWP Class A common stock on a one-for-one basis.</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Consolidated Statements of Operations and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2022, there was $206.2 million of unrecognized compensation expense related to unvested Professional Partners Awards, which is expected to be recognized over a weighted-average period of 3.4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Legacy Awards Prior to Business Combination</w:t>
      </w:r>
    </w:p>
    <w:p>
      <w:pPr>
        <w:spacing w:after="0" w:line="16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During the year ended December 31, 2020, Professional Partners granted Legacy Awards with a grant date fair value of $6.4 million and a vesting term of one year. The fair value of these awards was estimated using the income approach and assumed a range of discount rates between 3.8% and 11.2%. During the year ended December 31, 2021, Professional Partners granted Legacy Awards with a vesting term of one year and a grant date fair value of $9.3 million, which was estimated using the income approach and assume a range of discount rates between 2.0% and 9.8%. Under the income approach, fair value is determined by converting future projected cash flows to a single present value amount (discounted) using current expectations about those future cash flows.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2020, the Company modified certain Legacy Awards that were granted in 2016 by extending the vesting period and changing certain vesting provisions regarding termination, resignation or death/disability. The awards were considered probable of vesting both prior to and post modification and therefore the modification was considered a Type 1 modification. The award value at the time of modification was determined to be less than the original grant date fair value and as a result no additional compensation expense was recognized due to the modification. Additionally, the Company elected to continue to recognize Equity-based compensation expense over the original vesting period.</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Legacy Awards were cancelled in connection with the Business Combination, but the Company will continue to amortize the unrecognized cost associated with the Legacy Awards over the original vesting schedule. As of December 31, 2022, there was $9.7 million of unrecognized compensation cost associated with the Legacy Awards that is expected to be recognized over a weighted-average period of 0.8 years.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expense related to awards that were recorded in Professional fees and components of Equity-based compensation included on the Consolidated Statements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Professional fees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5"/>
        </w:trPr>
        <w:tc>
          <w:tcPr>
            <w:tcW w:w="6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Professional fees</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Legacy Awards </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Professional Partners Awards </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2"/>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96,330</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of equity-based awards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0" w:hanging="314"/>
        <w:spacing w:after="0" w:line="267" w:lineRule="auto"/>
        <w:tabs>
          <w:tab w:leader="none" w:pos="3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14—Other Compensation and Benefits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Compensation and benefits includes, but is not limited to, salaries, bonuses (discretionary awards and guaranteed amounts), severance, deferred compensation, benefits and payroll taxes. In all instances, compensation expense is accrued over the requisite service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Programs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Consolidated Statements of Financial Condition.</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Deferred compensation liabilities will be paid at various intervals through 2023 and are presented within Deferred compensation programs on the Consolidated Statements of Financial Condition. During the year ended December 31, 2022, the Company settled $8.5 million of the deferred compensation liability, of which $2.6 million was settled through a reduction of certain partners’ outstanding promissory notes and interest receivable. Refer to Note 17— Related Party Transactions for more information. There were no forfeitures during the years ended December 31, 2022, 2021, and 2020. Compensation expenses related to these deferred compensation plans was $0.2 million, $1.1 million and $5.8 million for the years ended December 31, 2022, 2021, and 2020, respectively, and are presented within Compensation and benefits in the Consolidated Statements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employees participate in employee benefit plans, which consists of defined contribution plans including (i) profit-sharing plans qualified under Section 401(k) of the Internal Revenue Code, (ii) a UK pension scheme for UK employees and (iii) a Germany pension plan for employees in Germany.</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2022, 2021 and 2020, expenses related to the Company’s employee benefit plans were $5.8 million, $5.0 million, and $4.5 million, respectively, and are included in Compensation and benefits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15—Net Income (Loss) Per Share Attributable to Class A Common Shareholders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analyzed the calculation of net income (loss) per share for periods prior to the Business Combination on June 24, 2021 and determined that it resulted in values that would not be meaningful to the users of the consolidated financial statements. Therefore, net income (loss) per share information has not been presented for periods prior to the Business Combination. The basic and diluted net income (loss) per share attributable to Class A common shareholders for the year ended December 31, 2021, as presented on the Consolidated Statements of Operations, represent only the period after the Business Combination to December 31, 2021.</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calculations of basic and diluted net income (loss) per share attributable to Class A common shareholders are presented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60" w:type="dxa"/>
            <w:vAlign w:val="bottom"/>
          </w:tcPr>
          <w:p>
            <w:pPr>
              <w:spacing w:after="0"/>
              <w:rPr>
                <w:sz w:val="19"/>
                <w:szCs w:val="19"/>
                <w:color w:val="auto"/>
              </w:rPr>
            </w:pPr>
          </w:p>
        </w:tc>
        <w:tc>
          <w:tcPr>
            <w:tcW w:w="2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19"/>
                <w:szCs w:val="19"/>
                <w:color w:val="auto"/>
              </w:rPr>
            </w:pPr>
          </w:p>
        </w:tc>
        <w:tc>
          <w:tcPr>
            <w:tcW w:w="19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For the period from June 24,</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52"/>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2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2021 through December 31, 2021</w:t>
            </w:r>
          </w:p>
        </w:tc>
        <w:tc>
          <w:tcPr>
            <w:tcW w:w="0" w:type="dxa"/>
            <w:vAlign w:val="bottom"/>
          </w:tcPr>
          <w:p>
            <w:pPr>
              <w:spacing w:after="0"/>
              <w:rPr>
                <w:sz w:val="1"/>
                <w:szCs w:val="1"/>
                <w:color w:val="auto"/>
              </w:rPr>
            </w:pPr>
          </w:p>
        </w:tc>
      </w:tr>
      <w:tr>
        <w:trPr>
          <w:trHeight w:val="205"/>
        </w:trPr>
        <w:tc>
          <w:tcPr>
            <w:tcW w:w="70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basic</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0" w:type="dxa"/>
            <w:vAlign w:val="bottom"/>
          </w:tcPr>
          <w:p>
            <w:pPr>
              <w:spacing w:after="0"/>
              <w:rPr>
                <w:sz w:val="1"/>
                <w:szCs w:val="1"/>
                <w:color w:val="auto"/>
              </w:rPr>
            </w:pPr>
          </w:p>
        </w:tc>
      </w:tr>
      <w:tr>
        <w:trPr>
          <w:trHeight w:val="278"/>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Dilutive effect from assumed exchange of PWP OpCo Units, net of tax</w:t>
            </w: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0" w:type="dxa"/>
            <w:vAlign w:val="bottom"/>
          </w:tcPr>
          <w:p>
            <w:pPr>
              <w:spacing w:after="0"/>
              <w:rPr>
                <w:sz w:val="1"/>
                <w:szCs w:val="1"/>
                <w:color w:val="auto"/>
              </w:rPr>
            </w:pPr>
          </w:p>
        </w:tc>
      </w:tr>
      <w:tr>
        <w:trPr>
          <w:trHeight w:val="29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diluted</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basic</w:t>
            </w: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43,837,640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42,595,712</w:t>
            </w:r>
          </w:p>
        </w:tc>
        <w:tc>
          <w:tcPr>
            <w:tcW w:w="0" w:type="dxa"/>
            <w:vAlign w:val="bottom"/>
          </w:tcPr>
          <w:p>
            <w:pPr>
              <w:spacing w:after="0"/>
              <w:rPr>
                <w:sz w:val="1"/>
                <w:szCs w:val="1"/>
                <w:color w:val="auto"/>
              </w:rPr>
            </w:pPr>
          </w:p>
        </w:tc>
      </w:tr>
      <w:tr>
        <w:trPr>
          <w:trHeight w:val="278"/>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Weighted average number of incremental shares from assumed exchange of PWP OpCo Units</w:t>
            </w: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45,917,992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50,154,199</w:t>
            </w:r>
          </w:p>
        </w:tc>
        <w:tc>
          <w:tcPr>
            <w:tcW w:w="0" w:type="dxa"/>
            <w:vAlign w:val="bottom"/>
          </w:tcPr>
          <w:p>
            <w:pPr>
              <w:spacing w:after="0"/>
              <w:rPr>
                <w:sz w:val="1"/>
                <w:szCs w:val="1"/>
                <w:color w:val="auto"/>
              </w:rPr>
            </w:pPr>
          </w:p>
        </w:tc>
      </w:tr>
      <w:tr>
        <w:trPr>
          <w:trHeight w:val="29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diluted</w:t>
            </w:r>
          </w:p>
        </w:tc>
        <w:tc>
          <w:tcPr>
            <w:tcW w:w="48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89,755,632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92,749,911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 shareholders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7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potential dilutive effect of unvested PWP Incentive Plan Awards and outstanding warrants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 To the extent the warrants were dilutive prior to the Warrant Exchange Offer, the Company adjusted the net income (loss) attributable to Class A common shareholders under the treasury stock method to reverse the effect on earnings of classifying the warrants as liabilities. All adjustments are presented net of any tax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period from June 24,</w:t>
            </w:r>
          </w:p>
        </w:tc>
        <w:tc>
          <w:tcPr>
            <w:tcW w:w="0" w:type="dxa"/>
            <w:vAlign w:val="bottom"/>
          </w:tcPr>
          <w:p>
            <w:pPr>
              <w:spacing w:after="0"/>
              <w:rPr>
                <w:sz w:val="1"/>
                <w:szCs w:val="1"/>
                <w:color w:val="auto"/>
              </w:rPr>
            </w:pPr>
          </w:p>
        </w:tc>
      </w:tr>
      <w:tr>
        <w:trPr>
          <w:trHeight w:val="191"/>
        </w:trPr>
        <w:tc>
          <w:tcPr>
            <w:tcW w:w="706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 through December 31, 2021</w:t>
            </w:r>
          </w:p>
        </w:tc>
        <w:tc>
          <w:tcPr>
            <w:tcW w:w="0" w:type="dxa"/>
            <w:vAlign w:val="bottom"/>
          </w:tcPr>
          <w:p>
            <w:pPr>
              <w:spacing w:after="0"/>
              <w:rPr>
                <w:sz w:val="1"/>
                <w:szCs w:val="1"/>
                <w:color w:val="auto"/>
              </w:rPr>
            </w:pPr>
          </w:p>
        </w:tc>
      </w:tr>
      <w:tr>
        <w:trPr>
          <w:trHeight w:val="224"/>
        </w:trPr>
        <w:tc>
          <w:tcPr>
            <w:tcW w:w="7060" w:type="dxa"/>
            <w:vAlign w:val="bottom"/>
            <w:tcBorders>
              <w:top w:val="single" w:sz="8" w:color="CCEEFF"/>
            </w:tcBorders>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2"/>
                <w:szCs w:val="22"/>
                <w:color w:val="auto"/>
                <w:vertAlign w:val="superscript"/>
              </w:rPr>
              <w:t>(1)</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1,029,210</w:t>
            </w:r>
          </w:p>
        </w:tc>
        <w:tc>
          <w:tcPr>
            <w:tcW w:w="0" w:type="dxa"/>
            <w:vAlign w:val="bottom"/>
          </w:tcPr>
          <w:p>
            <w:pPr>
              <w:spacing w:after="0"/>
              <w:rPr>
                <w:sz w:val="1"/>
                <w:szCs w:val="1"/>
                <w:color w:val="auto"/>
              </w:rPr>
            </w:pPr>
          </w:p>
        </w:tc>
      </w:tr>
      <w:tr>
        <w:trPr>
          <w:trHeight w:val="225"/>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369,413</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275,453</w:t>
            </w:r>
          </w:p>
        </w:tc>
        <w:tc>
          <w:tcPr>
            <w:tcW w:w="0" w:type="dxa"/>
            <w:vAlign w:val="bottom"/>
          </w:tcPr>
          <w:p>
            <w:pPr>
              <w:spacing w:after="0"/>
              <w:rPr>
                <w:sz w:val="1"/>
                <w:szCs w:val="1"/>
                <w:color w:val="auto"/>
              </w:rPr>
            </w:pPr>
          </w:p>
        </w:tc>
      </w:tr>
      <w:tr>
        <w:trPr>
          <w:trHeight w:val="29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369,413</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1,304,663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line="267" w:lineRule="auto"/>
        <w:tabs>
          <w:tab w:leader="none" w:pos="35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assessed for the year ended December 31, 2022, the warrants were out-of-the-money prior to the Warrant Exchange Offer, which resulted in no potentially dilutive shares under the treasury stock method. Refer to Note 12—Warrants for further information regarding the Warrant Exchange Offer.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16—Fair Value Measurements and Investments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 based on inputs: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financial instruments as of the reporting date.</w:t>
      </w:r>
    </w:p>
    <w:p>
      <w:pPr>
        <w:spacing w:after="0" w:line="164" w:lineRule="exact"/>
        <w:rPr>
          <w:sz w:val="20"/>
          <w:szCs w:val="20"/>
          <w:color w:val="auto"/>
        </w:rPr>
      </w:pPr>
    </w:p>
    <w:p>
      <w:pPr>
        <w:ind w:left="640" w:right="280"/>
        <w:spacing w:after="0" w:line="274" w:lineRule="auto"/>
        <w:rPr>
          <w:sz w:val="20"/>
          <w:szCs w:val="20"/>
          <w:color w:val="auto"/>
        </w:rPr>
      </w:pPr>
      <w:r>
        <w:rPr>
          <w:rFonts w:ascii="Times New Roman" w:cs="Times New Roman" w:eastAsia="Times New Roman" w:hAnsi="Times New Roman"/>
          <w:sz w:val="18"/>
          <w:szCs w:val="18"/>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10" w:lineRule="exact"/>
        <w:rPr>
          <w:sz w:val="20"/>
          <w:szCs w:val="20"/>
          <w:color w:val="auto"/>
        </w:rPr>
      </w:pPr>
    </w:p>
    <w:p>
      <w:pPr>
        <w:ind w:left="640" w:right="480"/>
        <w:spacing w:after="0" w:line="274" w:lineRule="auto"/>
        <w:rPr>
          <w:sz w:val="20"/>
          <w:szCs w:val="20"/>
          <w:color w:val="auto"/>
        </w:rPr>
      </w:pPr>
      <w:r>
        <w:rPr>
          <w:rFonts w:ascii="Times New Roman" w:cs="Times New Roman" w:eastAsia="Times New Roman" w:hAnsi="Times New Roman"/>
          <w:sz w:val="18"/>
          <w:szCs w:val="18"/>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2022 and 2021, the fair values of cash, restricted cash, accounts receivable, due from related parties, accounts payable and certain accrued liabilities approximate their carrying amounts due to the short-term nature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are measured on a recurring basis pursuant to the above fair value hierarchy levels as of December 31, 2022 and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5"/>
        </w:trPr>
        <w:tc>
          <w:tcPr>
            <w:tcW w:w="5200" w:type="dxa"/>
            <w:vAlign w:val="bottom"/>
            <w:vMerge w:val="continue"/>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140,110</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140,110</w:t>
            </w:r>
          </w:p>
        </w:tc>
        <w:tc>
          <w:tcPr>
            <w:tcW w:w="0" w:type="dxa"/>
            <w:vAlign w:val="bottom"/>
          </w:tcPr>
          <w:p>
            <w:pPr>
              <w:spacing w:after="0"/>
              <w:rPr>
                <w:sz w:val="1"/>
                <w:szCs w:val="1"/>
                <w:color w:val="auto"/>
              </w:rPr>
            </w:pPr>
          </w:p>
        </w:tc>
      </w:tr>
      <w:tr>
        <w:trPr>
          <w:trHeight w:val="278"/>
        </w:trPr>
        <w:tc>
          <w:tcPr>
            <w:tcW w:w="5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Cash surrender value of company-owned life insurance</w:t>
            </w: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9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140,598</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5"/>
        </w:trPr>
        <w:tc>
          <w:tcPr>
            <w:tcW w:w="520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in mutual funds and other</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5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surrender value of company-owned life insurance</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10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4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Borders>
              <w:top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27,805</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had no transfers between fair value levels during each of the years ended December 31, 2022 and 2021.</w:t>
      </w:r>
    </w:p>
    <w:p>
      <w:pPr>
        <w:spacing w:after="0" w:line="16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of December 31, 2022, a consolidated broker-dealer subsidiary held investments in U.S. Treasury securities with original maturities of less than 12 months, which are included in Investments in short-term marketable debt securities on the Consolidated Statements of Financial Condition. These securities are carried at fair value with changes in fair value, including earned interest income, included in Other income (expense) on the Consolidated Statements of Operations, as required for broker-dealers. The aggregate cost basis of these securities was $139.2 million as of December 31, 2022. As of December 31, 2021, the Company held investments related to a legacy deferred compensation program and securities. These amounts are included in Prepaid expenses and other assets on the Consolidated Statements of Financial Condition. The Company recognized interest income and net unrealized gains (losses) on the U.S. Treasury securities and other investments of $1.4 million for the year ended December 31, 2022 and nominal amounts for the years ended December 31, 2021 and 2020.</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cash surrender value of company-owned life insurance is included in Prepaid expenses and other assets on the Consolidated Statements of Financial Condition at the amount that could be realized under the contract as of December 31, 2022 and 2021, which approximates fair value.</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Prior to the Warrant Exchange Offer, the public warrants were valued using quoted market prices on the Nasdaq Global Select Market under the ticker PWPPW and were included in Warrant liabilities on the Consolidated Statements of Financial Condition. Management determined the fair value of the private warrants using the Black-Scholes option pricing valuation model (“Valuation Model”). The private warrants were classified as Level 3 because of the use of significant unobservable inputs in the Valuation Model, which, as of December 31, 2021, included an expected dividend yield of 2.2% and expected volatility of 35.1%.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fair value of the private warrants as included in Warrant liabilities on the Consolidated Statements of Financial Condition and the changes in fair value of the private warrants: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Private Warrants</w:t>
            </w:r>
          </w:p>
        </w:tc>
      </w:tr>
      <w:tr>
        <w:trPr>
          <w:trHeight w:val="25"/>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Business Combination</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5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6"/>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1"/>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5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 exchanged for shares of Class A common stock</w:t>
            </w:r>
          </w:p>
        </w:tc>
        <w:tc>
          <w:tcPr>
            <w:tcW w:w="28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Changes in fair value of the private and public warrants are presented within Change in fair value of warrant liabilities on the Consolidated Statements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Beginning in 2021, the Company applied the equity method of accounting to its $0.9 million investment in PFAC Holdings I LLC (“PFAC Holdings”), an indirect parent of PWP Forward Acquisition Corp. I (“PFAC”), a special purpose acquisition company. As of December 31, 2021, the balance of the Company’s equity method investment in PFAC Holdings was $1.3 million, which was presented within Prepaid expenses and other assets on the Consolidated Statements of Financial Condition. On December 13, 2022, PFAC was dissolved and as a result the Company wrote off its investment in PFAC Holdings. The Company recorded a $1.3 million net loss and a $0.4 million net gain in Other income (expense) on the Consolidated Statements of Operations for the years ended December 31, 2022 and 2021, respectively, for its share of PFAC earnings net of the investment write off in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17—Related Party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Capital Holdings LP</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w:t>
      </w:r>
    </w:p>
    <w:p>
      <w:pPr>
        <w:spacing w:after="0" w:line="12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i w:val="1"/>
          <w:iCs w:val="1"/>
          <w:color w:val="auto"/>
        </w:rPr>
        <w:t>TSA Agreemen</w:t>
      </w:r>
      <w:r>
        <w:rPr>
          <w:rFonts w:ascii="Times New Roman" w:cs="Times New Roman" w:eastAsia="Times New Roman" w:hAnsi="Times New Roman"/>
          <w:sz w:val="17"/>
          <w:szCs w:val="17"/>
          <w:color w:val="auto"/>
        </w:rPr>
        <w:t>t—In connection with the Separation, the Company entered into a transition services agreement (the “TSA”) with PWP Capital Holdings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legal,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w:t>
      </w:r>
    </w:p>
    <w:p>
      <w:pPr>
        <w:spacing w:after="0" w:line="11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Sublease Income</w:t>
      </w:r>
      <w:r>
        <w:rPr>
          <w:rFonts w:ascii="Times New Roman" w:cs="Times New Roman" w:eastAsia="Times New Roman" w:hAnsi="Times New Roman"/>
          <w:sz w:val="18"/>
          <w:szCs w:val="18"/>
          <w:color w:val="auto"/>
        </w:rPr>
        <w:t>—In connection with the Separation, the Company subleases a portion of its office space at its New York location to PWP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LP through 2023.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in Note 5—Leases.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Compensation Arrangements</w:t>
      </w:r>
      <w:r>
        <w:rPr>
          <w:rFonts w:ascii="Times New Roman" w:cs="Times New Roman" w:eastAsia="Times New Roman" w:hAnsi="Times New Roman"/>
          <w:sz w:val="18"/>
          <w:szCs w:val="18"/>
          <w:color w:val="auto"/>
        </w:rPr>
        <w:t>—In addition, PWP Capital Holdings LP has entered into an arrangement with certain employees of the Company,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management, related to services provided directly to PWP Capital Holdings LP. With respect to services provided to PWP Capital Holdings LP, the amounts paid and payable to such employees now and in the future are recognized by PWP Capital Holdings LP. All compensation related to services these employees provide to the Company are included in Compensation and benefits in the Consolidated Statements of Operations.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Amounts due from PWP Capital Holdings LP are reflected as Due from related parties on the Consolidated Statements of Financial Condition.</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the components of income from PWP Capital Holdings LP reported within Related party income in the Consolidated Statements of Operations for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9"/>
        </w:trPr>
        <w:tc>
          <w:tcPr>
            <w:tcW w:w="63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TSA income – Compensation related</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TSA income – Non-compensation related</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r>
      <w:tr>
        <w:trPr>
          <w:trHeight w:val="21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from PWP Capital Holdings LP</w:t>
            </w:r>
          </w:p>
        </w:tc>
        <w:tc>
          <w:tcPr>
            <w:tcW w:w="10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r>
      <w:tr>
        <w:trPr>
          <w:trHeight w:val="20"/>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PWP OpCo,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December 31, 2022, the Company had an amount due of $23.0 million pursuant to the tax receivable agreement, which represents management’s best estimate of the amounts currently expected to be owed in connection with the tax receivable agreement and is reported within Amount due pursuant to tax receivable agreement on the Consolidated Statement of Financial Condition. The Company expects to make the following payments with respect to the tax receivable agreement, which may differ significantly from actual payments made: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80" w:type="dxa"/>
            <w:vAlign w:val="bottom"/>
          </w:tcPr>
          <w:p>
            <w:pPr>
              <w:spacing w:after="0"/>
              <w:rPr>
                <w:sz w:val="19"/>
                <w:szCs w:val="19"/>
                <w:color w:val="auto"/>
              </w:rPr>
            </w:pP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Estimated Payments Under Tax</w:t>
            </w:r>
          </w:p>
        </w:tc>
      </w:tr>
      <w:tr>
        <w:trPr>
          <w:trHeight w:val="247"/>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240" w:type="dxa"/>
            <w:vAlign w:val="bottom"/>
          </w:tcPr>
          <w:p>
            <w:pPr>
              <w:spacing w:after="0"/>
              <w:rPr>
                <w:sz w:val="21"/>
                <w:szCs w:val="21"/>
                <w:color w:val="auto"/>
              </w:rPr>
            </w:pPr>
          </w:p>
        </w:tc>
        <w:tc>
          <w:tcPr>
            <w:tcW w:w="22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Receivable Agreement</w:t>
            </w:r>
          </w:p>
        </w:tc>
      </w:tr>
      <w:tr>
        <w:trPr>
          <w:trHeight w:val="25"/>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1"/>
        </w:trPr>
        <w:tc>
          <w:tcPr>
            <w:tcW w:w="8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53"/>
        </w:trPr>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5"/>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8"/>
        </w:trPr>
        <w:tc>
          <w:tcPr>
            <w:tcW w:w="8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53"/>
        </w:trPr>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5"/>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8"/>
        </w:trPr>
        <w:tc>
          <w:tcPr>
            <w:tcW w:w="8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53"/>
        </w:trPr>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16,357</w:t>
            </w:r>
          </w:p>
        </w:tc>
      </w:tr>
      <w:tr>
        <w:trPr>
          <w:trHeight w:val="25"/>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97"/>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22,991</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Promissory Notes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PWP OpCo or other affiliate. As the Partner Promissory Notes and associated interest receivable relate to equity transactions, they have been recognized as a reduction of equity on the Consolidated Statements of Financial Condition in the amounts of $3.5 million and $6.0 million as of December 31, 2022 and 2021, respectively.</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$2.6 million of principal and interest related to Partner Promissory Notes was effectively repaid to the Company from certain partners by foregoing the amount due from their respective deferred compensation agreements. During the year ended December 31, 2021, $1.8 million of principal and interest related to the Partner Promissory notes was repaid to the Company from certain partners. No amounts related to the Partner Promissory Notes were repaid to the Company or newly issued by the Company for the year ended December 31, 2020.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Partner Loans and Loan Guarantees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November 2021, PWP OpCo agreed to provide loans to certain partners in an aggregate amount of approximately $3.3 million. As of December 31, 2022 and 2021 $3.4 million and $3.3 million, respectively of outstanding loans to certain partners and related interest receivable are recognized in Due from related parties on the Consolidated Statements of Financial Condition.</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unconditionally guaranteed certain of its partners’ loans with First Republic Bank. Refer to Note 18—Commitments and Contingencies for additional information on the guarantees.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Principal amounts of $8.7 million related to the Convertible Notes were held by partners prior to redemption upon closing of the Business Combination.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10—Debt for additional information on the Convertible Notes.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February 2022, the Company paid $0.5 million to an entity controlled by a member of the Board of Directors to reimburse a portion of expenses incurred by that entity in connection with the joint pursuit of a potential investment opportunity.</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had a minority interest in PFAC Holdings, an indirect parent of PFAC. The Company earned an advisory fee related to PFAC’s initial public offering of $0.6 million during the year ended December 31, 2021. On December 31, 2022, PFAC was dissolved and as a result the Company wrote off its investment in PFAC Holdings.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2021, the Company earned $3.1 million in advisory fees from entities controlled by a member of the Board of Directors, which are included in Revenues on the Consolidated Statements of Operations. The Company may earn additional advisory fees from these related entities in future periods.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Perella Weinberg UK Limited, Professional Partners and certain partners (including one partner who serves as a Company director and president) are party 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18—Commitments and Contingencies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Guarantees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unconditionally guaranteed certain of its partners’ loans with First Republic Bank (“Lender”) whereby it will pay the Lender upon the occurrence of a default event. The total guarantees related to partners was $1.6 million and $3.3 million as of December 31, 2022 and 2021, respectively. These guarantees are secured by the partners’ interests in Professional Partners. As of December 31, 2022 and 2021, no loans were in default.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certain contracts that contain a variety of indemnification provisions. The Company’s maximum exposure under these arrangements is unknown. As of December 31, 2022 and 2021, the Company expects no claims or losses pursuant to these contracts; therefore, no liability has been recorded related to these indemnification provisions.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2022 and 2021 and for the years ended December 31, 2022, 2021, and 2020.</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incurred $0.6 million, $1.1 million, and $1.4 million, respectively, in legal and professional fees, net of expected insurance reimbursement, related to this litigation. These litigation costs are included in Professional fees in the Consolidated Statements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19—Business Information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was no individual client that accounted for more than 10% of aggregate revenues for the years ended December 31, 2022, 2021, and 2020.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5"/>
        </w:trPr>
        <w:tc>
          <w:tcPr>
            <w:tcW w:w="6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387,038</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131,948</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518,986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80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552,865</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165,462</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717,093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718,327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20—Subsequent Events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consolidated financial statements.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January 1, 2023, the total shares reserved and available for future issuance under the PWP Incentive Plan increased to 13.0 million in accordance with the terms of such plan, and on February 24, 2023, the Company granted 6,786,750 RSUs and 1,000,000 PSUs to certain employees and executive officers pursuant to such plan.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8, 2023, the Company’s Board of Directors declared a cash dividend of $0.07 per outstanding share of Class A common stock. This dividend will be payable on March 10, 2023 to each of the holders of Class A common stock of record as of the close of business on February 28, 2023. Holders of Class B common stock will also receive dividends equal to the amount of dividends made on 0.001 shares of Class A common stock.</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February 8, 2023, the Company’s Board of Directors approved an additional repurchase of the Company’s Class A common stock in an amount of up to $100.0 million which is incremental to the remaining value of the February 2022’s authorization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2" w:name="page113"/>
    <w:bookmarkEnd w:id="112"/>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This Item 9A includes information concerning the controls and controls evaluation referred to in the certifications of our Chief Executive Officer and Chief Financial Officer required by Rule 13a-14 of the Exchange Act included in this Annual Report on Form 10-K as Exhibits 31.1 and 31.2.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under the supervision and with the participation of our principal executive officer and principal financial officer, evaluated the effectiveness of the design and operation of our disclosure controls and procedures as of December 31, 2022.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Management is responsible for designing, implementing and maintaining adequate internal control over financial reporting, as such term is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 in conditions, the effectiveness of internal control over financial reporting may vary over time.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Management has assessed the effectiveness of its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Control-Integrated Framework (2013) issued by the Committee of Sponsoring Organizations of the Treadway Commission</w:t>
      </w:r>
      <w:r>
        <w:rPr>
          <w:rFonts w:ascii="Times New Roman" w:cs="Times New Roman" w:eastAsia="Times New Roman" w:hAnsi="Times New Roman"/>
          <w:sz w:val="18"/>
          <w:szCs w:val="18"/>
          <w:color w:val="auto"/>
        </w:rPr>
        <w:t>. Based on that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believes that, as of December 31, 2022, the Company’s internal control over financial reporting was effective.</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Management’s report was not subject to attestation by our registered public accounting firm pursuant to rules of the SEC that permits us to provide only management’s report in this Annual Report on Form 10-K. This Annual Report on Form 10-K does not include an attestation report of our registered public accounting firm due to an exemption established by the JOBS Act for “emerging growth companies”.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December 31,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2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4" w:name="page115"/>
    <w:bookmarkEnd w:id="114"/>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information regarding directors and executive officers set forth under the caption “Proposal 1—Election of Directors” and “Executive Officers” in our definitive proxy statement to be filed in connection with our 2023 Annual Meeting of Stockholders (the “Proxy Statement”) is incorporated herein by reference.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post our Code of Business Conduct and Ethics on our corporate website at www.pwpartners.com under the “Investor Relations/Corporate Governance/Documents &amp; Charters” section. Our Code of Business Conduct and Ethics applies to all directors, officers and employees, including our chief executive and senior financial officers. We will post any amendments to the Code of Business Conduct and Ethics, and any waivers that are required to be disclosed by the rules of either the SEC or Nasdaq, on our website within the required periods.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contained in the sections captioned “Executive Compensation” and “Director Compensation” in the Proxy Statement is incorporated herein by reference.</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Information regarding our compensation committee and compensation committee interlocks under the caption “Corporate Governance—Board Committees” and “Corporate Governance—Compensation Committee Interlocks and Insider Participation” in the Proxy Statement is incorporated herein by reference.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contained in the sections captioned “Executive Compensation—Equity Compensation Plan Information” and “Stock Ownership of Certain Beneficial Owners and Management” in the Proxy Statement is incorporated herein by reference.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6"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The information contained in the sections captioned “Certain Relationships and Related Person Transactions” and “Corporate Governance—Director Independence” in the Proxy Statement is incorporated herein by reference.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contained in the section captioned “Ratification of Independent Auditor Appointment” in the Proxy Statement is incorporated herein by reference.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30" w:lineRule="exact"/>
        <w:rPr>
          <w:sz w:val="20"/>
          <w:szCs w:val="20"/>
          <w:color w:val="auto"/>
        </w:rPr>
      </w:pPr>
    </w:p>
    <w:p>
      <w:pPr>
        <w:ind w:firstLine="39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Consolidated Financial Statements of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30" w:lineRule="exact"/>
        <w:rPr>
          <w:sz w:val="20"/>
          <w:szCs w:val="20"/>
          <w:color w:val="auto"/>
        </w:rPr>
      </w:pPr>
    </w:p>
    <w:p>
      <w:pPr>
        <w:ind w:firstLine="394"/>
        <w:spacing w:after="0" w:line="258" w:lineRule="auto"/>
        <w:rPr>
          <w:sz w:val="20"/>
          <w:szCs w:val="20"/>
          <w:color w:val="auto"/>
        </w:rPr>
      </w:pPr>
      <w:r>
        <w:rPr>
          <w:rFonts w:ascii="Times New Roman" w:cs="Times New Roman" w:eastAsia="Times New Roman" w:hAnsi="Times New Roman"/>
          <w:sz w:val="18"/>
          <w:szCs w:val="18"/>
          <w:color w:val="auto"/>
        </w:rPr>
        <w:t>All other financial statement schedules are omitted because they are not applicable or the amounts are immaterial and not required, or the required information is presented in the consolidated financial statements and notes thereto in Item 8 of Part II above.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17" w:lineRule="exact"/>
        <w:rPr>
          <w:sz w:val="20"/>
          <w:szCs w:val="20"/>
          <w:color w:val="auto"/>
        </w:rPr>
      </w:pPr>
    </w:p>
    <w:p>
      <w:pPr>
        <w:jc w:val="both"/>
        <w:ind w:firstLine="394"/>
        <w:spacing w:after="0" w:line="244" w:lineRule="auto"/>
        <w:rPr>
          <w:sz w:val="20"/>
          <w:szCs w:val="20"/>
          <w:color w:val="auto"/>
        </w:rPr>
      </w:pPr>
      <w:r>
        <w:rPr>
          <w:rFonts w:ascii="Times New Roman" w:cs="Times New Roman" w:eastAsia="Times New Roman" w:hAnsi="Times New Roman"/>
          <w:sz w:val="18"/>
          <w:szCs w:val="18"/>
          <w:color w:val="auto"/>
        </w:rPr>
        <w:t xml:space="preserve">We hereby file as part of this report the exhibits listed in the attached Exhibit Index. Exhibits which are incorporated herein by reference can be inspected and copied as the public reference facilities maintained by the SEC, 100 F Street, N.E., Room 1580, Washington, D.C. 20549 at prescribed rates or on the SEC website as </w:t>
      </w:r>
      <w:r>
        <w:rPr>
          <w:rFonts w:ascii="Times New Roman" w:cs="Times New Roman" w:eastAsia="Times New Roman" w:hAnsi="Times New Roman"/>
          <w:sz w:val="18"/>
          <w:szCs w:val="18"/>
          <w:b w:val="1"/>
          <w:bCs w:val="1"/>
          <w:color w:val="auto"/>
        </w:rPr>
        <w:t>www.sec.gov.</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160" w:type="dxa"/>
            <w:vAlign w:val="bottom"/>
            <w:gridSpan w:val="17"/>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1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20" w:type="dxa"/>
            <w:vAlign w:val="bottom"/>
            <w:gridSpan w:val="2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Restated Certificate of Incorporation of Perella Weinberg Partners (incorporated by reference to Exhibit 3.1 to Amendment No. 1 to the</w:t>
              </w:r>
            </w:hyperlink>
          </w:p>
        </w:tc>
      </w:tr>
      <w:tr>
        <w:trPr>
          <w:trHeight w:val="165"/>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19"/>
          </w:tcPr>
          <w:p>
            <w:pPr>
              <w:spacing w:after="0" w:line="16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Company's Registration Statement on Form S-1 filed with the SEC on January 13, 2022 (File No. 333-261785)).</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4"/>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Amended and Restated Bylaws of Perella Weinberg Partners (incorporated by reference to Exhibit 3.2 to the Company’s Current Report</w:t>
              </w:r>
            </w:hyperlink>
          </w:p>
        </w:tc>
      </w:tr>
      <w:tr>
        <w:trPr>
          <w:trHeight w:val="166"/>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20"/>
          </w:tcPr>
          <w:p>
            <w:pPr>
              <w:spacing w:after="0" w:line="165"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on Form 8-K, filed with the SEC on June 30, 2021).</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Specimen Class A Common Stock Certificate (incorporated by reference to Exhibit 4.1 to the Company’s Current Report on Form 8-K,</w:t>
              </w:r>
            </w:hyperlink>
          </w:p>
        </w:tc>
      </w:tr>
      <w:tr>
        <w:trPr>
          <w:trHeight w:val="166"/>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Borders>
              <w:top w:val="single" w:sz="8" w:color="0000FF"/>
              <w:bottom w:val="single" w:sz="8" w:color="0000FF"/>
            </w:tcBorders>
            <w:gridSpan w:val="6"/>
          </w:tcPr>
          <w:p>
            <w:pPr>
              <w:spacing w:after="0" w:line="165" w:lineRule="exact"/>
              <w:rPr>
                <w:rFonts w:ascii="Times New Roman" w:cs="Times New Roman" w:eastAsia="Times New Roman" w:hAnsi="Times New Roman"/>
                <w:sz w:val="18"/>
                <w:szCs w:val="18"/>
                <w:color w:val="0000FF"/>
                <w:w w:val="97"/>
              </w:rPr>
            </w:pPr>
            <w:hyperlink r:id="rId140">
              <w:r>
                <w:rPr>
                  <w:rFonts w:ascii="Times New Roman" w:cs="Times New Roman" w:eastAsia="Times New Roman" w:hAnsi="Times New Roman"/>
                  <w:sz w:val="18"/>
                  <w:szCs w:val="18"/>
                  <w:color w:val="0000FF"/>
                  <w:w w:val="97"/>
                </w:rPr>
                <w:t>filed with the SEC on June 30, 2021).</w:t>
              </w:r>
            </w:hyperlink>
          </w:p>
        </w:tc>
        <w:tc>
          <w:tcPr>
            <w:tcW w:w="6920" w:type="dxa"/>
            <w:vAlign w:val="bottom"/>
            <w:tcBorders>
              <w:top w:val="single" w:sz="8" w:color="0000FF"/>
            </w:tcBorders>
            <w:gridSpan w:val="12"/>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Warrant Agreement, dated September 24, 2020, by and between FinTech Acquisition Corp. IV and Continental Stock Transfer &amp; Trust</w:t>
              </w:r>
            </w:hyperlink>
          </w:p>
        </w:tc>
      </w:tr>
      <w:tr>
        <w:trPr>
          <w:trHeight w:val="165"/>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2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Company (incorporated by reference to Exhibit 4.1 to FinTech Acquisition Corp. IV’s Current Report on Form 8-K, filed with the SEC</w:t>
              </w:r>
            </w:hyperlink>
          </w:p>
        </w:tc>
        <w:tc>
          <w:tcPr>
            <w:tcW w:w="40" w:type="dxa"/>
            <w:vAlign w:val="bottom"/>
          </w:tcPr>
          <w:p>
            <w:pPr>
              <w:spacing w:after="0"/>
              <w:rPr>
                <w:sz w:val="14"/>
                <w:szCs w:val="14"/>
                <w:color w:val="auto"/>
              </w:rPr>
            </w:pPr>
          </w:p>
        </w:tc>
        <w:tc>
          <w:tcPr>
            <w:tcW w:w="260" w:type="dxa"/>
            <w:vAlign w:val="bottom"/>
            <w:gridSpan w:val="7"/>
          </w:tcPr>
          <w:p>
            <w:pPr>
              <w:ind w:left="20"/>
              <w:spacing w:after="0" w:line="165"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on</w:t>
              </w:r>
            </w:hyperlink>
          </w:p>
        </w:tc>
      </w:tr>
      <w:tr>
        <w:trPr>
          <w:trHeight w:val="152"/>
        </w:trPr>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September 30, 2020).</w:t>
              </w:r>
            </w:hyperlink>
          </w:p>
        </w:tc>
        <w:tc>
          <w:tcPr>
            <w:tcW w:w="82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to Warrant Agreement, dated November 10, 2021, by and among Perella Weinberg Partners, Continental Stock Transfer &amp;</w:t>
              </w:r>
            </w:hyperlink>
          </w:p>
        </w:tc>
      </w:tr>
      <w:tr>
        <w:trPr>
          <w:trHeight w:val="165"/>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17"/>
          </w:tcPr>
          <w:p>
            <w:pPr>
              <w:spacing w:after="0" w:line="165"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Trust Company and American Stock Transfer &amp; Trust Company, LLC (incorporated by reference to Exhibit 4.3 to the Company's</w:t>
              </w:r>
            </w:hyperlink>
          </w:p>
        </w:tc>
        <w:tc>
          <w:tcPr>
            <w:tcW w:w="2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2"/>
        </w:trPr>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Registration Statement on Form S-1 filed with the SEC on December 21, 2021 (File No. 333-261785)).</w:t>
              </w:r>
            </w:hyperlink>
          </w:p>
        </w:tc>
        <w:tc>
          <w:tcPr>
            <w:tcW w:w="1840" w:type="dxa"/>
            <w:vAlign w:val="bottom"/>
            <w:tcBorders>
              <w:top w:val="single" w:sz="8" w:color="0000FF"/>
            </w:tcBorders>
            <w:gridSpan w:val="2"/>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Description of Securities</w:t>
            </w:r>
            <w:r>
              <w:rPr>
                <w:rFonts w:ascii="Times New Roman" w:cs="Times New Roman" w:eastAsia="Times New Roman" w:hAnsi="Times New Roman"/>
                <w:sz w:val="18"/>
                <w:szCs w:val="18"/>
                <w:color w:val="000000"/>
              </w:rPr>
              <w:t>.</w:t>
            </w:r>
          </w:p>
        </w:tc>
      </w:tr>
      <w:tr>
        <w:trPr>
          <w:trHeight w:val="20"/>
        </w:trPr>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Employment Agreement, effective as of January 1, 2023, by and between Perella Weinberg Partners, PWP Employer LP and Peter A.</w:t>
            </w:r>
          </w:p>
        </w:tc>
      </w:tr>
      <w:tr>
        <w:trPr>
          <w:trHeight w:val="166"/>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0000FF"/>
              <w:bottom w:val="single" w:sz="8" w:color="0000FF"/>
            </w:tcBorders>
            <w:gridSpan w:val="3"/>
          </w:tcPr>
          <w:p>
            <w:pPr>
              <w:spacing w:after="0" w:line="165" w:lineRule="exact"/>
              <w:rPr>
                <w:sz w:val="20"/>
                <w:szCs w:val="20"/>
                <w:color w:val="auto"/>
              </w:rPr>
            </w:pPr>
            <w:r>
              <w:rPr>
                <w:rFonts w:ascii="Times New Roman" w:cs="Times New Roman" w:eastAsia="Times New Roman" w:hAnsi="Times New Roman"/>
                <w:sz w:val="18"/>
                <w:szCs w:val="18"/>
                <w:color w:val="0000FF"/>
                <w:w w:val="92"/>
              </w:rPr>
              <w:t>Weinberg.</w:t>
            </w:r>
          </w:p>
        </w:tc>
        <w:tc>
          <w:tcPr>
            <w:tcW w:w="8740" w:type="dxa"/>
            <w:vAlign w:val="bottom"/>
            <w:tcBorders>
              <w:top w:val="single" w:sz="8" w:color="0000FF"/>
            </w:tcBorders>
            <w:gridSpan w:val="12"/>
          </w:tcPr>
          <w:p>
            <w:pPr>
              <w:spacing w:after="0"/>
              <w:rPr>
                <w:sz w:val="14"/>
                <w:szCs w:val="14"/>
                <w:color w:val="auto"/>
              </w:rPr>
            </w:pPr>
          </w:p>
        </w:tc>
        <w:tc>
          <w:tcPr>
            <w:tcW w:w="32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1"/>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Employment Agreement, effective as of January 1, 2023, by and between Perella Weinberg Partners, PWP Employer LP and Andrew</w:t>
            </w:r>
          </w:p>
        </w:tc>
      </w:tr>
      <w:tr>
        <w:trPr>
          <w:trHeight w:val="165"/>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top w:val="single" w:sz="8" w:color="0000FF"/>
              <w:bottom w:val="single" w:sz="8" w:color="0000FF"/>
            </w:tcBorders>
            <w:gridSpan w:val="2"/>
          </w:tcPr>
          <w:p>
            <w:pPr>
              <w:spacing w:after="0" w:line="165" w:lineRule="exact"/>
              <w:rPr>
                <w:sz w:val="20"/>
                <w:szCs w:val="20"/>
                <w:color w:val="auto"/>
              </w:rPr>
            </w:pPr>
            <w:r>
              <w:rPr>
                <w:rFonts w:ascii="Times New Roman" w:cs="Times New Roman" w:eastAsia="Times New Roman" w:hAnsi="Times New Roman"/>
                <w:sz w:val="18"/>
                <w:szCs w:val="18"/>
                <w:color w:val="0000FF"/>
                <w:w w:val="91"/>
              </w:rPr>
              <w:t>Bednar.</w:t>
            </w:r>
          </w:p>
        </w:tc>
        <w:tc>
          <w:tcPr>
            <w:tcW w:w="888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1"/>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9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Employment Agreement, effective as of January 1, 2023, by and between Perella Weinberg Partners, PWP Employer LP and Dietrich</w:t>
            </w:r>
          </w:p>
        </w:tc>
      </w:tr>
      <w:tr>
        <w:trPr>
          <w:trHeight w:val="165"/>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tcBorders>
              <w:top w:val="single" w:sz="8" w:color="0000FF"/>
            </w:tcBorders>
            <w:gridSpan w:val="14"/>
          </w:tcPr>
          <w:p>
            <w:pPr>
              <w:spacing w:after="0" w:line="165" w:lineRule="exact"/>
              <w:rPr>
                <w:sz w:val="20"/>
                <w:szCs w:val="20"/>
                <w:color w:val="auto"/>
              </w:rPr>
            </w:pPr>
            <w:r>
              <w:rPr>
                <w:rFonts w:ascii="Times New Roman" w:cs="Times New Roman" w:eastAsia="Times New Roman" w:hAnsi="Times New Roman"/>
                <w:sz w:val="18"/>
                <w:szCs w:val="18"/>
                <w:color w:val="0000FF"/>
              </w:rPr>
              <w:t>Becker.</w:t>
            </w:r>
          </w:p>
        </w:tc>
        <w:tc>
          <w:tcPr>
            <w:tcW w:w="3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820" w:type="dxa"/>
            <w:vAlign w:val="bottom"/>
            <w:gridSpan w:val="24"/>
          </w:tcPr>
          <w:p>
            <w:pPr>
              <w:spacing w:after="0"/>
              <w:rPr>
                <w:rFonts w:ascii="Times New Roman" w:cs="Times New Roman" w:eastAsia="Times New Roman" w:hAnsi="Times New Roman"/>
                <w:sz w:val="18"/>
                <w:szCs w:val="18"/>
                <w:color w:val="0000FF"/>
                <w:w w:val="97"/>
              </w:rPr>
            </w:pPr>
            <w:hyperlink r:id="rId143">
              <w:r>
                <w:rPr>
                  <w:rFonts w:ascii="Times New Roman" w:cs="Times New Roman" w:eastAsia="Times New Roman" w:hAnsi="Times New Roman"/>
                  <w:sz w:val="18"/>
                  <w:szCs w:val="18"/>
                  <w:color w:val="0000FF"/>
                  <w:w w:val="97"/>
                </w:rPr>
                <w:t>Form of Director Restricted Stock Unit Award Agreement (One-Time Award) (incorporated by reference to Exhibit 10.4 of the Company's</w:t>
              </w:r>
            </w:hyperlink>
          </w:p>
        </w:tc>
      </w:tr>
      <w:tr>
        <w:trPr>
          <w:trHeight w:val="165"/>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8"/>
          </w:tcPr>
          <w:p>
            <w:pPr>
              <w:spacing w:after="0" w:line="165" w:lineRule="exact"/>
              <w:rPr>
                <w:rFonts w:ascii="Times New Roman" w:cs="Times New Roman" w:eastAsia="Times New Roman" w:hAnsi="Times New Roman"/>
                <w:sz w:val="18"/>
                <w:szCs w:val="18"/>
                <w:color w:val="0000FF"/>
                <w:w w:val="97"/>
              </w:rPr>
            </w:pPr>
            <w:hyperlink r:id="rId143">
              <w:r>
                <w:rPr>
                  <w:rFonts w:ascii="Times New Roman" w:cs="Times New Roman" w:eastAsia="Times New Roman" w:hAnsi="Times New Roman"/>
                  <w:sz w:val="18"/>
                  <w:szCs w:val="18"/>
                  <w:color w:val="0000FF"/>
                  <w:w w:val="97"/>
                </w:rPr>
                <w:t>Quarterly Report on Form 10-Q filed with the SEC on November 5, 2021).</w:t>
              </w:r>
            </w:hyperlink>
          </w:p>
        </w:tc>
        <w:tc>
          <w:tcPr>
            <w:tcW w:w="450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r>
      <w:tr>
        <w:trPr>
          <w:trHeight w:val="311"/>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9820" w:type="dxa"/>
            <w:vAlign w:val="bottom"/>
            <w:gridSpan w:val="24"/>
          </w:tcPr>
          <w:p>
            <w:pPr>
              <w:spacing w:after="0"/>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Form of Director Restricted Stock Unit Award Agreement (Annual Base Retainer Award) (incorporated by reference to Exhibit 10.5 of the</w:t>
              </w:r>
            </w:hyperlink>
          </w:p>
        </w:tc>
      </w:tr>
      <w:tr>
        <w:trPr>
          <w:trHeight w:val="166"/>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FF"/>
            </w:tcBorders>
            <w:gridSpan w:val="22"/>
          </w:tcPr>
          <w:p>
            <w:pPr>
              <w:spacing w:after="0" w:line="165"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Company's Quarterly Report on Form 10-Q filed with the SEC on November 5, 2021).</w:t>
              </w:r>
            </w:hyperlink>
          </w:p>
        </w:tc>
        <w:tc>
          <w:tcPr>
            <w:tcW w:w="40" w:type="dxa"/>
            <w:vAlign w:val="bottom"/>
            <w:gridSpan w:val="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40" w:type="dxa"/>
            <w:vAlign w:val="bottom"/>
            <w:gridSpan w:val="38"/>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Amended and Restated Registration Rights Agreement, dated June 24, 2021, by and among the Company, FinTech Investor Holdings IV,</w:t>
              </w:r>
            </w:hyperlink>
          </w:p>
        </w:tc>
      </w:tr>
      <w:tr>
        <w:trPr>
          <w:trHeight w:val="152"/>
        </w:trPr>
        <w:tc>
          <w:tcPr>
            <w:tcW w:w="1400" w:type="dxa"/>
            <w:vAlign w:val="bottom"/>
          </w:tcPr>
          <w:p>
            <w:pPr>
              <w:spacing w:after="0"/>
              <w:rPr>
                <w:sz w:val="13"/>
                <w:szCs w:val="13"/>
                <w:color w:val="auto"/>
              </w:rPr>
            </w:pPr>
          </w:p>
        </w:tc>
        <w:tc>
          <w:tcPr>
            <w:tcW w:w="9700" w:type="dxa"/>
            <w:vAlign w:val="bottom"/>
            <w:tcBorders>
              <w:top w:val="single" w:sz="8" w:color="0000FF"/>
            </w:tcBorders>
            <w:gridSpan w:val="31"/>
          </w:tcPr>
          <w:p>
            <w:pPr>
              <w:spacing w:after="0" w:line="152"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LLC, FinTech Masala Advisors, LLC and the other Holders party thereto (incorporated by reference to Exhibit 10.1 to the Company's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40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7"/>
          </w:tcPr>
          <w:p>
            <w:pPr>
              <w:spacing w:after="0" w:line="165"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Current Report on Form 8-K, filed with the SEC on June 30, 2021).</w:t>
              </w:r>
            </w:hyperlink>
          </w:p>
        </w:tc>
        <w:tc>
          <w:tcPr>
            <w:tcW w:w="4680" w:type="dxa"/>
            <w:vAlign w:val="bottom"/>
            <w:tcBorders>
              <w:top w:val="single" w:sz="8" w:color="0000FF"/>
            </w:tcBorders>
            <w:gridSpan w:val="1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840" w:type="dxa"/>
            <w:vAlign w:val="bottom"/>
            <w:gridSpan w:val="38"/>
          </w:tcPr>
          <w:p>
            <w:pPr>
              <w:spacing w:after="0"/>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Form of Subscription Agreement (incorporated by reference to Exhibit 10.1 to FinTech Acquisition Corp. IV's Current Report on Form 8-</w:t>
              </w:r>
            </w:hyperlink>
          </w:p>
        </w:tc>
      </w:tr>
      <w:tr>
        <w:trPr>
          <w:trHeight w:val="152"/>
        </w:trPr>
        <w:tc>
          <w:tcPr>
            <w:tcW w:w="140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K/A, filed with the SEC on December 31, 2020).</w:t>
              </w:r>
            </w:hyperlink>
          </w:p>
        </w:tc>
        <w:tc>
          <w:tcPr>
            <w:tcW w:w="632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840" w:type="dxa"/>
            <w:vAlign w:val="bottom"/>
            <w:gridSpan w:val="38"/>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Stockholders Agreement, dated June 24, 2021, by and between the Company and PWP Professional Partners LP (incorporated by</w:t>
              </w:r>
            </w:hyperlink>
          </w:p>
        </w:tc>
      </w:tr>
      <w:tr>
        <w:trPr>
          <w:trHeight w:val="152"/>
        </w:trPr>
        <w:tc>
          <w:tcPr>
            <w:tcW w:w="1400" w:type="dxa"/>
            <w:vAlign w:val="bottom"/>
          </w:tcPr>
          <w:p>
            <w:pPr>
              <w:spacing w:after="0"/>
              <w:rPr>
                <w:sz w:val="13"/>
                <w:szCs w:val="13"/>
                <w:color w:val="auto"/>
              </w:rPr>
            </w:pPr>
          </w:p>
        </w:tc>
        <w:tc>
          <w:tcPr>
            <w:tcW w:w="914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reference to Exhibit 10.3 to the Company's Current Report on Form 8-K, filed with the SEC on June 30, 2021).</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40" w:type="dxa"/>
            <w:vAlign w:val="bottom"/>
            <w:gridSpan w:val="3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Tax Receivable Agreement, dated June 24, 2021, by and between the Company, PWP Holdings LP, PWP Professional Partners LP and</w:t>
              </w:r>
            </w:hyperlink>
          </w:p>
        </w:tc>
      </w:tr>
      <w:tr>
        <w:trPr>
          <w:trHeight w:val="152"/>
        </w:trPr>
        <w:tc>
          <w:tcPr>
            <w:tcW w:w="1400" w:type="dxa"/>
            <w:vAlign w:val="bottom"/>
          </w:tcPr>
          <w:p>
            <w:pPr>
              <w:spacing w:after="0"/>
              <w:rPr>
                <w:sz w:val="13"/>
                <w:szCs w:val="13"/>
                <w:color w:val="auto"/>
              </w:rPr>
            </w:pPr>
          </w:p>
        </w:tc>
        <w:tc>
          <w:tcPr>
            <w:tcW w:w="9500" w:type="dxa"/>
            <w:vAlign w:val="bottom"/>
            <w:tcBorders>
              <w:top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certain partners party thereto (incorporated by reference to Exhibit 10.2 to the Company's Current Report on Form 8-K, filed with the</w:t>
              </w:r>
            </w:hyperlink>
          </w:p>
        </w:tc>
        <w:tc>
          <w:tcPr>
            <w:tcW w:w="340" w:type="dxa"/>
            <w:vAlign w:val="bottom"/>
            <w:gridSpan w:val="15"/>
          </w:tcPr>
          <w:p>
            <w:pPr>
              <w:spacing w:after="0" w:line="152"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SEC</w:t>
              </w:r>
            </w:hyperlink>
          </w:p>
        </w:tc>
      </w:tr>
      <w:tr>
        <w:trPr>
          <w:trHeight w:val="165"/>
        </w:trPr>
        <w:tc>
          <w:tcPr>
            <w:tcW w:w="1400" w:type="dxa"/>
            <w:vAlign w:val="bottom"/>
          </w:tcPr>
          <w:p>
            <w:pPr>
              <w:spacing w:after="0"/>
              <w:rPr>
                <w:sz w:val="14"/>
                <w:szCs w:val="14"/>
                <w:color w:val="auto"/>
              </w:rPr>
            </w:pPr>
          </w:p>
        </w:tc>
        <w:tc>
          <w:tcPr>
            <w:tcW w:w="9820" w:type="dxa"/>
            <w:vAlign w:val="bottom"/>
            <w:tcBorders>
              <w:top w:val="single" w:sz="8" w:color="0000FF"/>
            </w:tcBorders>
            <w:gridSpan w:val="37"/>
          </w:tcPr>
          <w:p>
            <w:pPr>
              <w:spacing w:after="0" w:line="165"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on June 30, 2021).</w:t>
              </w:r>
            </w:hyperlink>
          </w:p>
        </w:tc>
        <w:tc>
          <w:tcPr>
            <w:tcW w:w="2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5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7"/>
              </w:rPr>
            </w:pPr>
            <w:hyperlink r:id="rId150">
              <w:r>
                <w:rPr>
                  <w:rFonts w:ascii="Times New Roman" w:cs="Times New Roman" w:eastAsia="Times New Roman" w:hAnsi="Times New Roman"/>
                  <w:sz w:val="18"/>
                  <w:szCs w:val="18"/>
                  <w:color w:val="0000FF"/>
                  <w:w w:val="97"/>
                </w:rPr>
                <w:t>Sponsor Share Surrender and Share Restriction Agreement, dated as of December 29, 2020, by and among PWP Holdings LP, FinTech</w:t>
              </w:r>
            </w:hyperlink>
          </w:p>
        </w:tc>
        <w:tc>
          <w:tcPr>
            <w:tcW w:w="300" w:type="dxa"/>
            <w:vAlign w:val="bottom"/>
            <w:gridSpan w:val="13"/>
          </w:tcPr>
          <w:p>
            <w:pPr>
              <w:spacing w:after="0"/>
              <w:rPr>
                <w:sz w:val="24"/>
                <w:szCs w:val="24"/>
                <w:color w:val="auto"/>
              </w:rPr>
            </w:pPr>
          </w:p>
        </w:tc>
      </w:tr>
      <w:tr>
        <w:trPr>
          <w:trHeight w:val="152"/>
        </w:trPr>
        <w:tc>
          <w:tcPr>
            <w:tcW w:w="1400" w:type="dxa"/>
            <w:vAlign w:val="bottom"/>
          </w:tcPr>
          <w:p>
            <w:pPr>
              <w:spacing w:after="0"/>
              <w:rPr>
                <w:sz w:val="13"/>
                <w:szCs w:val="13"/>
                <w:color w:val="auto"/>
              </w:rPr>
            </w:pPr>
          </w:p>
        </w:tc>
        <w:tc>
          <w:tcPr>
            <w:tcW w:w="9840" w:type="dxa"/>
            <w:vAlign w:val="bottom"/>
            <w:gridSpan w:val="38"/>
          </w:tcPr>
          <w:p>
            <w:pPr>
              <w:spacing w:after="0" w:line="152"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Acquisition Corp. IV, FinTech Investor Holdings IV, LLC, FinTech Masala Advisors, LLC and the other parties thereto (incorporated by</w:t>
              </w:r>
            </w:hyperlink>
          </w:p>
        </w:tc>
      </w:tr>
      <w:tr>
        <w:trPr>
          <w:trHeight w:val="166"/>
        </w:trPr>
        <w:tc>
          <w:tcPr>
            <w:tcW w:w="140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27"/>
          </w:tcPr>
          <w:p>
            <w:pPr>
              <w:spacing w:after="0" w:line="165" w:lineRule="exact"/>
              <w:rPr>
                <w:rFonts w:ascii="Times New Roman" w:cs="Times New Roman" w:eastAsia="Times New Roman" w:hAnsi="Times New Roman"/>
                <w:sz w:val="18"/>
                <w:szCs w:val="18"/>
                <w:color w:val="0000FF"/>
                <w:w w:val="97"/>
              </w:rPr>
            </w:pPr>
            <w:hyperlink r:id="rId150">
              <w:r>
                <w:rPr>
                  <w:rFonts w:ascii="Times New Roman" w:cs="Times New Roman" w:eastAsia="Times New Roman" w:hAnsi="Times New Roman"/>
                  <w:sz w:val="18"/>
                  <w:szCs w:val="18"/>
                  <w:color w:val="0000FF"/>
                  <w:w w:val="97"/>
                </w:rPr>
                <w:t>reference to Exhibit 10.5 to FinTech Acquisition Corp. IV's Current Report on Form 8-K/A, filed with the SEC on December 31, 2020).</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40" w:type="dxa"/>
            <w:vAlign w:val="bottom"/>
            <w:gridSpan w:val="3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Amendment to Sponsor Share Surrender and Share Restriction Agreement, dated as of May 4, 2021, by and among PWP Holdings LP,</w:t>
              </w:r>
            </w:hyperlink>
          </w:p>
        </w:tc>
      </w:tr>
      <w:tr>
        <w:trPr>
          <w:trHeight w:val="152"/>
        </w:trPr>
        <w:tc>
          <w:tcPr>
            <w:tcW w:w="1400" w:type="dxa"/>
            <w:vAlign w:val="bottom"/>
          </w:tcPr>
          <w:p>
            <w:pPr>
              <w:spacing w:after="0"/>
              <w:rPr>
                <w:sz w:val="13"/>
                <w:szCs w:val="13"/>
                <w:color w:val="auto"/>
              </w:rPr>
            </w:pPr>
          </w:p>
        </w:tc>
        <w:tc>
          <w:tcPr>
            <w:tcW w:w="9520" w:type="dxa"/>
            <w:vAlign w:val="bottom"/>
            <w:tcBorders>
              <w:top w:val="single" w:sz="8" w:color="0000FF"/>
            </w:tcBorders>
            <w:gridSpan w:val="24"/>
          </w:tcPr>
          <w:p>
            <w:pPr>
              <w:spacing w:after="0" w:line="152"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FinTech Acquisition Corp. IV, FinTech Investor Holdings IV, LLC, FinTech Masala Advisors, LLC and the other parties thereto</w:t>
              </w:r>
            </w:hyperlink>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6"/>
        </w:trPr>
        <w:tc>
          <w:tcPr>
            <w:tcW w:w="1400" w:type="dxa"/>
            <w:vAlign w:val="bottom"/>
          </w:tcPr>
          <w:p>
            <w:pPr>
              <w:spacing w:after="0"/>
              <w:rPr>
                <w:sz w:val="14"/>
                <w:szCs w:val="14"/>
                <w:color w:val="auto"/>
              </w:rPr>
            </w:pPr>
          </w:p>
        </w:tc>
        <w:tc>
          <w:tcPr>
            <w:tcW w:w="8960" w:type="dxa"/>
            <w:vAlign w:val="bottom"/>
            <w:tcBorders>
              <w:top w:val="single" w:sz="8" w:color="0000FF"/>
              <w:bottom w:val="single" w:sz="8" w:color="0000FF"/>
            </w:tcBorders>
            <w:gridSpan w:val="15"/>
          </w:tcPr>
          <w:p>
            <w:pPr>
              <w:spacing w:after="0" w:line="165" w:lineRule="exact"/>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(incorporated by reference to FinTech Acquisition Corp. IV's definitive proxy statement, filed with the SEC on May 27, 2021).</w:t>
              </w:r>
            </w:hyperlink>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840" w:type="dxa"/>
            <w:vAlign w:val="bottom"/>
            <w:gridSpan w:val="38"/>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Amended and Restated Agreement of Limited Partnership of PWP Holdings LP, dated as of June 24, 2021, by and among PWP GP LLC,</w:t>
              </w:r>
            </w:hyperlink>
          </w:p>
        </w:tc>
      </w:tr>
      <w:tr>
        <w:trPr>
          <w:trHeight w:val="152"/>
        </w:trPr>
        <w:tc>
          <w:tcPr>
            <w:tcW w:w="140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32"/>
          </w:tcPr>
          <w:p>
            <w:pPr>
              <w:spacing w:after="0" w:line="152"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the Company, PWP Professional Partners LP, and the other limited partners party thereto (incorporated by reference to Exhibit 10.4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5"/>
        </w:trPr>
        <w:tc>
          <w:tcPr>
            <w:tcW w:w="1400" w:type="dxa"/>
            <w:vAlign w:val="bottom"/>
          </w:tcPr>
          <w:p>
            <w:pPr>
              <w:spacing w:after="0"/>
              <w:rPr>
                <w:sz w:val="14"/>
                <w:szCs w:val="14"/>
                <w:color w:val="auto"/>
              </w:rPr>
            </w:pPr>
          </w:p>
        </w:tc>
        <w:tc>
          <w:tcPr>
            <w:tcW w:w="9760" w:type="dxa"/>
            <w:vAlign w:val="bottom"/>
            <w:gridSpan w:val="34"/>
          </w:tcPr>
          <w:p>
            <w:pPr>
              <w:spacing w:after="0" w:line="165"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Company's Current Report on Form 8-K, filed with the SEC on June 30, 2021).</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840" w:type="dxa"/>
            <w:vAlign w:val="bottom"/>
            <w:gridSpan w:val="3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Amended and Restated Limited Liability Company Agreement of PWP GP LLC, dated June 24, 2021 (incorporated by reference to</w:t>
              </w:r>
            </w:hyperlink>
          </w:p>
        </w:tc>
      </w:tr>
      <w:tr>
        <w:trPr>
          <w:trHeight w:val="152"/>
        </w:trPr>
        <w:tc>
          <w:tcPr>
            <w:tcW w:w="1400" w:type="dxa"/>
            <w:vAlign w:val="bottom"/>
          </w:tcPr>
          <w:p>
            <w:pPr>
              <w:spacing w:after="0"/>
              <w:rPr>
                <w:sz w:val="13"/>
                <w:szCs w:val="13"/>
                <w:color w:val="auto"/>
              </w:rPr>
            </w:pPr>
          </w:p>
        </w:tc>
        <w:tc>
          <w:tcPr>
            <w:tcW w:w="930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Exhibit 10.5 to the Company's Current Report on Form 8-K, filed with the SEC on June 30, 2021).</w:t>
              </w:r>
            </w:hyperlink>
          </w:p>
        </w:tc>
        <w:tc>
          <w:tcPr>
            <w:tcW w:w="14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840" w:type="dxa"/>
            <w:vAlign w:val="bottom"/>
            <w:gridSpan w:val="3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Perella Weinberg Partners 2021 Omnibus Incentive Plan (incorporated by reference to Exhibit 10.6 to the Company's Current Report on</w:t>
              </w:r>
            </w:hyperlink>
          </w:p>
        </w:tc>
      </w:tr>
      <w:tr>
        <w:trPr>
          <w:trHeight w:val="152"/>
        </w:trPr>
        <w:tc>
          <w:tcPr>
            <w:tcW w:w="1400" w:type="dxa"/>
            <w:vAlign w:val="bottom"/>
          </w:tcPr>
          <w:p>
            <w:pPr>
              <w:spacing w:after="0"/>
              <w:rPr>
                <w:sz w:val="13"/>
                <w:szCs w:val="13"/>
                <w:color w:val="auto"/>
              </w:rPr>
            </w:pPr>
          </w:p>
        </w:tc>
        <w:tc>
          <w:tcPr>
            <w:tcW w:w="960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8-K, filed with the SEC on June 30, 2021)</w:t>
              </w:r>
              <w:r>
                <w:rPr>
                  <w:rFonts w:ascii="Times New Roman" w:cs="Times New Roman" w:eastAsia="Times New Roman" w:hAnsi="Times New Roman"/>
                  <w:sz w:val="17"/>
                  <w:szCs w:val="17"/>
                  <w:color w:val="000000"/>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840" w:type="dxa"/>
            <w:vAlign w:val="bottom"/>
            <w:gridSpan w:val="38"/>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French Sub-Plan Under the Perella Weinberg Partners 2021 Omnibus Equity Incentive Plan (incorporated by reference to Exhibit 10.7 to</w:t>
              </w:r>
            </w:hyperlink>
          </w:p>
        </w:tc>
      </w:tr>
      <w:tr>
        <w:trPr>
          <w:trHeight w:val="152"/>
        </w:trPr>
        <w:tc>
          <w:tcPr>
            <w:tcW w:w="1400" w:type="dxa"/>
            <w:vAlign w:val="bottom"/>
          </w:tcPr>
          <w:p>
            <w:pPr>
              <w:spacing w:after="0"/>
              <w:rPr>
                <w:sz w:val="13"/>
                <w:szCs w:val="13"/>
                <w:color w:val="auto"/>
              </w:rPr>
            </w:pPr>
          </w:p>
        </w:tc>
        <w:tc>
          <w:tcPr>
            <w:tcW w:w="9680" w:type="dxa"/>
            <w:vAlign w:val="bottom"/>
            <w:tcBorders>
              <w:top w:val="single" w:sz="8" w:color="0000FF"/>
            </w:tcBorders>
            <w:gridSpan w:val="30"/>
          </w:tcPr>
          <w:p>
            <w:pPr>
              <w:spacing w:after="0" w:line="152"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the Company's Current Report on Form 8-K, filed with the SEC on June 30, 2021).</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840" w:type="dxa"/>
            <w:vAlign w:val="bottom"/>
            <w:gridSpan w:val="38"/>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Form of Indemnification Agreement (incorporated by reference to Exhibit 10.8 to the Company's Current Report on Form 8-K, filed with</w:t>
              </w:r>
            </w:hyperlink>
          </w:p>
        </w:tc>
      </w:tr>
      <w:tr>
        <w:trPr>
          <w:trHeight w:val="152"/>
        </w:trPr>
        <w:tc>
          <w:tcPr>
            <w:tcW w:w="140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the SEC on June 30, 2021).</w:t>
              </w:r>
            </w:hyperlink>
          </w:p>
        </w:tc>
        <w:tc>
          <w:tcPr>
            <w:tcW w:w="7800" w:type="dxa"/>
            <w:vAlign w:val="bottom"/>
            <w:tcBorders>
              <w:top w:val="single" w:sz="8" w:color="0000FF"/>
            </w:tcBorders>
            <w:gridSpan w:val="30"/>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40" w:type="dxa"/>
            <w:vAlign w:val="bottom"/>
            <w:gridSpan w:val="38"/>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Amendment Agreement, dated as of June 15, 2021, by and among Perella Weinberg Partners Group LP, as Borrower, PWP Holdings LP,</w:t>
              </w:r>
            </w:hyperlink>
          </w:p>
        </w:tc>
      </w:tr>
      <w:tr>
        <w:trPr>
          <w:trHeight w:val="152"/>
        </w:trPr>
        <w:tc>
          <w:tcPr>
            <w:tcW w:w="1400" w:type="dxa"/>
            <w:vAlign w:val="bottom"/>
          </w:tcPr>
          <w:p>
            <w:pPr>
              <w:spacing w:after="0"/>
              <w:rPr>
                <w:sz w:val="13"/>
                <w:szCs w:val="13"/>
                <w:color w:val="auto"/>
              </w:rPr>
            </w:pPr>
          </w:p>
        </w:tc>
        <w:tc>
          <w:tcPr>
            <w:tcW w:w="966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the subsidiary guarantors party thereto, each Lender under the Credit Agreement and Cadence Bank, N.A., as administrative agent</w:t>
              </w:r>
            </w:hyperlink>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5"/>
        </w:trPr>
        <w:tc>
          <w:tcPr>
            <w:tcW w:w="1400" w:type="dxa"/>
            <w:vAlign w:val="bottom"/>
          </w:tcPr>
          <w:p>
            <w:pPr>
              <w:spacing w:after="0"/>
              <w:rPr>
                <w:sz w:val="14"/>
                <w:szCs w:val="14"/>
                <w:color w:val="auto"/>
              </w:rPr>
            </w:pPr>
          </w:p>
        </w:tc>
        <w:tc>
          <w:tcPr>
            <w:tcW w:w="9200" w:type="dxa"/>
            <w:vAlign w:val="bottom"/>
            <w:tcBorders>
              <w:top w:val="single" w:sz="8" w:color="0000FF"/>
            </w:tcBorders>
            <w:gridSpan w:val="19"/>
          </w:tcPr>
          <w:p>
            <w:pPr>
              <w:spacing w:after="0" w:line="165"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(incorporated by reference to Exhibit 10.9 to the Company's Current Report on Form 8-K, filed with the SEC on June 30, 2021).</w:t>
              </w:r>
            </w:hyperlink>
          </w:p>
        </w:tc>
        <w:tc>
          <w:tcPr>
            <w:tcW w:w="240" w:type="dxa"/>
            <w:vAlign w:val="bottom"/>
            <w:gridSpan w:val="2"/>
          </w:tcPr>
          <w:p>
            <w:pPr>
              <w:spacing w:after="0"/>
              <w:rPr>
                <w:sz w:val="14"/>
                <w:szCs w:val="14"/>
                <w:color w:val="auto"/>
              </w:rPr>
            </w:pPr>
          </w:p>
        </w:tc>
        <w:tc>
          <w:tcPr>
            <w:tcW w:w="360" w:type="dxa"/>
            <w:vAlign w:val="bottom"/>
            <w:gridSpan w:val="1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80" w:type="dxa"/>
            <w:vAlign w:val="bottom"/>
            <w:gridSpan w:val="7"/>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6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40" w:type="dxa"/>
            <w:vAlign w:val="bottom"/>
            <w:gridSpan w:val="38"/>
          </w:tcPr>
          <w:p>
            <w:pPr>
              <w:spacing w:after="0"/>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Form of Management Performance Restricted Stock Unit Award Agreement (incorporated by reference to Exhibit 10.13 to the Company's</w:t>
              </w:r>
            </w:hyperlink>
          </w:p>
        </w:tc>
      </w:tr>
      <w:tr>
        <w:trPr>
          <w:trHeight w:val="152"/>
        </w:trPr>
        <w:tc>
          <w:tcPr>
            <w:tcW w:w="1400" w:type="dxa"/>
            <w:vAlign w:val="bottom"/>
          </w:tcPr>
          <w:p>
            <w:pPr>
              <w:spacing w:after="0"/>
              <w:rPr>
                <w:sz w:val="13"/>
                <w:szCs w:val="13"/>
                <w:color w:val="auto"/>
              </w:rPr>
            </w:pPr>
          </w:p>
        </w:tc>
        <w:tc>
          <w:tcPr>
            <w:tcW w:w="9800" w:type="dxa"/>
            <w:vAlign w:val="bottom"/>
            <w:tcBorders>
              <w:top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Quarterly Report on Form 10-Q, filed with the SEC on August 12, 2021).</w:t>
              </w:r>
            </w:hyperlink>
          </w:p>
        </w:tc>
        <w:tc>
          <w:tcPr>
            <w:tcW w:w="40" w:type="dxa"/>
            <w:vAlign w:val="bottom"/>
            <w:gridSpan w:val="2"/>
          </w:tcPr>
          <w:p>
            <w:pPr>
              <w:spacing w:after="0"/>
              <w:rPr>
                <w:sz w:val="13"/>
                <w:szCs w:val="13"/>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1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List of Subsidiaries</w:t>
            </w:r>
            <w:r>
              <w:rPr>
                <w:rFonts w:ascii="Times New Roman" w:cs="Times New Roman" w:eastAsia="Times New Roman" w:hAnsi="Times New Roman"/>
                <w:sz w:val="18"/>
                <w:szCs w:val="18"/>
                <w:color w:val="000000"/>
              </w:rPr>
              <w:t>.</w:t>
            </w:r>
          </w:p>
        </w:tc>
        <w:tc>
          <w:tcPr>
            <w:tcW w:w="4660" w:type="dxa"/>
            <w:vAlign w:val="bottom"/>
            <w:gridSpan w:val="28"/>
          </w:tcPr>
          <w:p>
            <w:pPr>
              <w:spacing w:after="0"/>
              <w:rPr>
                <w:sz w:val="24"/>
                <w:szCs w:val="24"/>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20" w:type="dxa"/>
            <w:vAlign w:val="bottom"/>
            <w:gridSpan w:val="12"/>
          </w:tcPr>
          <w:p>
            <w:pPr>
              <w:spacing w:after="0" w:line="20" w:lineRule="exact"/>
              <w:rPr>
                <w:sz w:val="1"/>
                <w:szCs w:val="1"/>
                <w:color w:val="auto"/>
              </w:rPr>
            </w:pPr>
          </w:p>
        </w:tc>
        <w:tc>
          <w:tcPr>
            <w:tcW w:w="400" w:type="dxa"/>
            <w:vAlign w:val="bottom"/>
            <w:gridSpan w:val="17"/>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 independent registered accounting firm.</w:t>
            </w:r>
          </w:p>
        </w:tc>
        <w:tc>
          <w:tcPr>
            <w:tcW w:w="4720" w:type="dxa"/>
            <w:vAlign w:val="bottom"/>
            <w:gridSpan w:val="29"/>
          </w:tcPr>
          <w:p>
            <w:pPr>
              <w:spacing w:after="0"/>
              <w:rPr>
                <w:sz w:val="24"/>
                <w:szCs w:val="24"/>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8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Powers of Attorney (included on signature page).</w:t>
            </w:r>
          </w:p>
        </w:tc>
      </w:tr>
      <w:tr>
        <w:trPr>
          <w:trHeight w:val="20"/>
        </w:trPr>
        <w:tc>
          <w:tcPr>
            <w:tcW w:w="1400" w:type="dxa"/>
            <w:vAlign w:val="bottom"/>
          </w:tcPr>
          <w:p>
            <w:pPr>
              <w:spacing w:after="0" w:line="20" w:lineRule="exact"/>
              <w:rPr>
                <w:sz w:val="1"/>
                <w:szCs w:val="1"/>
                <w:color w:val="auto"/>
              </w:rPr>
            </w:pPr>
          </w:p>
        </w:tc>
        <w:tc>
          <w:tcPr>
            <w:tcW w:w="3480" w:type="dxa"/>
            <w:vAlign w:val="bottom"/>
            <w:gridSpan w:val="6"/>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560" w:type="dxa"/>
            <w:vAlign w:val="bottom"/>
            <w:gridSpan w:val="13"/>
          </w:tcPr>
          <w:p>
            <w:pPr>
              <w:spacing w:after="0" w:line="20" w:lineRule="exact"/>
              <w:rPr>
                <w:sz w:val="1"/>
                <w:szCs w:val="1"/>
                <w:color w:val="auto"/>
              </w:rPr>
            </w:pPr>
          </w:p>
        </w:tc>
        <w:tc>
          <w:tcPr>
            <w:tcW w:w="400" w:type="dxa"/>
            <w:vAlign w:val="bottom"/>
            <w:gridSpan w:val="17"/>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52"/>
        </w:trPr>
        <w:tc>
          <w:tcPr>
            <w:tcW w:w="1400" w:type="dxa"/>
            <w:vAlign w:val="bottom"/>
          </w:tcPr>
          <w:p>
            <w:pPr>
              <w:spacing w:after="0"/>
              <w:rPr>
                <w:sz w:val="13"/>
                <w:szCs w:val="13"/>
                <w:color w:val="auto"/>
              </w:rPr>
            </w:pPr>
          </w:p>
        </w:tc>
        <w:tc>
          <w:tcPr>
            <w:tcW w:w="9440" w:type="dxa"/>
            <w:vAlign w:val="bottom"/>
            <w:tcBorders>
              <w:top w:val="single" w:sz="8" w:color="0000FF"/>
            </w:tcBorders>
            <w:gridSpan w:val="21"/>
          </w:tcPr>
          <w:p>
            <w:pPr>
              <w:spacing w:after="0" w:line="152"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00" w:type="dxa"/>
            <w:vAlign w:val="bottom"/>
            <w:gridSpan w:val="17"/>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170180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17" w:name="page118"/>
    <w:bookmarkEnd w:id="117"/>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Rules 13a-14(a) and 15d-14(a) under the Securities Exchange Act of 1934, as</w:t>
            </w:r>
          </w:p>
        </w:tc>
      </w:tr>
      <w:tr>
        <w:trPr>
          <w:trHeight w:val="152"/>
        </w:trPr>
        <w:tc>
          <w:tcPr>
            <w:tcW w:w="1420" w:type="dxa"/>
            <w:vAlign w:val="bottom"/>
          </w:tcPr>
          <w:p>
            <w:pPr>
              <w:spacing w:after="0"/>
              <w:rPr>
                <w:sz w:val="13"/>
                <w:szCs w:val="13"/>
                <w:color w:val="auto"/>
              </w:rPr>
            </w:pPr>
          </w:p>
        </w:tc>
        <w:tc>
          <w:tcPr>
            <w:tcW w:w="9400" w:type="dxa"/>
            <w:vAlign w:val="bottom"/>
            <w:tcBorders>
              <w:top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20" w:type="dxa"/>
            <w:vAlign w:val="bottom"/>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Certification of Principal Executive Officer Pursuant to 18 U.S.C. Section 1350, as Adopted Pursuant to Section 906 of the Sarbanes-</w:t>
            </w:r>
          </w:p>
        </w:tc>
      </w:tr>
      <w:tr>
        <w:trPr>
          <w:trHeight w:val="152"/>
        </w:trPr>
        <w:tc>
          <w:tcPr>
            <w:tcW w:w="1420" w:type="dxa"/>
            <w:vAlign w:val="bottom"/>
          </w:tcPr>
          <w:p>
            <w:pPr>
              <w:spacing w:after="0"/>
              <w:rPr>
                <w:sz w:val="13"/>
                <w:szCs w:val="13"/>
                <w:color w:val="auto"/>
              </w:rPr>
            </w:pPr>
          </w:p>
        </w:tc>
        <w:tc>
          <w:tcPr>
            <w:tcW w:w="1360" w:type="dxa"/>
            <w:vAlign w:val="bottom"/>
            <w:tcBorders>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Oxley Act of 2002.</w:t>
            </w:r>
          </w:p>
        </w:tc>
        <w:tc>
          <w:tcPr>
            <w:tcW w:w="8060" w:type="dxa"/>
            <w:vAlign w:val="bottom"/>
            <w:gridSpan w:val="4"/>
          </w:tcPr>
          <w:p>
            <w:pPr>
              <w:spacing w:after="0"/>
              <w:rPr>
                <w:sz w:val="13"/>
                <w:szCs w:val="13"/>
                <w:color w:val="auto"/>
              </w:rPr>
            </w:pPr>
          </w:p>
        </w:tc>
      </w:tr>
      <w:tr>
        <w:trPr>
          <w:trHeight w:val="32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18 U.S.C. Section 1350, as Adopted Pursuant to Section 906 of the Sarbanes-</w:t>
            </w:r>
          </w:p>
        </w:tc>
      </w:tr>
      <w:tr>
        <w:trPr>
          <w:trHeight w:val="152"/>
        </w:trPr>
        <w:tc>
          <w:tcPr>
            <w:tcW w:w="14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Oxley Act of 2002.</w:t>
            </w:r>
          </w:p>
        </w:tc>
        <w:tc>
          <w:tcPr>
            <w:tcW w:w="802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1"/>
        </w:trPr>
        <w:tc>
          <w:tcPr>
            <w:tcW w:w="1420" w:type="dxa"/>
            <w:vAlign w:val="bottom"/>
          </w:tcPr>
          <w:p>
            <w:pPr>
              <w:spacing w:after="0"/>
              <w:rPr>
                <w:sz w:val="20"/>
                <w:szCs w:val="20"/>
                <w:color w:val="auto"/>
              </w:rPr>
            </w:pP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7"/>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Definitions Linkbase Document.</w:t>
            </w:r>
          </w:p>
        </w:tc>
      </w:tr>
      <w:tr>
        <w:trPr>
          <w:trHeight w:val="22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1"/>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626"/>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  Filed herewith</w:t>
            </w:r>
          </w:p>
        </w:tc>
        <w:tc>
          <w:tcPr>
            <w:tcW w:w="13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ind w:left="280" w:hanging="274"/>
        <w:spacing w:after="0"/>
        <w:tabs>
          <w:tab w:leader="none" w:pos="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1" w:lineRule="exact"/>
        <w:rPr>
          <w:rFonts w:ascii="Times New Roman" w:cs="Times New Roman" w:eastAsia="Times New Roman" w:hAnsi="Times New Roman"/>
          <w:sz w:val="14"/>
          <w:szCs w:val="14"/>
          <w:color w:val="auto"/>
        </w:rPr>
      </w:pPr>
    </w:p>
    <w:p>
      <w:pPr>
        <w:ind w:left="320" w:right="600" w:hanging="314"/>
        <w:spacing w:after="0" w:line="256" w:lineRule="auto"/>
        <w:tabs>
          <w:tab w:leader="none" w:pos="39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Effective January 1, 2023, we entered into amended and restated employment agreements with each of our named executive officers to reflect the changes in position previously reported in the Form 8-K filed on September 26, 2022.</w:t>
      </w:r>
    </w:p>
    <w:p>
      <w:pPr>
        <w:spacing w:after="0" w:line="6" w:lineRule="exact"/>
        <w:rPr>
          <w:sz w:val="20"/>
          <w:szCs w:val="20"/>
          <w:color w:val="auto"/>
        </w:rPr>
      </w:pPr>
    </w:p>
    <w:p>
      <w:pPr>
        <w:ind w:left="240" w:hanging="234"/>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Indicates a management or compensatory plan.</w:t>
      </w:r>
    </w:p>
    <w:p>
      <w:pPr>
        <w:spacing w:after="0" w:line="4" w:lineRule="exact"/>
        <w:rPr>
          <w:sz w:val="20"/>
          <w:szCs w:val="20"/>
          <w:color w:val="auto"/>
        </w:rPr>
      </w:pPr>
    </w:p>
    <w:p>
      <w:pPr>
        <w:ind w:left="320" w:hanging="314"/>
        <w:spacing w:after="0" w:line="247"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New York, New York.</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5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28, 2023</w:t>
            </w:r>
          </w:p>
        </w:tc>
        <w:tc>
          <w:tcPr>
            <w:tcW w:w="22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BEDNAR</w:t>
            </w:r>
          </w:p>
        </w:tc>
      </w:tr>
      <w:tr>
        <w:trPr>
          <w:trHeight w:val="211"/>
        </w:trPr>
        <w:tc>
          <w:tcPr>
            <w:tcW w:w="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Andrew Bednar</w:t>
            </w:r>
          </w:p>
        </w:tc>
      </w:tr>
      <w:tr>
        <w:trPr>
          <w:trHeight w:val="225"/>
        </w:trPr>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3"/>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4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28, 2023</w:t>
            </w:r>
          </w:p>
        </w:tc>
        <w:tc>
          <w:tcPr>
            <w:tcW w:w="22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S. BARANCIK</w:t>
            </w:r>
          </w:p>
        </w:tc>
      </w:tr>
      <w:tr>
        <w:trPr>
          <w:trHeight w:val="211"/>
        </w:trPr>
        <w:tc>
          <w:tcPr>
            <w:tcW w:w="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Gary S. Barancik</w:t>
            </w:r>
          </w:p>
        </w:tc>
      </w:tr>
      <w:tr>
        <w:trPr>
          <w:trHeight w:val="225"/>
        </w:trPr>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3"/>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KNOW BY ALL PERSONS BY THESE PRESENTS, that each person whose signature appears below constitutes and appoints Andrew Bednar, Gary S. Barancik and Vladimir Shendelman,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below by the following persons on behalf of the registrant and in the capacities indicated on February 28, 2023.</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80" w:type="dxa"/>
            <w:vAlign w:val="bottom"/>
          </w:tcPr>
          <w:p>
            <w:pPr>
              <w:spacing w:after="0"/>
              <w:rPr>
                <w:sz w:val="16"/>
                <w:szCs w:val="16"/>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4"/>
        </w:trPr>
        <w:tc>
          <w:tcPr>
            <w:tcW w:w="5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41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ANDREW BEDNAR</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Bednar</w:t>
            </w:r>
          </w:p>
        </w:tc>
        <w:tc>
          <w:tcPr>
            <w:tcW w:w="8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GARY S. BARANCIK</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Gary S. Barancik</w:t>
            </w:r>
          </w:p>
        </w:tc>
        <w:tc>
          <w:tcPr>
            <w:tcW w:w="8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ALEXANDRA GOTTSCHALK</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Accounting Officer</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Alexandra Gottschalk</w:t>
            </w:r>
          </w:p>
        </w:tc>
        <w:tc>
          <w:tcPr>
            <w:tcW w:w="8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Accounting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PETER A. WEINBERG</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Peter A. Weinberg</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JOSEPH R. PERELLA</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 Emeritus</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Joseph R. Perella</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K. STEEL</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Vice Chairman</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K. Steel</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DIETRICH BECKER</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Dietrich Becker</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ELIZABETH (BETH) COGAN FASCITELLI</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Elizabeth (Beth) Cogan Fascitelli</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KRISTIN W. MUGFORD</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Kristin W. Mugford</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JORMA OLLILA</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Jorma Ollila</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IVAN G. SEIDENBERG</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Ivan G. Seidenberg</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JANE C. SHERBURNE</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Jane C. Sherburne</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DANIEL G. COHEN</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Daniel G. Cohen</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40"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340" w:right="60"/>
        <w:spacing w:after="0" w:line="302" w:lineRule="auto"/>
        <w:rPr>
          <w:sz w:val="20"/>
          <w:szCs w:val="20"/>
          <w:color w:val="auto"/>
        </w:rPr>
      </w:pPr>
      <w:r>
        <w:rPr>
          <w:rFonts w:ascii="Times New Roman" w:cs="Times New Roman" w:eastAsia="Times New Roman" w:hAnsi="Times New Roman"/>
          <w:sz w:val="19"/>
          <w:szCs w:val="19"/>
          <w:b w:val="1"/>
          <w:bCs w:val="1"/>
          <w:color w:val="auto"/>
        </w:rPr>
        <w:t xml:space="preserve">DESCRIPTION OF </w:t>
      </w:r>
      <w:r>
        <w:rPr>
          <w:rFonts w:ascii="Times New Roman" w:cs="Times New Roman" w:eastAsia="Times New Roman" w:hAnsi="Times New Roman"/>
          <w:sz w:val="21"/>
          <w:szCs w:val="21"/>
          <w:b w:val="1"/>
          <w:bCs w:val="1"/>
          <w:color w:val="auto"/>
        </w:rPr>
        <w:t>REGISTRANT’S SECURITIES REGISTERED PURSUANT TO SECTION 12 OF THE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b w:val="1"/>
          <w:bCs w:val="1"/>
          <w:color w:val="auto"/>
        </w:rPr>
        <w:t>EXCHANGE ACT OF 1934, AS AMENDED</w:t>
      </w:r>
    </w:p>
    <w:p>
      <w:pPr>
        <w:spacing w:after="0" w:line="150" w:lineRule="exact"/>
        <w:rPr>
          <w:sz w:val="20"/>
          <w:szCs w:val="20"/>
          <w:color w:val="auto"/>
        </w:rPr>
      </w:pPr>
    </w:p>
    <w:p>
      <w:pPr>
        <w:ind w:right="200" w:firstLine="636"/>
        <w:spacing w:after="0" w:line="265" w:lineRule="auto"/>
        <w:rPr>
          <w:sz w:val="20"/>
          <w:szCs w:val="20"/>
          <w:color w:val="auto"/>
        </w:rPr>
      </w:pPr>
      <w:r>
        <w:rPr>
          <w:rFonts w:ascii="Times New Roman" w:cs="Times New Roman" w:eastAsia="Times New Roman" w:hAnsi="Times New Roman"/>
          <w:sz w:val="19"/>
          <w:szCs w:val="19"/>
          <w:i w:val="1"/>
          <w:iCs w:val="1"/>
          <w:color w:val="auto"/>
        </w:rPr>
        <w:t>The following description of the securities of Perella Weinberg Partners (the “</w:t>
      </w:r>
      <w:r>
        <w:rPr>
          <w:rFonts w:ascii="Times New Roman" w:cs="Times New Roman" w:eastAsia="Times New Roman" w:hAnsi="Times New Roman"/>
          <w:sz w:val="21"/>
          <w:szCs w:val="21"/>
          <w:i w:val="1"/>
          <w:iCs w:val="1"/>
          <w:u w:val="single" w:color="auto"/>
          <w:color w:val="auto"/>
        </w:rPr>
        <w:t>Company</w:t>
      </w:r>
      <w:r>
        <w:rPr>
          <w:rFonts w:ascii="Times New Roman" w:cs="Times New Roman" w:eastAsia="Times New Roman" w:hAnsi="Times New Roman"/>
          <w:sz w:val="19"/>
          <w:szCs w:val="19"/>
          <w:i w:val="1"/>
          <w:iCs w:val="1"/>
          <w:color w:val="auto"/>
        </w:rPr>
        <w:t>,” “</w:t>
      </w:r>
      <w:r>
        <w:rPr>
          <w:rFonts w:ascii="Times New Roman" w:cs="Times New Roman" w:eastAsia="Times New Roman" w:hAnsi="Times New Roman"/>
          <w:sz w:val="21"/>
          <w:szCs w:val="21"/>
          <w:i w:val="1"/>
          <w:iCs w:val="1"/>
          <w:u w:val="single" w:color="auto"/>
          <w:color w:val="auto"/>
        </w:rPr>
        <w:t>we</w:t>
      </w:r>
      <w:r>
        <w:rPr>
          <w:rFonts w:ascii="Times New Roman" w:cs="Times New Roman" w:eastAsia="Times New Roman" w:hAnsi="Times New Roman"/>
          <w:sz w:val="19"/>
          <w:szCs w:val="19"/>
          <w:i w:val="1"/>
          <w:iCs w:val="1"/>
          <w:color w:val="auto"/>
        </w:rPr>
        <w:t>,” “</w:t>
      </w:r>
      <w:r>
        <w:rPr>
          <w:rFonts w:ascii="Times New Roman" w:cs="Times New Roman" w:eastAsia="Times New Roman" w:hAnsi="Times New Roman"/>
          <w:sz w:val="21"/>
          <w:szCs w:val="21"/>
          <w:i w:val="1"/>
          <w:iCs w:val="1"/>
          <w:u w:val="single" w:color="auto"/>
          <w:color w:val="auto"/>
        </w:rPr>
        <w:t>us</w:t>
      </w:r>
      <w:r>
        <w:rPr>
          <w:rFonts w:ascii="Times New Roman" w:cs="Times New Roman" w:eastAsia="Times New Roman" w:hAnsi="Times New Roman"/>
          <w:sz w:val="19"/>
          <w:szCs w:val="19"/>
          <w:i w:val="1"/>
          <w:iCs w:val="1"/>
          <w:color w:val="auto"/>
        </w:rPr>
        <w:t>,” and “</w:t>
      </w:r>
      <w:r>
        <w:rPr>
          <w:rFonts w:ascii="Times New Roman" w:cs="Times New Roman" w:eastAsia="Times New Roman" w:hAnsi="Times New Roman"/>
          <w:sz w:val="21"/>
          <w:szCs w:val="21"/>
          <w:i w:val="1"/>
          <w:iCs w:val="1"/>
          <w:u w:val="single" w:color="auto"/>
          <w:color w:val="auto"/>
        </w:rPr>
        <w:t>our</w:t>
      </w:r>
      <w:r>
        <w:rPr>
          <w:rFonts w:ascii="Times New Roman" w:cs="Times New Roman" w:eastAsia="Times New Roman" w:hAnsi="Times New Roman"/>
          <w:sz w:val="19"/>
          <w:szCs w:val="19"/>
          <w:i w:val="1"/>
          <w:iCs w:val="1"/>
          <w:color w:val="auto"/>
        </w:rPr>
        <w:t>”) and certain provisions of our restated certificate of incorporation (the “</w:t>
      </w:r>
      <w:r>
        <w:rPr>
          <w:rFonts w:ascii="Times New Roman" w:cs="Times New Roman" w:eastAsia="Times New Roman" w:hAnsi="Times New Roman"/>
          <w:sz w:val="21"/>
          <w:szCs w:val="21"/>
          <w:i w:val="1"/>
          <w:iCs w:val="1"/>
          <w:u w:val="single" w:color="auto"/>
          <w:color w:val="auto"/>
        </w:rPr>
        <w:t>Restated Certificate of Incorporation</w:t>
      </w:r>
      <w:r>
        <w:rPr>
          <w:rFonts w:ascii="Times New Roman" w:cs="Times New Roman" w:eastAsia="Times New Roman" w:hAnsi="Times New Roman"/>
          <w:sz w:val="19"/>
          <w:szCs w:val="19"/>
          <w:i w:val="1"/>
          <w:iCs w:val="1"/>
          <w:color w:val="auto"/>
        </w:rPr>
        <w:t>”) and amended and restated bylaws (the “</w:t>
      </w:r>
      <w:r>
        <w:rPr>
          <w:rFonts w:ascii="Times New Roman" w:cs="Times New Roman" w:eastAsia="Times New Roman" w:hAnsi="Times New Roman"/>
          <w:sz w:val="21"/>
          <w:szCs w:val="21"/>
          <w:i w:val="1"/>
          <w:iCs w:val="1"/>
          <w:u w:val="single" w:color="auto"/>
          <w:color w:val="auto"/>
        </w:rPr>
        <w:t>Bylaws</w:t>
      </w:r>
      <w:r>
        <w:rPr>
          <w:rFonts w:ascii="Times New Roman" w:cs="Times New Roman" w:eastAsia="Times New Roman" w:hAnsi="Times New Roman"/>
          <w:sz w:val="19"/>
          <w:szCs w:val="19"/>
          <w:i w:val="1"/>
          <w:iCs w:val="1"/>
          <w:color w:val="auto"/>
        </w:rPr>
        <w:t>”) are summaries and are qualified in their entirety by reference to the full text of the Restated Certificate of Incorporation and Bylaws, copies of which have been filed with the Securities and Exchange Commission, and applicable provisions of the General Corporation Law of the State of Delaware (the “</w:t>
      </w:r>
      <w:r>
        <w:rPr>
          <w:rFonts w:ascii="Times New Roman" w:cs="Times New Roman" w:eastAsia="Times New Roman" w:hAnsi="Times New Roman"/>
          <w:sz w:val="21"/>
          <w:szCs w:val="21"/>
          <w:i w:val="1"/>
          <w:iCs w:val="1"/>
          <w:u w:val="single" w:color="auto"/>
          <w:color w:val="auto"/>
        </w:rPr>
        <w:t>DGCL</w:t>
      </w:r>
      <w:r>
        <w:rPr>
          <w:rFonts w:ascii="Times New Roman" w:cs="Times New Roman" w:eastAsia="Times New Roman" w:hAnsi="Times New Roman"/>
          <w:sz w:val="19"/>
          <w:szCs w:val="19"/>
          <w:i w:val="1"/>
          <w:iCs w:val="1"/>
          <w:color w:val="auto"/>
        </w:rPr>
        <w:t>”).</w:t>
      </w:r>
    </w:p>
    <w:p>
      <w:pPr>
        <w:spacing w:after="0" w:line="194" w:lineRule="exact"/>
        <w:rPr>
          <w:sz w:val="20"/>
          <w:szCs w:val="20"/>
          <w:color w:val="auto"/>
        </w:rPr>
      </w:pPr>
    </w:p>
    <w:p>
      <w:pPr>
        <w:ind w:right="700" w:firstLine="636"/>
        <w:spacing w:after="0" w:line="276" w:lineRule="auto"/>
        <w:rPr>
          <w:sz w:val="20"/>
          <w:szCs w:val="20"/>
          <w:color w:val="auto"/>
        </w:rPr>
      </w:pPr>
      <w:r>
        <w:rPr>
          <w:rFonts w:ascii="Times New Roman" w:cs="Times New Roman" w:eastAsia="Times New Roman" w:hAnsi="Times New Roman"/>
          <w:sz w:val="19"/>
          <w:szCs w:val="19"/>
          <w:i w:val="1"/>
          <w:iCs w:val="1"/>
          <w:color w:val="auto"/>
        </w:rPr>
        <w:t>As of December 31, 2022, we had one class of securities registered under Section 12 of the Securities Exchange Act of 1934, as amended: Class A common stock, $0.0001 par value per share (“</w:t>
      </w:r>
      <w:r>
        <w:rPr>
          <w:rFonts w:ascii="Times New Roman" w:cs="Times New Roman" w:eastAsia="Times New Roman" w:hAnsi="Times New Roman"/>
          <w:sz w:val="21"/>
          <w:szCs w:val="21"/>
          <w:i w:val="1"/>
          <w:iCs w:val="1"/>
          <w:u w:val="single" w:color="auto"/>
          <w:color w:val="auto"/>
        </w:rPr>
        <w:t>Class A common stock</w:t>
      </w:r>
      <w:r>
        <w:rPr>
          <w:rFonts w:ascii="Times New Roman" w:cs="Times New Roman" w:eastAsia="Times New Roman" w:hAnsi="Times New Roman"/>
          <w:sz w:val="19"/>
          <w:szCs w:val="19"/>
          <w:i w:val="1"/>
          <w:iCs w:val="1"/>
          <w:color w:val="auto"/>
        </w:rPr>
        <w:t>”). All shares of our Class A common stock outstanding are fully paid and non-assessable.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and Outstanding Stock</w:t>
      </w:r>
    </w:p>
    <w:p>
      <w:pPr>
        <w:spacing w:after="0" w:line="236" w:lineRule="exact"/>
        <w:rPr>
          <w:sz w:val="20"/>
          <w:szCs w:val="20"/>
          <w:color w:val="auto"/>
        </w:rPr>
      </w:pPr>
    </w:p>
    <w:p>
      <w:pPr>
        <w:ind w:right="40" w:firstLine="318"/>
        <w:spacing w:after="0" w:line="245" w:lineRule="auto"/>
        <w:rPr>
          <w:sz w:val="20"/>
          <w:szCs w:val="20"/>
          <w:color w:val="auto"/>
        </w:rPr>
      </w:pPr>
      <w:r>
        <w:rPr>
          <w:rFonts w:ascii="Times New Roman" w:cs="Times New Roman" w:eastAsia="Times New Roman" w:hAnsi="Times New Roman"/>
          <w:sz w:val="19"/>
          <w:szCs w:val="19"/>
          <w:color w:val="auto"/>
        </w:rPr>
        <w:t>Our authorized capital stock consists of 2,200,000,000 shares, consisting of (a) 2,100,000,000 shares of common stock including (i) 1,500,000,000 shares of Class A common stock, (ii) 300,000,000 shares of Class B-1 common stock, par value $0.0001 per share (the “</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B-1 common stock</w:t>
      </w:r>
      <w:r>
        <w:rPr>
          <w:rFonts w:ascii="Times New Roman" w:cs="Times New Roman" w:eastAsia="Times New Roman" w:hAnsi="Times New Roman"/>
          <w:sz w:val="19"/>
          <w:szCs w:val="19"/>
          <w:color w:val="auto"/>
        </w:rPr>
        <w:t>”), and (iii) 300,000,000 shares of Class B-2 common stock, par value $0.0001 per share (the “</w:t>
      </w:r>
      <w:r>
        <w:rPr>
          <w:rFonts w:ascii="Times New Roman" w:cs="Times New Roman" w:eastAsia="Times New Roman" w:hAnsi="Times New Roman"/>
          <w:sz w:val="21"/>
          <w:szCs w:val="21"/>
          <w:u w:val="single" w:color="auto"/>
          <w:color w:val="auto"/>
        </w:rPr>
        <w:t>Class B-2 common stock</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together with the Class B-1 common stock, the “</w:t>
      </w:r>
      <w:r>
        <w:rPr>
          <w:rFonts w:ascii="Times New Roman" w:cs="Times New Roman" w:eastAsia="Times New Roman" w:hAnsi="Times New Roman"/>
          <w:sz w:val="21"/>
          <w:szCs w:val="21"/>
          <w:u w:val="single" w:color="auto"/>
          <w:color w:val="auto"/>
        </w:rPr>
        <w:t>Class B common stock</w:t>
      </w:r>
      <w:r>
        <w:rPr>
          <w:rFonts w:ascii="Times New Roman" w:cs="Times New Roman" w:eastAsia="Times New Roman" w:hAnsi="Times New Roman"/>
          <w:sz w:val="19"/>
          <w:szCs w:val="19"/>
          <w:color w:val="auto"/>
        </w:rPr>
        <w:t>”), and (b) 100,000,000 shares of preferred stock, par value $0.0001 per share. Unless our board of directors determines otherwise, we will issue all shares of our capital stock in uncertificated form.</w:t>
      </w:r>
    </w:p>
    <w:p>
      <w:pPr>
        <w:spacing w:after="0" w:line="206" w:lineRule="exact"/>
        <w:rPr>
          <w:sz w:val="20"/>
          <w:szCs w:val="20"/>
          <w:color w:val="auto"/>
        </w:rPr>
      </w:pPr>
    </w:p>
    <w:p>
      <w:pPr>
        <w:ind w:right="260" w:firstLine="318"/>
        <w:spacing w:after="0" w:line="251" w:lineRule="auto"/>
        <w:rPr>
          <w:sz w:val="20"/>
          <w:szCs w:val="20"/>
          <w:color w:val="auto"/>
        </w:rPr>
      </w:pPr>
      <w:r>
        <w:rPr>
          <w:rFonts w:ascii="Times New Roman" w:cs="Times New Roman" w:eastAsia="Times New Roman" w:hAnsi="Times New Roman"/>
          <w:sz w:val="19"/>
          <w:szCs w:val="19"/>
          <w:color w:val="auto"/>
        </w:rPr>
        <w:t>As of February 23, 2023, our issued and outstanding share capital consisted of: (i) 40,824,125 shares of Class A common stock, (ii) 42,599,833 shares of Class B-1 common stock, (iii) 1,964,044 shares of Class B-2 common stock, and (iv) no shares of preferred stock. Such numbers do not include DTC participants or beneficial owners holding shares through nominee names.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36" w:lineRule="exact"/>
        <w:rPr>
          <w:sz w:val="20"/>
          <w:szCs w:val="20"/>
          <w:color w:val="auto"/>
        </w:rPr>
      </w:pPr>
    </w:p>
    <w:p>
      <w:pPr>
        <w:ind w:firstLine="318"/>
        <w:spacing w:after="0" w:line="244" w:lineRule="auto"/>
        <w:rPr>
          <w:sz w:val="20"/>
          <w:szCs w:val="20"/>
          <w:color w:val="auto"/>
        </w:rPr>
      </w:pPr>
      <w:r>
        <w:rPr>
          <w:rFonts w:ascii="Times New Roman" w:cs="Times New Roman" w:eastAsia="Times New Roman" w:hAnsi="Times New Roman"/>
          <w:sz w:val="19"/>
          <w:szCs w:val="19"/>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200"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9"/>
          <w:szCs w:val="19"/>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ectPr>
          <w:pgSz w:w="11900" w:h="16838" w:orient="portrait"/>
          <w:cols w:equalWidth="0" w:num="1">
            <w:col w:w="11240"/>
          </w:cols>
          <w:pgMar w:left="320" w:top="10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firstLine="318"/>
        <w:spacing w:after="0" w:line="246" w:lineRule="auto"/>
        <w:rPr>
          <w:sz w:val="20"/>
          <w:szCs w:val="20"/>
          <w:color w:val="auto"/>
        </w:rPr>
      </w:pPr>
      <w:r>
        <w:rPr>
          <w:rFonts w:ascii="Times New Roman" w:cs="Times New Roman" w:eastAsia="Times New Roman" w:hAnsi="Times New Roman"/>
          <w:sz w:val="19"/>
          <w:szCs w:val="19"/>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 Holders of our Class A common stock do not have preemptive or subscription rights.</w:t>
      </w:r>
    </w:p>
    <w:p>
      <w:pPr>
        <w:spacing w:after="0" w:line="202" w:lineRule="exact"/>
        <w:rPr>
          <w:sz w:val="20"/>
          <w:szCs w:val="20"/>
          <w:color w:val="auto"/>
        </w:rPr>
      </w:pPr>
    </w:p>
    <w:p>
      <w:pPr>
        <w:ind w:right="60" w:firstLine="318"/>
        <w:spacing w:after="0" w:line="238" w:lineRule="auto"/>
        <w:rPr>
          <w:sz w:val="20"/>
          <w:szCs w:val="20"/>
          <w:color w:val="auto"/>
        </w:rPr>
      </w:pPr>
      <w:r>
        <w:rPr>
          <w:rFonts w:ascii="Times New Roman" w:cs="Times New Roman" w:eastAsia="Times New Roman" w:hAnsi="Times New Roman"/>
          <w:sz w:val="19"/>
          <w:szCs w:val="19"/>
          <w:color w:val="auto"/>
        </w:rPr>
        <w:t>Upon the terms and subject to the conditions of the Amended and Restated Agreement of Limited Partnership of PWP Holdings LP (“</w:t>
      </w:r>
      <w:r>
        <w:rPr>
          <w:rFonts w:ascii="Times New Roman" w:cs="Times New Roman" w:eastAsia="Times New Roman" w:hAnsi="Times New Roman"/>
          <w:sz w:val="21"/>
          <w:szCs w:val="21"/>
          <w:u w:val="single" w:color="auto"/>
          <w:color w:val="auto"/>
        </w:rPr>
        <w:t>PWP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OpCo</w:t>
      </w:r>
      <w:r>
        <w:rPr>
          <w:rFonts w:ascii="Times New Roman" w:cs="Times New Roman" w:eastAsia="Times New Roman" w:hAnsi="Times New Roman"/>
          <w:sz w:val="19"/>
          <w:szCs w:val="19"/>
          <w:color w:val="auto"/>
        </w:rPr>
        <w:t>”), holders of PWP OpCo Class A partnership units (other than us) may redeem such PWP OpCo Class A partnership units for shares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Class A common stock on a one-for-one basis or cash equal to the value of such shares, with the form of consideration determined by us.</w:t>
      </w:r>
    </w:p>
    <w:p>
      <w:pPr>
        <w:spacing w:after="0" w:line="214" w:lineRule="exact"/>
        <w:rPr>
          <w:sz w:val="20"/>
          <w:szCs w:val="20"/>
          <w:color w:val="auto"/>
        </w:rPr>
      </w:pPr>
    </w:p>
    <w:p>
      <w:pPr>
        <w:ind w:right="20" w:firstLine="318"/>
        <w:spacing w:after="0" w:line="241" w:lineRule="auto"/>
        <w:rPr>
          <w:sz w:val="20"/>
          <w:szCs w:val="20"/>
          <w:color w:val="auto"/>
        </w:rPr>
      </w:pPr>
      <w:r>
        <w:rPr>
          <w:rFonts w:ascii="Times New Roman" w:cs="Times New Roman" w:eastAsia="Times New Roman" w:hAnsi="Times New Roman"/>
          <w:sz w:val="19"/>
          <w:szCs w:val="19"/>
          <w:color w:val="auto"/>
        </w:rPr>
        <w:t>Pursuant to the Sponsor Share Surrender and Share Restriction Agreement, dated as of December 29, 2020, among the Company, PWP OpCo, FinTech Investor Holdings IV, LLC, FinTech Masala Advisors, LLC (together with FinTech Investor Holdings IV, LLC, the “</w:t>
      </w:r>
      <w:r>
        <w:rPr>
          <w:rFonts w:ascii="Times New Roman" w:cs="Times New Roman" w:eastAsia="Times New Roman" w:hAnsi="Times New Roman"/>
          <w:sz w:val="21"/>
          <w:szCs w:val="21"/>
          <w:u w:val="single" w:color="auto"/>
          <w:color w:val="auto"/>
        </w:rPr>
        <w:t>Sponsor</w:t>
      </w:r>
      <w:r>
        <w:rPr>
          <w:rFonts w:ascii="Times New Roman" w:cs="Times New Roman" w:eastAsia="Times New Roman" w:hAnsi="Times New Roman"/>
          <w:sz w:val="19"/>
          <w:szCs w:val="19"/>
          <w:color w:val="auto"/>
        </w:rPr>
        <w:t>”) and the other parties thereto (as amended on May 4, 2021, the “</w:t>
      </w:r>
      <w:r>
        <w:rPr>
          <w:rFonts w:ascii="Times New Roman" w:cs="Times New Roman" w:eastAsia="Times New Roman" w:hAnsi="Times New Roman"/>
          <w:sz w:val="21"/>
          <w:szCs w:val="21"/>
          <w:u w:val="single" w:color="auto"/>
          <w:color w:val="auto"/>
        </w:rPr>
        <w:t>Sponsor Share Surrender and Share Restriction Agreement</w:t>
      </w:r>
      <w:r>
        <w:rPr>
          <w:rFonts w:ascii="Times New Roman" w:cs="Times New Roman" w:eastAsia="Times New Roman" w:hAnsi="Times New Roman"/>
          <w:sz w:val="19"/>
          <w:szCs w:val="19"/>
          <w:color w:val="auto"/>
        </w:rPr>
        <w:t>”), the founder shares (as defined below) owned by the Sponsor as of the Closing and certain shares of Class A common stock purchased by the Sponsor as part of private placement units in connection with FinTech Acquisition Corp. IV’s (“</w:t>
      </w:r>
      <w:r>
        <w:rPr>
          <w:rFonts w:ascii="Times New Roman" w:cs="Times New Roman" w:eastAsia="Times New Roman" w:hAnsi="Times New Roman"/>
          <w:sz w:val="21"/>
          <w:szCs w:val="21"/>
          <w:u w:val="single" w:color="auto"/>
          <w:color w:val="auto"/>
        </w:rPr>
        <w:t>FTIV</w:t>
      </w:r>
      <w:r>
        <w:rPr>
          <w:rFonts w:ascii="Times New Roman" w:cs="Times New Roman" w:eastAsia="Times New Roman" w:hAnsi="Times New Roman"/>
          <w:sz w:val="19"/>
          <w:szCs w:val="19"/>
          <w:color w:val="auto"/>
        </w:rPr>
        <w:t>”) initial public offering were subject to transfer restrictions for six months following the Closing, or until December 24, 2021, and certain of the founder shares owned by the Sponsor as of the Closing continue to be subject to transfer restrictions that lapse in tranches based on share price targets or the 10-year anniversary of the Closing, whichever occurs first.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B Common Stock</w:t>
      </w:r>
    </w:p>
    <w:p>
      <w:pPr>
        <w:spacing w:after="0" w:line="236" w:lineRule="exact"/>
        <w:rPr>
          <w:sz w:val="20"/>
          <w:szCs w:val="20"/>
          <w:color w:val="auto"/>
        </w:rPr>
      </w:pPr>
    </w:p>
    <w:p>
      <w:pPr>
        <w:ind w:right="20" w:firstLine="318"/>
        <w:spacing w:after="0" w:line="241" w:lineRule="auto"/>
        <w:rPr>
          <w:sz w:val="20"/>
          <w:szCs w:val="20"/>
          <w:color w:val="auto"/>
        </w:rPr>
      </w:pPr>
      <w:r>
        <w:rPr>
          <w:rFonts w:ascii="Times New Roman" w:cs="Times New Roman" w:eastAsia="Times New Roman" w:hAnsi="Times New Roman"/>
          <w:sz w:val="19"/>
          <w:szCs w:val="19"/>
          <w:color w:val="auto"/>
        </w:rPr>
        <w:t>Following the filing of our second amended and restated certificate of incorporation with the Secretary of State of the State of Delaware in connection with the closing of the business combination with FTIV (the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19"/>
          <w:szCs w:val="19"/>
          <w:color w:val="auto"/>
        </w:rPr>
        <w:t>”), each share of Pre-Business Combination Class B common stock (as defined below) owned by the Sponsor prior to the Closing (each, a “</w:t>
      </w:r>
      <w:r>
        <w:rPr>
          <w:rFonts w:ascii="Times New Roman" w:cs="Times New Roman" w:eastAsia="Times New Roman" w:hAnsi="Times New Roman"/>
          <w:sz w:val="21"/>
          <w:szCs w:val="21"/>
          <w:u w:val="single" w:color="auto"/>
          <w:color w:val="auto"/>
        </w:rPr>
        <w:t>founder share</w:t>
      </w:r>
      <w:r>
        <w:rPr>
          <w:rFonts w:ascii="Times New Roman" w:cs="Times New Roman" w:eastAsia="Times New Roman" w:hAnsi="Times New Roman"/>
          <w:sz w:val="19"/>
          <w:szCs w:val="19"/>
          <w:color w:val="auto"/>
        </w:rPr>
        <w:t>”)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Times New Roman" w:cs="Times New Roman" w:eastAsia="Times New Roman" w:hAnsi="Times New Roman"/>
          <w:sz w:val="21"/>
          <w:szCs w:val="21"/>
          <w:u w:val="single" w:color="auto"/>
          <w:color w:val="auto"/>
        </w:rPr>
        <w:t>Pre-Business Combination Class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19"/>
          <w:szCs w:val="19"/>
          <w:color w:val="auto"/>
        </w:rPr>
        <w:t>”), into one share of Class A common stock and the number of authorized shares of Pre-Business Combination Class B 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stock was reduced to zero.</w:t>
      </w:r>
    </w:p>
    <w:p>
      <w:pPr>
        <w:spacing w:after="0" w:line="209" w:lineRule="exact"/>
        <w:rPr>
          <w:sz w:val="20"/>
          <w:szCs w:val="20"/>
          <w:color w:val="auto"/>
        </w:rPr>
      </w:pPr>
    </w:p>
    <w:p>
      <w:pPr>
        <w:ind w:right="20" w:firstLine="318"/>
        <w:spacing w:after="0" w:line="241" w:lineRule="auto"/>
        <w:rPr>
          <w:sz w:val="20"/>
          <w:szCs w:val="20"/>
          <w:color w:val="auto"/>
        </w:rPr>
      </w:pPr>
      <w:r>
        <w:rPr>
          <w:rFonts w:ascii="Times New Roman" w:cs="Times New Roman" w:eastAsia="Times New Roman" w:hAnsi="Times New Roman"/>
          <w:sz w:val="19"/>
          <w:szCs w:val="19"/>
          <w:color w:val="auto"/>
        </w:rPr>
        <w:t>For so long as PWP Professional Partners LP (“</w:t>
      </w:r>
      <w:r>
        <w:rPr>
          <w:rFonts w:ascii="Times New Roman" w:cs="Times New Roman" w:eastAsia="Times New Roman" w:hAnsi="Times New Roman"/>
          <w:sz w:val="21"/>
          <w:szCs w:val="21"/>
          <w:u w:val="single" w:color="auto"/>
          <w:color w:val="auto"/>
        </w:rPr>
        <w:t>Professional Partners</w:t>
      </w:r>
      <w:r>
        <w:rPr>
          <w:rFonts w:ascii="Times New Roman" w:cs="Times New Roman" w:eastAsia="Times New Roman" w:hAnsi="Times New Roman"/>
          <w:sz w:val="19"/>
          <w:szCs w:val="19"/>
          <w:color w:val="auto"/>
        </w:rPr>
        <w:t>”)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w:t>
      </w:r>
      <w:r>
        <w:rPr>
          <w:rFonts w:ascii="Times New Roman" w:cs="Times New Roman" w:eastAsia="Times New Roman" w:hAnsi="Times New Roman"/>
          <w:sz w:val="21"/>
          <w:szCs w:val="21"/>
          <w:u w:val="single" w:color="auto"/>
          <w:color w:val="auto"/>
        </w:rPr>
        <w:t>Class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Condition</w:t>
      </w:r>
      <w:r>
        <w:rPr>
          <w:rFonts w:ascii="Times New Roman" w:cs="Times New Roman" w:eastAsia="Times New Roman" w:hAnsi="Times New Roman"/>
          <w:sz w:val="19"/>
          <w:szCs w:val="19"/>
          <w:color w:val="auto"/>
        </w:rPr>
        <w:t>”), each share of our Class B-1 common stock will entitle Professional Partners or certain transferees to 10 votes for each share held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w:t>
      </w:r>
    </w:p>
    <w:p>
      <w:pPr>
        <w:sectPr>
          <w:pgSz w:w="11900" w:h="16838" w:orient="portrait"/>
          <w:cols w:equalWidth="0" w:num="1">
            <w:col w:w="11240"/>
          </w:cols>
          <w:pgMar w:left="320" w:top="105"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92" w:lineRule="exact"/>
        <w:rPr>
          <w:sz w:val="20"/>
          <w:szCs w:val="20"/>
          <w:color w:val="auto"/>
        </w:rPr>
      </w:pPr>
    </w:p>
    <w:p>
      <w:pPr>
        <w:ind w:firstLine="318"/>
        <w:spacing w:after="0" w:line="246" w:lineRule="auto"/>
        <w:rPr>
          <w:sz w:val="20"/>
          <w:szCs w:val="20"/>
          <w:color w:val="auto"/>
        </w:rPr>
      </w:pPr>
      <w:r>
        <w:rPr>
          <w:rFonts w:ascii="Times New Roman" w:cs="Times New Roman" w:eastAsia="Times New Roman" w:hAnsi="Times New Roman"/>
          <w:sz w:val="19"/>
          <w:szCs w:val="19"/>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207" w:lineRule="exact"/>
        <w:rPr>
          <w:sz w:val="20"/>
          <w:szCs w:val="20"/>
          <w:color w:val="auto"/>
        </w:rPr>
      </w:pPr>
    </w:p>
    <w:p>
      <w:pPr>
        <w:ind w:right="220" w:firstLine="318"/>
        <w:spacing w:after="0" w:line="246" w:lineRule="auto"/>
        <w:rPr>
          <w:sz w:val="20"/>
          <w:szCs w:val="20"/>
          <w:color w:val="auto"/>
        </w:rPr>
      </w:pPr>
      <w:r>
        <w:rPr>
          <w:rFonts w:ascii="Times New Roman" w:cs="Times New Roman" w:eastAsia="Times New Roman" w:hAnsi="Times New Roman"/>
          <w:sz w:val="19"/>
          <w:szCs w:val="19"/>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Holders of our Class B common stock do not have preemptive or subscription rights.</w:t>
      </w:r>
    </w:p>
    <w:p>
      <w:pPr>
        <w:spacing w:after="0" w:line="2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Concurrently with an exchange of PWP OpCo Class A partnership units for shares of Class A common stock or cash by a PWP OpCo</w:t>
      </w:r>
    </w:p>
    <w:p>
      <w:pPr>
        <w:spacing w:after="0" w:line="29"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9"/>
          <w:szCs w:val="19"/>
          <w:color w:val="auto"/>
        </w:rPr>
        <w:t>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197" w:lineRule="exact"/>
        <w:rPr>
          <w:sz w:val="20"/>
          <w:szCs w:val="20"/>
          <w:color w:val="auto"/>
        </w:rPr>
      </w:pPr>
    </w:p>
    <w:p>
      <w:pPr>
        <w:ind w:right="80" w:firstLine="318"/>
        <w:spacing w:after="0" w:line="246" w:lineRule="auto"/>
        <w:rPr>
          <w:sz w:val="20"/>
          <w:szCs w:val="20"/>
          <w:color w:val="auto"/>
        </w:rPr>
      </w:pPr>
      <w:r>
        <w:rPr>
          <w:rFonts w:ascii="Times New Roman" w:cs="Times New Roman" w:eastAsia="Times New Roman" w:hAnsi="Times New Roman"/>
          <w:sz w:val="19"/>
          <w:szCs w:val="19"/>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Amended and Restated Agreement of Limited Partnership of PWP OpCo.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236" w:lineRule="exact"/>
        <w:rPr>
          <w:sz w:val="20"/>
          <w:szCs w:val="20"/>
          <w:color w:val="auto"/>
        </w:rPr>
      </w:pPr>
    </w:p>
    <w:p>
      <w:pPr>
        <w:ind w:right="280" w:firstLine="318"/>
        <w:spacing w:after="0" w:line="255" w:lineRule="auto"/>
        <w:rPr>
          <w:sz w:val="20"/>
          <w:szCs w:val="20"/>
          <w:color w:val="auto"/>
        </w:rPr>
      </w:pPr>
      <w:r>
        <w:rPr>
          <w:rFonts w:ascii="Times New Roman" w:cs="Times New Roman" w:eastAsia="Times New Roman" w:hAnsi="Times New Roman"/>
          <w:sz w:val="19"/>
          <w:szCs w:val="19"/>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ectPr>
          <w:pgSz w:w="11900" w:h="16838" w:orient="portrait"/>
          <w:cols w:equalWidth="0" w:num="1">
            <w:col w:w="11240"/>
          </w:cols>
          <w:pgMar w:left="320" w:top="105"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9"/>
          <w:szCs w:val="19"/>
          <w:color w:val="auto"/>
        </w:rPr>
        <w:t>the voting powers, full or limited, or no voting powers of such class or series;</w:t>
      </w:r>
    </w:p>
    <w:p>
      <w:pPr>
        <w:spacing w:after="0" w:line="19" w:lineRule="exact"/>
        <w:rPr>
          <w:rFonts w:ascii="Arial" w:cs="Arial" w:eastAsia="Arial" w:hAnsi="Arial"/>
          <w:sz w:val="21"/>
          <w:szCs w:val="21"/>
          <w:color w:val="auto"/>
        </w:rPr>
      </w:pPr>
    </w:p>
    <w:p>
      <w:pPr>
        <w:ind w:left="640" w:right="860" w:hanging="316"/>
        <w:spacing w:after="0" w:line="235"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9"/>
          <w:szCs w:val="19"/>
          <w:color w:val="auto"/>
        </w:rPr>
        <w:t>the designations, preferences and relative, participating, optional or other special rights and such qualifications, limitations or restrictions thereof, of such class or series;</w:t>
      </w:r>
    </w:p>
    <w:p>
      <w:pPr>
        <w:ind w:left="640" w:hanging="316"/>
        <w:spacing w:after="0" w:line="229"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9"/>
          <w:szCs w:val="19"/>
          <w:color w:val="auto"/>
        </w:rPr>
        <w:t>the redemption rights and price or prices, if any, for shares of such class or series;</w:t>
      </w:r>
    </w:p>
    <w:p>
      <w:pPr>
        <w:spacing w:after="0" w:line="8" w:lineRule="exact"/>
        <w:rPr>
          <w:rFonts w:ascii="Arial" w:cs="Arial" w:eastAsia="Arial" w:hAnsi="Arial"/>
          <w:sz w:val="21"/>
          <w:szCs w:val="21"/>
          <w:color w:val="auto"/>
        </w:rPr>
      </w:pPr>
    </w:p>
    <w:p>
      <w:pPr>
        <w:ind w:left="640" w:right="260" w:hanging="316"/>
        <w:spacing w:after="0" w:line="235"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9"/>
          <w:szCs w:val="19"/>
          <w:color w:val="auto"/>
        </w:rPr>
        <w:t>whether dividends, if any, will be cumulative or non-cumulative and the related dividend rates, conditions and times for payment and preferences of such class or series;</w:t>
      </w:r>
    </w:p>
    <w:p>
      <w:pPr>
        <w:ind w:left="640" w:hanging="316"/>
        <w:spacing w:after="0" w:line="229"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9"/>
          <w:szCs w:val="19"/>
          <w:color w:val="auto"/>
        </w:rPr>
        <w:t>the rights of such class or series upon our dissolution or upon any distribution of our assets; and</w:t>
      </w:r>
    </w:p>
    <w:p>
      <w:pPr>
        <w:spacing w:after="0" w:line="8" w:lineRule="exact"/>
        <w:rPr>
          <w:rFonts w:ascii="Arial" w:cs="Arial" w:eastAsia="Arial" w:hAnsi="Arial"/>
          <w:sz w:val="21"/>
          <w:szCs w:val="21"/>
          <w:color w:val="auto"/>
        </w:rPr>
      </w:pPr>
    </w:p>
    <w:p>
      <w:pPr>
        <w:ind w:left="640" w:right="80" w:hanging="316"/>
        <w:spacing w:after="0" w:line="241"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9"/>
          <w:szCs w:val="19"/>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98"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9"/>
          <w:szCs w:val="19"/>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but Unissued Capital Stock</w:t>
      </w:r>
    </w:p>
    <w:p>
      <w:pPr>
        <w:spacing w:after="0" w:line="249"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9"/>
          <w:szCs w:val="19"/>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92" w:lineRule="exact"/>
        <w:rPr>
          <w:sz w:val="20"/>
          <w:szCs w:val="20"/>
          <w:color w:val="auto"/>
        </w:rPr>
      </w:pPr>
    </w:p>
    <w:p>
      <w:pPr>
        <w:ind w:right="240" w:firstLine="318"/>
        <w:spacing w:after="0" w:line="250" w:lineRule="auto"/>
        <w:rPr>
          <w:sz w:val="20"/>
          <w:szCs w:val="20"/>
          <w:color w:val="auto"/>
        </w:rPr>
      </w:pPr>
      <w:r>
        <w:rPr>
          <w:rFonts w:ascii="Times New Roman" w:cs="Times New Roman" w:eastAsia="Times New Roman" w:hAnsi="Times New Roman"/>
          <w:sz w:val="19"/>
          <w:szCs w:val="19"/>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Opportunities</w:t>
      </w:r>
    </w:p>
    <w:p>
      <w:pPr>
        <w:spacing w:after="0" w:line="236" w:lineRule="exact"/>
        <w:rPr>
          <w:sz w:val="20"/>
          <w:szCs w:val="20"/>
          <w:color w:val="auto"/>
        </w:rPr>
      </w:pPr>
    </w:p>
    <w:p>
      <w:pPr>
        <w:ind w:right="20" w:firstLine="318"/>
        <w:spacing w:after="0" w:line="242" w:lineRule="auto"/>
        <w:rPr>
          <w:sz w:val="20"/>
          <w:szCs w:val="20"/>
          <w:color w:val="auto"/>
        </w:rPr>
      </w:pPr>
      <w:r>
        <w:rPr>
          <w:rFonts w:ascii="Times New Roman" w:cs="Times New Roman" w:eastAsia="Times New Roman" w:hAnsi="Times New Roman"/>
          <w:sz w:val="19"/>
          <w:szCs w:val="19"/>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w:t>
      </w:r>
    </w:p>
    <w:p>
      <w:pPr>
        <w:sectPr>
          <w:pgSz w:w="11900" w:h="16838" w:orient="portrait"/>
          <w:cols w:equalWidth="0" w:num="1">
            <w:col w:w="11240"/>
          </w:cols>
          <w:pgMar w:left="320" w:top="105"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Forum Selection Clause</w:t>
      </w:r>
    </w:p>
    <w:p>
      <w:pPr>
        <w:spacing w:after="0" w:line="236" w:lineRule="exact"/>
        <w:rPr>
          <w:sz w:val="20"/>
          <w:szCs w:val="20"/>
          <w:color w:val="auto"/>
        </w:rPr>
      </w:pPr>
    </w:p>
    <w:p>
      <w:pPr>
        <w:ind w:firstLine="318"/>
        <w:spacing w:after="0" w:line="242" w:lineRule="auto"/>
        <w:rPr>
          <w:sz w:val="20"/>
          <w:szCs w:val="20"/>
          <w:color w:val="auto"/>
        </w:rPr>
      </w:pPr>
      <w:r>
        <w:rPr>
          <w:rFonts w:ascii="Times New Roman" w:cs="Times New Roman" w:eastAsia="Times New Roman" w:hAnsi="Times New Roman"/>
          <w:sz w:val="19"/>
          <w:szCs w:val="19"/>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Anti-Takeover Effects of Provisions of Delaware Law, Our Restated Certificate of Incorporation and the Stockholders Agreement</w:t>
      </w:r>
    </w:p>
    <w:p>
      <w:pPr>
        <w:spacing w:after="0" w:line="236"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9"/>
          <w:szCs w:val="19"/>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184"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9"/>
          <w:szCs w:val="19"/>
          <w:color w:val="auto"/>
        </w:rPr>
        <w:t>Our Restated Certificate of Incorporation provides that our board of directors will be divided into three classes that will be, as nearly as may be possible, of equal size. The initial terms of the Class I, Class II and Class III directors will initially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192"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9"/>
          <w:szCs w:val="19"/>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w:t>
      </w:r>
    </w:p>
    <w:p>
      <w:pPr>
        <w:sectPr>
          <w:pgSz w:w="11900" w:h="16838" w:orient="portrait"/>
          <w:cols w:equalWidth="0" w:num="1">
            <w:col w:w="11240"/>
          </w:cols>
          <w:pgMar w:left="320" w:top="10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480"/>
        <w:spacing w:after="0" w:line="259" w:lineRule="auto"/>
        <w:rPr>
          <w:sz w:val="20"/>
          <w:szCs w:val="20"/>
          <w:color w:val="auto"/>
        </w:rPr>
      </w:pPr>
      <w:r>
        <w:rPr>
          <w:rFonts w:ascii="Times New Roman" w:cs="Times New Roman" w:eastAsia="Times New Roman" w:hAnsi="Times New Roman"/>
          <w:sz w:val="19"/>
          <w:szCs w:val="19"/>
          <w:color w:val="auto"/>
        </w:rPr>
        <w:t>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80" w:lineRule="exact"/>
        <w:rPr>
          <w:sz w:val="20"/>
          <w:szCs w:val="20"/>
          <w:color w:val="auto"/>
        </w:rPr>
      </w:pPr>
    </w:p>
    <w:p>
      <w:pPr>
        <w:ind w:right="60" w:firstLine="318"/>
        <w:spacing w:after="0" w:line="246" w:lineRule="auto"/>
        <w:rPr>
          <w:sz w:val="20"/>
          <w:szCs w:val="20"/>
          <w:color w:val="auto"/>
        </w:rPr>
      </w:pPr>
      <w:r>
        <w:rPr>
          <w:rFonts w:ascii="Times New Roman" w:cs="Times New Roman" w:eastAsia="Times New Roman" w:hAnsi="Times New Roman"/>
          <w:sz w:val="19"/>
          <w:szCs w:val="19"/>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90" w:lineRule="exact"/>
        <w:rPr>
          <w:sz w:val="20"/>
          <w:szCs w:val="20"/>
          <w:color w:val="auto"/>
        </w:rPr>
      </w:pPr>
    </w:p>
    <w:p>
      <w:pPr>
        <w:ind w:right="40" w:firstLine="318"/>
        <w:spacing w:after="0"/>
        <w:rPr>
          <w:sz w:val="20"/>
          <w:szCs w:val="20"/>
          <w:color w:val="auto"/>
        </w:rPr>
      </w:pPr>
      <w:r>
        <w:rPr>
          <w:rFonts w:ascii="Times New Roman" w:cs="Times New Roman" w:eastAsia="Times New Roman" w:hAnsi="Times New Roman"/>
          <w:sz w:val="19"/>
          <w:szCs w:val="19"/>
          <w:color w:val="auto"/>
        </w:rPr>
        <w:t>In addition, in connection with the Closing, we entered into a stockholders agreement with Professional Partners (the “</w:t>
      </w:r>
      <w:r>
        <w:rPr>
          <w:rFonts w:ascii="Times New Roman" w:cs="Times New Roman" w:eastAsia="Times New Roman" w:hAnsi="Times New Roman"/>
          <w:sz w:val="21"/>
          <w:szCs w:val="21"/>
          <w:u w:val="single" w:color="auto"/>
          <w:color w:val="auto"/>
        </w:rPr>
        <w:t>Stockholders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19"/>
          <w:szCs w:val="19"/>
          <w:color w:val="auto"/>
        </w:rPr>
        <w:t>”). Under this agreement, Professional Partners has the right to designate a number of designees to our board of directors equal to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majority of the board of directors for so long as the Class B Condition is satisfied. For so long as the Class B Condition is no longer satisfied and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w:t>
      </w:r>
      <w:r>
        <w:rPr>
          <w:rFonts w:ascii="Times New Roman" w:cs="Times New Roman" w:eastAsia="Times New Roman" w:hAnsi="Times New Roman"/>
          <w:sz w:val="21"/>
          <w:szCs w:val="21"/>
          <w:u w:val="single" w:color="auto"/>
          <w:color w:val="auto"/>
        </w:rPr>
        <w:t>Secondary Class B Condition</w:t>
      </w:r>
      <w:r>
        <w:rPr>
          <w:rFonts w:ascii="Times New Roman" w:cs="Times New Roman" w:eastAsia="Times New Roman" w:hAnsi="Times New Roman"/>
          <w:sz w:val="19"/>
          <w:szCs w:val="19"/>
          <w:color w:val="auto"/>
        </w:rPr>
        <w:t>”),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99" w:lineRule="exact"/>
        <w:rPr>
          <w:sz w:val="20"/>
          <w:szCs w:val="20"/>
          <w:color w:val="auto"/>
        </w:rPr>
      </w:pPr>
    </w:p>
    <w:p>
      <w:pPr>
        <w:ind w:right="40" w:firstLine="318"/>
        <w:spacing w:after="0" w:line="246" w:lineRule="auto"/>
        <w:rPr>
          <w:sz w:val="20"/>
          <w:szCs w:val="20"/>
          <w:color w:val="auto"/>
        </w:rPr>
      </w:pPr>
      <w:r>
        <w:rPr>
          <w:rFonts w:ascii="Times New Roman" w:cs="Times New Roman" w:eastAsia="Times New Roman" w:hAnsi="Times New Roman"/>
          <w:sz w:val="19"/>
          <w:szCs w:val="19"/>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207" w:lineRule="exact"/>
        <w:rPr>
          <w:sz w:val="20"/>
          <w:szCs w:val="20"/>
          <w:color w:val="auto"/>
        </w:rPr>
      </w:pPr>
    </w:p>
    <w:p>
      <w:pPr>
        <w:ind w:right="120" w:firstLine="318"/>
        <w:spacing w:after="0" w:line="244" w:lineRule="auto"/>
        <w:rPr>
          <w:sz w:val="20"/>
          <w:szCs w:val="20"/>
          <w:color w:val="auto"/>
        </w:rPr>
      </w:pPr>
      <w:r>
        <w:rPr>
          <w:rFonts w:ascii="Times New Roman" w:cs="Times New Roman" w:eastAsia="Times New Roman" w:hAnsi="Times New Roman"/>
          <w:sz w:val="19"/>
          <w:szCs w:val="19"/>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w:t>
      </w:r>
    </w:p>
    <w:p>
      <w:pPr>
        <w:sectPr>
          <w:pgSz w:w="11900" w:h="16838" w:orient="portrait"/>
          <w:cols w:equalWidth="0" w:num="1">
            <w:col w:w="11240"/>
          </w:cols>
          <w:pgMar w:left="320" w:top="105"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preventing changes in our management or delaying or preventing a transaction that might benefit our minority stockholders.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Indemnification of Directors and Officers</w:t>
      </w:r>
    </w:p>
    <w:p>
      <w:pPr>
        <w:spacing w:after="0" w:line="249" w:lineRule="exact"/>
        <w:rPr>
          <w:sz w:val="20"/>
          <w:szCs w:val="20"/>
          <w:color w:val="auto"/>
        </w:rPr>
      </w:pPr>
    </w:p>
    <w:p>
      <w:pPr>
        <w:ind w:firstLine="318"/>
        <w:spacing w:after="0" w:line="246" w:lineRule="auto"/>
        <w:rPr>
          <w:sz w:val="20"/>
          <w:szCs w:val="20"/>
          <w:color w:val="auto"/>
        </w:rPr>
      </w:pPr>
      <w:r>
        <w:rPr>
          <w:rFonts w:ascii="Times New Roman" w:cs="Times New Roman" w:eastAsia="Times New Roman" w:hAnsi="Times New Roman"/>
          <w:sz w:val="19"/>
          <w:szCs w:val="19"/>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93"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9"/>
          <w:szCs w:val="19"/>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Transfer Agent</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transfer agent for our Class A Common Stock is American Stock Transfer &amp; Trust Company, LLC.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Listing</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Our Class A common stock is traded on The Nasdaq Global Select Market under the symbol “PWP.”</w:t>
      </w:r>
    </w:p>
    <w:p>
      <w:pPr>
        <w:sectPr>
          <w:pgSz w:w="11900" w:h="16838" w:orient="portrait"/>
          <w:cols w:equalWidth="0" w:num="1">
            <w:col w:w="11240"/>
          </w:cols>
          <w:pgMar w:left="320" w:top="105" w:right="339" w:bottom="1440" w:gutter="0" w:footer="0" w:header="0"/>
        </w:sectPr>
      </w:pPr>
    </w:p>
    <w:bookmarkStart w:id="128" w:name="page129"/>
    <w:bookmarkEnd w:id="128"/>
    <w:p>
      <w:pPr>
        <w:ind w:left="1014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EMPLOYMENT AGREEMENT</w:t>
      </w:r>
    </w:p>
    <w:p>
      <w:pPr>
        <w:spacing w:after="0" w:line="183" w:lineRule="exact"/>
        <w:rPr>
          <w:sz w:val="20"/>
          <w:szCs w:val="20"/>
          <w:color w:val="auto"/>
        </w:rPr>
      </w:pPr>
    </w:p>
    <w:p>
      <w:pPr>
        <w:jc w:val="both"/>
        <w:ind w:firstLine="636"/>
        <w:spacing w:after="0" w:line="227" w:lineRule="auto"/>
        <w:rPr>
          <w:sz w:val="20"/>
          <w:szCs w:val="20"/>
          <w:color w:val="auto"/>
        </w:rPr>
      </w:pPr>
      <w:r>
        <w:rPr>
          <w:rFonts w:ascii="Times New Roman" w:cs="Times New Roman" w:eastAsia="Times New Roman" w:hAnsi="Times New Roman"/>
          <w:sz w:val="21"/>
          <w:szCs w:val="21"/>
          <w:b w:val="1"/>
          <w:bCs w:val="1"/>
          <w:color w:val="auto"/>
        </w:rPr>
        <w:t xml:space="preserve">THIS AMENDED AND RESTATED EMPLOYMENT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effective as of January 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2023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is made by and between Perella Weinberg Partners, a Delaware corporation (“</w:t>
      </w:r>
      <w:r>
        <w:rPr>
          <w:rFonts w:ascii="Times New Roman" w:cs="Times New Roman" w:eastAsia="Times New Roman" w:hAnsi="Times New Roman"/>
          <w:sz w:val="21"/>
          <w:szCs w:val="21"/>
          <w:u w:val="single" w:color="auto"/>
          <w:color w:val="auto"/>
        </w:rPr>
        <w:t>PWP</w:t>
      </w:r>
      <w:r>
        <w:rPr>
          <w:rFonts w:ascii="Times New Roman" w:cs="Times New Roman" w:eastAsia="Times New Roman" w:hAnsi="Times New Roman"/>
          <w:sz w:val="21"/>
          <w:szCs w:val="21"/>
          <w:color w:val="auto"/>
        </w:rPr>
        <w:t>”), PWP Employer LP, a Delaware limited partnership (“</w:t>
      </w:r>
      <w:r>
        <w:rPr>
          <w:rFonts w:ascii="Times New Roman" w:cs="Times New Roman" w:eastAsia="Times New Roman" w:hAnsi="Times New Roman"/>
          <w:sz w:val="21"/>
          <w:szCs w:val="21"/>
          <w:u w:val="single" w:color="auto"/>
          <w:color w:val="auto"/>
        </w:rPr>
        <w:t>PWP Employer</w:t>
      </w:r>
      <w:r>
        <w:rPr>
          <w:rFonts w:ascii="Times New Roman" w:cs="Times New Roman" w:eastAsia="Times New Roman" w:hAnsi="Times New Roman"/>
          <w:sz w:val="21"/>
          <w:szCs w:val="21"/>
          <w:color w:val="auto"/>
        </w:rPr>
        <w:t>,” and together with PWP,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Peter A. Weinberg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Executive are parties to that certain employment agreement dated as of August 11, 2021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Original Employment Agreement</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effective as of January 1, 2023, Executive will step down from Executive’s role as Chief Executive Officer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w:t>
      </w:r>
    </w:p>
    <w:p>
      <w:pPr>
        <w:spacing w:after="0" w:line="13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effective as of January 1, 2023, Executive will continue to serve as Chairman of the board of directors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and will serve as a full-time officer and employee of the Company in such role; and</w:t>
      </w:r>
    </w:p>
    <w:p>
      <w:pPr>
        <w:spacing w:after="0" w:line="13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Executive mutually desire to amend and restate the Original Employment Agreement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 set forth herein, which will become effective on the Effective Date.</w:t>
      </w:r>
    </w:p>
    <w:p>
      <w:pPr>
        <w:spacing w:after="0" w:line="13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covenants and agreements hereinafter set forth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of which are hereby acknowledged, the parties hereto agree as follows:</w:t>
      </w:r>
    </w:p>
    <w:p>
      <w:pPr>
        <w:spacing w:after="0" w:line="139" w:lineRule="exact"/>
        <w:rPr>
          <w:sz w:val="20"/>
          <w:szCs w:val="20"/>
          <w:color w:val="auto"/>
        </w:rPr>
      </w:pPr>
    </w:p>
    <w:p>
      <w:pPr>
        <w:jc w:val="both"/>
        <w:ind w:firstLine="642"/>
        <w:spacing w:after="0" w:line="232" w:lineRule="auto"/>
        <w:tabs>
          <w:tab w:leader="none" w:pos="107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Executive’s employment with the Company pursuant to the terms and conditions set forth in this Agreement will commence on the Effective Date and will expire immediately upon the termination of Executive’s employment in accordance with the terms and conditions set forth in Section 5 hereof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left="1060" w:hanging="418"/>
        <w:spacing w:after="0"/>
        <w:tabs>
          <w:tab w:leader="none" w:pos="10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Title; Services and Duties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842"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Executive will serve as a full-time officer and employee of the Company in the role of Chairman of the Board pursuant to the terms of this Agreement.</w:t>
      </w:r>
    </w:p>
    <w:p>
      <w:pPr>
        <w:spacing w:after="0" w:line="142" w:lineRule="exact"/>
        <w:rPr>
          <w:rFonts w:ascii="Times New Roman" w:cs="Times New Roman" w:eastAsia="Times New Roman" w:hAnsi="Times New Roman"/>
          <w:sz w:val="21"/>
          <w:szCs w:val="21"/>
          <w:color w:val="auto"/>
        </w:rPr>
      </w:pPr>
    </w:p>
    <w:p>
      <w:pPr>
        <w:jc w:val="both"/>
        <w:ind w:firstLine="1278"/>
        <w:spacing w:after="0" w:line="215" w:lineRule="auto"/>
        <w:tabs>
          <w:tab w:leader="none" w:pos="1758"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Term, Executive will be a full-time officer and employee of the Company and report directly to the Board, and have such duties, responsibilities and authority as are reasonably prescribed by the Board from time to time and normally associated with the role of a similarly situated full-time officer and employee at an entity of similar size and nature as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changes prescribed by the Board to Executive’s position, role, duties, responsibilities or authority shall not be considered a breach of the contractual obligations of the Company set forth in this Section 2. Executive shall devote all of his business time and best efforts to the performance of his duties to the Company and will not engage in any other business, profession or occupation for compensation. Notwithstanding the foregoing, Executive may (i) continue to engage in any outside business activities previously disclosed to the Company as of the date of this Agreement, (ii) subject to prior approval of the Board (which shall not be unreasonably withheld), serve as a director or advisor of non-profit organizations or for profit companies that are not competitive with the Company, (iii) perform and participate in charitable civic, educational, professional, community, industry affairs and other related activities and (iv) manage his personal and family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activities do not result in a conflict of interest with the Company and do not unreasonably interfere, individually or in the aggregate, in any material respect with the performance of Executive’s duties hereunder.</w:t>
      </w:r>
    </w:p>
    <w:p>
      <w:pPr>
        <w:sectPr>
          <w:pgSz w:w="11900" w:h="16838" w:orient="portrait"/>
          <w:cols w:equalWidth="0" w:num="1">
            <w:col w:w="11240"/>
          </w:cols>
          <w:pgMar w:left="320" w:top="95" w:right="339" w:bottom="1440" w:gutter="0" w:footer="0" w:header="0"/>
        </w:sectPr>
      </w:pPr>
    </w:p>
    <w:bookmarkStart w:id="129" w:name="page130"/>
    <w:bookmarkEnd w:id="129"/>
    <w:p>
      <w:pPr>
        <w:spacing w:after="0" w:line="143" w:lineRule="exact"/>
        <w:rPr>
          <w:sz w:val="20"/>
          <w:szCs w:val="20"/>
          <w:color w:val="auto"/>
        </w:rPr>
      </w:pPr>
    </w:p>
    <w:p>
      <w:pPr>
        <w:ind w:left="418" w:hanging="418"/>
        <w:spacing w:after="0"/>
        <w:tabs>
          <w:tab w:leader="none" w:pos="41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2" w:firstLine="1278"/>
        <w:spacing w:after="0" w:line="226" w:lineRule="auto"/>
        <w:tabs>
          <w:tab w:leader="none" w:pos="113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Term, the Company will pay Executive a base salary in the amount of $500,000 per annum (the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payable in such installments as the Company pays other similarly situated individuals. The Base Salary will be annually reviewed for increase (but not decrease) by the Compensation Committee of the Board (the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during the Term.</w:t>
      </w:r>
    </w:p>
    <w:p>
      <w:pPr>
        <w:spacing w:after="0" w:line="150" w:lineRule="exact"/>
        <w:rPr>
          <w:rFonts w:ascii="Times New Roman" w:cs="Times New Roman" w:eastAsia="Times New Roman" w:hAnsi="Times New Roman"/>
          <w:sz w:val="21"/>
          <w:szCs w:val="21"/>
          <w:color w:val="auto"/>
        </w:rPr>
      </w:pPr>
    </w:p>
    <w:p>
      <w:pPr>
        <w:jc w:val="both"/>
        <w:ind w:left="-642" w:firstLine="1278"/>
        <w:spacing w:after="0" w:line="217" w:lineRule="auto"/>
        <w:tabs>
          <w:tab w:leader="none" w:pos="1182"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Performance Bonus</w:t>
      </w:r>
      <w:r>
        <w:rPr>
          <w:rFonts w:ascii="Times New Roman" w:cs="Times New Roman" w:eastAsia="Times New Roman" w:hAnsi="Times New Roman"/>
          <w:sz w:val="21"/>
          <w:szCs w:val="21"/>
          <w:color w:val="auto"/>
        </w:rPr>
        <w:t>. During the Term, Executive will be eligible to receive an annual discretionary performance bonus pursuant to the Company’s annual bonus program in respect of each fiscal year during the Term. The actual bonus payable to Executive will be determined by the Compensation Committee based on, among other things, individual performance for such year, the achievement of the applicable performance criteria established by the Compensation Committee for such year, and such other factors deemed to be relevant by the Compensation Committee. The Company will pay any such annual discretionary performance bonus at the same time or times, and subject to the same conditions (including any applicable repayment provisions) as annual bonus payments to other similarly situated officers of the Company, provided that Executive is an active employee of the Company, and has not given or received notice of termination of employment, as of the date on which such bonus is paid.</w:t>
      </w:r>
    </w:p>
    <w:p>
      <w:pPr>
        <w:spacing w:after="0" w:line="154" w:lineRule="exact"/>
        <w:rPr>
          <w:rFonts w:ascii="Times New Roman" w:cs="Times New Roman" w:eastAsia="Times New Roman" w:hAnsi="Times New Roman"/>
          <w:sz w:val="21"/>
          <w:szCs w:val="21"/>
          <w:color w:val="auto"/>
        </w:rPr>
      </w:pPr>
    </w:p>
    <w:p>
      <w:pPr>
        <w:ind w:left="1078" w:hanging="442"/>
        <w:spacing w:after="0"/>
        <w:tabs>
          <w:tab w:leader="none" w:pos="1078"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Equity-Based Awards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2" w:firstLine="1752"/>
        <w:spacing w:after="0" w:line="232" w:lineRule="auto"/>
        <w:tabs>
          <w:tab w:leader="none" w:pos="1423" w:val="left"/>
        </w:tabs>
        <w:numPr>
          <w:ilvl w:val="3"/>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Executive will be eligible to participate in the Company’s equity-based incentive compensation programs as in effect from time to time and receive periodic grants of equity-based awards, subject to the terms and conditions set forth in the applicable equity incentive plan and Executive’s individual award agreements.</w:t>
      </w:r>
    </w:p>
    <w:p>
      <w:pPr>
        <w:spacing w:after="0" w:line="147" w:lineRule="exact"/>
        <w:rPr>
          <w:rFonts w:ascii="Times New Roman" w:cs="Times New Roman" w:eastAsia="Times New Roman" w:hAnsi="Times New Roman"/>
          <w:sz w:val="21"/>
          <w:szCs w:val="21"/>
          <w:color w:val="auto"/>
        </w:rPr>
      </w:pPr>
    </w:p>
    <w:p>
      <w:pPr>
        <w:jc w:val="both"/>
        <w:ind w:left="-642" w:firstLine="1500"/>
        <w:spacing w:after="0" w:line="232" w:lineRule="auto"/>
        <w:tabs>
          <w:tab w:leader="none" w:pos="1167"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shall modify the terms of the individual award agreement with respect to 3,300,000 performance-based restricted stock units of the Company granted pursuant to the Management Performance Restricted Stock Unit Award Agreement dated as of August 31, 2021 (the “</w:t>
      </w:r>
      <w:r>
        <w:rPr>
          <w:rFonts w:ascii="Times New Roman" w:cs="Times New Roman" w:eastAsia="Times New Roman" w:hAnsi="Times New Roman"/>
          <w:sz w:val="21"/>
          <w:szCs w:val="21"/>
          <w:u w:val="single" w:color="auto"/>
          <w:color w:val="auto"/>
        </w:rPr>
        <w:t>Management RSU Award</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left="418" w:hanging="418"/>
        <w:spacing w:after="0"/>
        <w:tabs>
          <w:tab w:leader="none" w:pos="41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2" w:firstLine="1278"/>
        <w:spacing w:after="0"/>
        <w:tabs>
          <w:tab w:leader="none" w:pos="1104"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 and Welfare Benefits</w:t>
      </w:r>
      <w:r>
        <w:rPr>
          <w:rFonts w:ascii="Times New Roman" w:cs="Times New Roman" w:eastAsia="Times New Roman" w:hAnsi="Times New Roman"/>
          <w:sz w:val="21"/>
          <w:szCs w:val="21"/>
          <w:color w:val="auto"/>
        </w:rPr>
        <w:t>. During the Term, Executive will be eligible to participate in all benefit plans made available by the Company to similarly-situated officers of the Company from time to time. Such benefits will be subject to the applicable limitations and requirements imposed by the terms of such benefit plans and will be governed in all respects in accordance with the terms of such plans as in effect from time to time. Nothing in this Section 4(a), however, will require the Company to maintain any benefit plan or provide any type or level of benefits to its current or former employees, including Executive.</w:t>
      </w:r>
    </w:p>
    <w:p>
      <w:pPr>
        <w:spacing w:after="0" w:line="276" w:lineRule="exact"/>
        <w:rPr>
          <w:rFonts w:ascii="Times New Roman" w:cs="Times New Roman" w:eastAsia="Times New Roman" w:hAnsi="Times New Roman"/>
          <w:sz w:val="21"/>
          <w:szCs w:val="21"/>
          <w:color w:val="auto"/>
        </w:rPr>
      </w:pPr>
    </w:p>
    <w:p>
      <w:pPr>
        <w:jc w:val="both"/>
        <w:ind w:left="-642" w:firstLine="1278"/>
        <w:spacing w:after="0" w:line="232" w:lineRule="auto"/>
        <w:tabs>
          <w:tab w:leader="none" w:pos="1102"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Executive will be entitled to paid vacation in accordance with the Company’s vacation policies as in effect from time to time and applicable to similarly-situated officers of the Company. Executive will take vacation at his and the Company’s reasonable and mutual convenience.</w:t>
      </w:r>
    </w:p>
    <w:p>
      <w:pPr>
        <w:spacing w:after="0" w:line="147" w:lineRule="exact"/>
        <w:rPr>
          <w:rFonts w:ascii="Times New Roman" w:cs="Times New Roman" w:eastAsia="Times New Roman" w:hAnsi="Times New Roman"/>
          <w:sz w:val="21"/>
          <w:szCs w:val="21"/>
          <w:color w:val="auto"/>
        </w:rPr>
      </w:pPr>
    </w:p>
    <w:p>
      <w:pPr>
        <w:jc w:val="both"/>
        <w:ind w:left="-642" w:firstLine="1278"/>
        <w:spacing w:after="0" w:line="226" w:lineRule="auto"/>
        <w:tabs>
          <w:tab w:leader="none" w:pos="1157"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of Business Expenses</w:t>
      </w:r>
      <w:r>
        <w:rPr>
          <w:rFonts w:ascii="Times New Roman" w:cs="Times New Roman" w:eastAsia="Times New Roman" w:hAnsi="Times New Roman"/>
          <w:sz w:val="21"/>
          <w:szCs w:val="21"/>
          <w:color w:val="auto"/>
        </w:rPr>
        <w:t>. The Company will reimburse Executive for any expenses reasonably and necessarily incurred by Executive during the Term in furtherance of Executive’s duties hereunder, including travel, meals and accommodations, subject to Executive’s compliance with the Company’s policies with respect to reimbursement of business expenses as in effect from time to time.</w:t>
      </w:r>
    </w:p>
    <w:p>
      <w:pPr>
        <w:sectPr>
          <w:pgSz w:w="11900" w:h="16838" w:orient="portrait"/>
          <w:cols w:equalWidth="0" w:num="1">
            <w:col w:w="10598"/>
          </w:cols>
          <w:pgMar w:left="962" w:top="1440" w:right="339" w:bottom="1440" w:gutter="0" w:footer="0" w:header="0"/>
        </w:sectPr>
      </w:pPr>
    </w:p>
    <w:bookmarkStart w:id="130" w:name="page131"/>
    <w:bookmarkEnd w:id="130"/>
    <w:p>
      <w:pPr>
        <w:spacing w:after="0" w:line="143" w:lineRule="exact"/>
        <w:rPr>
          <w:sz w:val="20"/>
          <w:szCs w:val="20"/>
          <w:color w:val="auto"/>
        </w:rPr>
      </w:pPr>
    </w:p>
    <w:p>
      <w:pPr>
        <w:jc w:val="both"/>
        <w:ind w:left="-642" w:firstLine="1278"/>
        <w:spacing w:after="0" w:line="226" w:lineRule="auto"/>
        <w:tabs>
          <w:tab w:leader="none" w:pos="110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D&amp;O Insurance; Indemnification</w:t>
      </w:r>
      <w:r>
        <w:rPr>
          <w:rFonts w:ascii="Times New Roman" w:cs="Times New Roman" w:eastAsia="Times New Roman" w:hAnsi="Times New Roman"/>
          <w:sz w:val="21"/>
          <w:szCs w:val="21"/>
          <w:color w:val="auto"/>
        </w:rPr>
        <w:t>. Executive will be covered by such directors’ and officers’ liability insurance on terms and conditions that are no less favorable than the terms that apply to any other director or officer of the Company or any of its affiliates. Executive will also be entitled to indemnification rights, benefits and related expense advances and reimbursements to the same extent as any other director or officer of the Company or any of its affiliates.</w:t>
      </w:r>
    </w:p>
    <w:p>
      <w:pPr>
        <w:spacing w:after="0" w:line="150" w:lineRule="exact"/>
        <w:rPr>
          <w:sz w:val="20"/>
          <w:szCs w:val="20"/>
          <w:color w:val="auto"/>
        </w:rPr>
      </w:pPr>
    </w:p>
    <w:p>
      <w:pPr>
        <w:ind w:left="1058" w:hanging="422"/>
        <w:spacing w:after="0"/>
        <w:tabs>
          <w:tab w:leader="none" w:pos="105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Accrued Benefits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left="-642" w:firstLine="1278"/>
        <w:spacing w:after="0" w:line="221" w:lineRule="auto"/>
        <w:tabs>
          <w:tab w:leader="none" w:pos="1263"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Executive is an “at-will” employee of the Company. Executive’s employment will be terminated at the earliest to occur of the following during the Term: (i) the date of Executive’s death; (ii) the date on which the Company provides written notice to Executive of his termination of employment for “Cause” (as defined in the Fourth Amended and Restated Agreement of Limited Partnership of PWP Professional Partners LP (the “</w:t>
      </w:r>
      <w:r>
        <w:rPr>
          <w:rFonts w:ascii="Times New Roman" w:cs="Times New Roman" w:eastAsia="Times New Roman" w:hAnsi="Times New Roman"/>
          <w:sz w:val="21"/>
          <w:szCs w:val="21"/>
          <w:u w:val="single" w:color="auto"/>
          <w:color w:val="auto"/>
        </w:rPr>
        <w:t>Limited Partnership Agreement</w:t>
      </w:r>
      <w:r>
        <w:rPr>
          <w:rFonts w:ascii="Times New Roman" w:cs="Times New Roman" w:eastAsia="Times New Roman" w:hAnsi="Times New Roman"/>
          <w:sz w:val="21"/>
          <w:szCs w:val="21"/>
          <w:color w:val="auto"/>
        </w:rPr>
        <w:t>”); or (iii) the date which is ninety (90) days following the date on which either Executive or the Company provides written notice to the other party of his voluntary termination of employment or termination other than for Cause.</w:t>
      </w:r>
    </w:p>
    <w:p>
      <w:pPr>
        <w:spacing w:after="0" w:line="149" w:lineRule="exact"/>
        <w:rPr>
          <w:rFonts w:ascii="Times New Roman" w:cs="Times New Roman" w:eastAsia="Times New Roman" w:hAnsi="Times New Roman"/>
          <w:sz w:val="21"/>
          <w:szCs w:val="21"/>
          <w:color w:val="auto"/>
        </w:rPr>
      </w:pPr>
    </w:p>
    <w:p>
      <w:pPr>
        <w:jc w:val="both"/>
        <w:ind w:left="-642" w:firstLine="1278"/>
        <w:spacing w:after="0" w:line="216" w:lineRule="auto"/>
        <w:tabs>
          <w:tab w:leader="none" w:pos="1248"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the date of his termination of employment, Executive will not be entitled to any further compensation or benefits pursuant to this Agreement other than, in each case if applicable as of the date of termination: (i) any accrued but unpaid Base Salary (payable as provided in Section 3(a) hereof); (ii) any amounts payable with respect to the Management RSU Award in accordance with the terms of the applicable individual award agreement; (iii) in the case of a termination of employment by the Company other than for Cause, an amount in cash equal to any annual discretionary performance bonus payable to Executive in respect of any previously completed fiscal year of the Company in accordance with Section 3(b) hereof but unpaid as of the date of termination, payable on the same date on which annual bonuses are paid to other similarly-situated officers of the Company in respect of such fiscal year; (iv) reimbursement for any expenses properly incurred and reported by Executive prior to the date of termination in accordance with Section 4(c) hereof, payable on the Company’s first regularly scheduled payroll date which occurs at least ten (10) business days after the date of termination; and (v) vested employee benefits, if any, to which Executive may be entitled under the Company’s employee benefit plans described in Sections 4(a) and 4(b) hereof as of the date of termination.</w:t>
      </w:r>
    </w:p>
    <w:p>
      <w:pPr>
        <w:spacing w:after="0" w:line="147" w:lineRule="exact"/>
        <w:rPr>
          <w:rFonts w:ascii="Times New Roman" w:cs="Times New Roman" w:eastAsia="Times New Roman" w:hAnsi="Times New Roman"/>
          <w:sz w:val="21"/>
          <w:szCs w:val="21"/>
          <w:color w:val="auto"/>
        </w:rPr>
      </w:pPr>
    </w:p>
    <w:p>
      <w:pPr>
        <w:jc w:val="both"/>
        <w:ind w:left="-642" w:firstLine="1278"/>
        <w:spacing w:after="0" w:line="232" w:lineRule="auto"/>
        <w:tabs>
          <w:tab w:leader="none" w:pos="1083"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termination of employment for any reason, unless requested otherwise by the Company, Executive shall be deemed to have resigned from each position (if any) that Executive then holds as an officer or director of the Company or any of its affiliates.</w:t>
      </w:r>
    </w:p>
    <w:p>
      <w:pPr>
        <w:spacing w:after="0" w:line="147" w:lineRule="exact"/>
        <w:rPr>
          <w:rFonts w:ascii="Times New Roman" w:cs="Times New Roman" w:eastAsia="Times New Roman" w:hAnsi="Times New Roman"/>
          <w:sz w:val="21"/>
          <w:szCs w:val="21"/>
          <w:color w:val="auto"/>
        </w:rPr>
      </w:pPr>
    </w:p>
    <w:p>
      <w:pPr>
        <w:ind w:left="418" w:hanging="418"/>
        <w:spacing w:after="0"/>
        <w:tabs>
          <w:tab w:leader="none" w:pos="41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 Permitted Disclosures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2" w:firstLine="1278"/>
        <w:spacing w:after="0" w:line="226" w:lineRule="auto"/>
        <w:tabs>
          <w:tab w:leader="none" w:pos="109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and agrees that Executive is bound by certain restrictive covenants in connection with Executive’s employment with the Company and its affiliates, including, without limitation, confidentiality, non-solicitation, non-competition and non-disparagement covenants (as applicable, the “</w:t>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The Restrictive Covenants are incorporated by reference as if fully set forth herein and are hereby re-executed and reaffirmed.</w:t>
      </w:r>
    </w:p>
    <w:p>
      <w:pPr>
        <w:spacing w:after="0" w:line="150" w:lineRule="exact"/>
        <w:rPr>
          <w:rFonts w:ascii="Times New Roman" w:cs="Times New Roman" w:eastAsia="Times New Roman" w:hAnsi="Times New Roman"/>
          <w:sz w:val="21"/>
          <w:szCs w:val="21"/>
          <w:color w:val="auto"/>
        </w:rPr>
      </w:pPr>
    </w:p>
    <w:p>
      <w:pPr>
        <w:jc w:val="both"/>
        <w:ind w:left="-642" w:firstLine="1278"/>
        <w:spacing w:after="0" w:line="226" w:lineRule="auto"/>
        <w:tabs>
          <w:tab w:leader="none" w:pos="109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18 U.S.C. §1833(b), Executive will not be held criminally or civilly liable under any federal or state trade secret law for the disclosure of a trade secret of the Company that (i) is made (A) in confidence to a federal, state, or local government official, either directly or indirectly, or to Executive’s attorney, and (B) solely for the purpose of reporting or investigating a suspected violation of law; or (ii) is made in a complaint or other document that is</w:t>
      </w:r>
    </w:p>
    <w:p>
      <w:pPr>
        <w:sectPr>
          <w:pgSz w:w="11900" w:h="16838" w:orient="portrait"/>
          <w:cols w:equalWidth="0" w:num="1">
            <w:col w:w="10598"/>
          </w:cols>
          <w:pgMar w:left="962" w:top="1440" w:right="339" w:bottom="1440" w:gutter="0" w:footer="0" w:header="0"/>
        </w:sectPr>
      </w:pPr>
    </w:p>
    <w:bookmarkStart w:id="131" w:name="page132"/>
    <w:bookmarkEnd w:id="131"/>
    <w:p>
      <w:pPr>
        <w:spacing w:after="0" w:line="14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filed under seal in a lawsuit or other proceeding. If Executive files a lawsuit for retaliation by the Company for reporting a suspected violation of law, Executive may disclose the trade secret to his attorney and use the trade secret information in the court proceeding, if Executive (1) files any document containing the trade secret under seal, and (2) does not disclose the trade secret, except pursuant to court order. Nothing in this Agreement is intended to conflict with 18 U.S.C. §1833(b) or create liability for disclosures of trade secrets that are expressly allowed by such section. Further, nothing in any agreement Executive has with the Company or any of its affiliates will prohibit or restrict Executive from making a protected disclosure or any other voluntary disclosure of information or documents related to any possible violation of law to any governmental agency or legislative body, or any self-regulatory organization, in each case, without advance notice to the Company or any of its affiliates.</w:t>
      </w:r>
    </w:p>
    <w:p>
      <w:pPr>
        <w:spacing w:after="0" w:line="153" w:lineRule="exact"/>
        <w:rPr>
          <w:sz w:val="20"/>
          <w:szCs w:val="20"/>
          <w:color w:val="auto"/>
        </w:rPr>
      </w:pPr>
    </w:p>
    <w:p>
      <w:pPr>
        <w:jc w:val="both"/>
        <w:ind w:firstLine="642"/>
        <w:spacing w:after="0" w:line="219" w:lineRule="auto"/>
        <w:tabs>
          <w:tab w:leader="none" w:pos="107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This Agreement, and all of the terms and conditions hereof, will bind the Company and its successors and assigns and will bind Executive and Executive’s heirs, executors and administrators. No transfer or assignment of this Agreement will release the Company from any obligation to Executive hereunder. Neither this Agreement, nor any of the Company’s rights or obligations hereunder, may be assigned or otherwise subjected to hypothecation by Executive, and any such attempted assignment or hypothecation will be null and void. The Company may assign any of its rights hereunder, in whole or in part, to any successor or assign in connection with the sale of all or substantially all of the Company’s assets or equity interests or in connection with any merger, acquisition and/or reorganization.</w:t>
      </w:r>
    </w:p>
    <w:p>
      <w:pPr>
        <w:spacing w:after="0" w:line="153" w:lineRule="exact"/>
        <w:rPr>
          <w:rFonts w:ascii="Times New Roman" w:cs="Times New Roman" w:eastAsia="Times New Roman" w:hAnsi="Times New Roman"/>
          <w:sz w:val="21"/>
          <w:szCs w:val="21"/>
          <w:color w:val="auto"/>
        </w:rPr>
      </w:pPr>
    </w:p>
    <w:p>
      <w:pPr>
        <w:ind w:left="1020" w:hanging="378"/>
        <w:spacing w:after="0"/>
        <w:tabs>
          <w:tab w:leader="none" w:pos="10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78"/>
        <w:spacing w:after="0" w:line="217" w:lineRule="auto"/>
        <w:tabs>
          <w:tab w:leader="none" w:pos="1753"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Executive mutually consent to the resolution by final and binding arbitration of any and all disputes, controversies or claims between them including, without limitation, (i) any dispute, controversy or claim related in any way to Executive’s employment with the Company or any of its affiliates or any termination thereof, (ii) any dispute, controversy or claim of alleged discrimination, harassment or retaliation (including, but not limited to, claims based on race, sex, sexual preference, religion, national origin, age, marital or family status, medical condition, handicap or disability) and (iii) any claim arising out of or relating to this Agreement or the breach thereof (collectively, “</w:t>
      </w:r>
      <w:r>
        <w:rPr>
          <w:rFonts w:ascii="Times New Roman" w:cs="Times New Roman" w:eastAsia="Times New Roman" w:hAnsi="Times New Roman"/>
          <w:sz w:val="21"/>
          <w:szCs w:val="21"/>
          <w:u w:val="single" w:color="auto"/>
          <w:color w:val="auto"/>
        </w:rPr>
        <w:t>Disputes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herein will require arbitration of any claim or charge which, by law, cannot be the subject of a compulsory arbitration agreement. All Disputes will be resolved exclusively by arbitration administered by the American Arbitration Association (“</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under the AAA Employment Arbitration Rules and Mediation Procedures then in effect (the “</w:t>
      </w:r>
      <w:r>
        <w:rPr>
          <w:rFonts w:ascii="Times New Roman" w:cs="Times New Roman" w:eastAsia="Times New Roman" w:hAnsi="Times New Roman"/>
          <w:sz w:val="21"/>
          <w:szCs w:val="21"/>
          <w:u w:val="single" w:color="auto"/>
          <w:color w:val="auto"/>
        </w:rPr>
        <w:t>AAA Rules</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firstLine="1278"/>
        <w:spacing w:after="0" w:line="219" w:lineRule="auto"/>
        <w:tabs>
          <w:tab w:leader="none" w:pos="172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arbitration proceeding brought under this Agreement will be conducted in New York, New York or another mutually agreed upon location before one arbitrator selected in accordance with the AAA Rules. Each party to any Dispute will pay its own expenses, including attorneys’ fees. The arbitrator will be empowered to award either party any remedy at law or in equity that the party would otherwise have been entitled to had the matter been litigated in a court of competent jurisdiction, including, but not limited to, general, special, and punitive damages, injunctive relief, costs and attorney fees;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authority to award any remedy is subject to whatever limitations, if any, exist in the applicable law on such remedies. The arbitrator will issue a decision or award in writing, stating the essential findings of fact and conclusions of law.</w:t>
      </w:r>
    </w:p>
    <w:p>
      <w:pPr>
        <w:spacing w:after="0" w:line="153" w:lineRule="exact"/>
        <w:rPr>
          <w:rFonts w:ascii="Times New Roman" w:cs="Times New Roman" w:eastAsia="Times New Roman" w:hAnsi="Times New Roman"/>
          <w:sz w:val="21"/>
          <w:szCs w:val="21"/>
          <w:color w:val="auto"/>
        </w:rPr>
      </w:pPr>
    </w:p>
    <w:p>
      <w:pPr>
        <w:jc w:val="both"/>
        <w:ind w:firstLine="1278"/>
        <w:spacing w:after="0" w:line="226" w:lineRule="auto"/>
        <w:tabs>
          <w:tab w:leader="none" w:pos="1872"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judgment on or enforcement of any award, including an award providing for interim or permanent injunctive relief, rendered by the arbitrator may be entered, enforced or appealed in any court of competent jurisdiction. Any arbitration proceedings, decision or award rendered hereunder, and the validity, effect and interpretation of this arbitration provision, will be governed by the Federal Arbitration Act, 9 U.S.C. §1 et seq.</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3" w:lineRule="exact"/>
        <w:rPr>
          <w:sz w:val="20"/>
          <w:szCs w:val="20"/>
          <w:color w:val="auto"/>
        </w:rPr>
      </w:pPr>
    </w:p>
    <w:p>
      <w:pPr>
        <w:jc w:val="both"/>
        <w:ind w:firstLine="1278"/>
        <w:spacing w:after="0"/>
        <w:tabs>
          <w:tab w:leader="none" w:pos="1794"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part of the essence of this Agreement that any Disputes hereunder will be resolved expeditiously and as confidentially as possible. Accordingly, the Company and Executive agree that all proceedings in any arbitration will be conducted under seal and kept strictly confidential. In that regard, no party will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 Before making any disclosure permitted by the preceding sentence, the party intending to make such disclosure will give the other party reasonable written notice of the intended disclosure and afford such other party a reasonable opportunity to protect its interests.</w:t>
      </w:r>
    </w:p>
    <w:p>
      <w:pPr>
        <w:spacing w:after="0" w:line="188" w:lineRule="exact"/>
        <w:rPr>
          <w:rFonts w:ascii="Times New Roman" w:cs="Times New Roman" w:eastAsia="Times New Roman" w:hAnsi="Times New Roman"/>
          <w:sz w:val="21"/>
          <w:szCs w:val="21"/>
          <w:color w:val="auto"/>
        </w:rPr>
      </w:pPr>
    </w:p>
    <w:p>
      <w:pPr>
        <w:ind w:left="1020" w:hanging="378"/>
        <w:spacing w:after="0"/>
        <w:tabs>
          <w:tab w:leader="none" w:pos="10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78"/>
        <w:spacing w:after="0" w:line="221" w:lineRule="auto"/>
        <w:tabs>
          <w:tab w:leader="none" w:pos="1719"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facsimile or e-mail; or (iv)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9(a)):</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To the Company:</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Perella Weinberg Partners</w:t>
      </w:r>
    </w:p>
    <w:p>
      <w:pPr>
        <w:ind w:left="1280"/>
        <w:spacing w:after="0" w:line="210" w:lineRule="auto"/>
        <w:rPr>
          <w:sz w:val="20"/>
          <w:szCs w:val="20"/>
          <w:color w:val="auto"/>
        </w:rPr>
      </w:pPr>
      <w:r>
        <w:rPr>
          <w:rFonts w:ascii="Times New Roman" w:cs="Times New Roman" w:eastAsia="Times New Roman" w:hAnsi="Times New Roman"/>
          <w:sz w:val="21"/>
          <w:szCs w:val="21"/>
          <w:color w:val="auto"/>
        </w:rPr>
        <w:t>767 Fifth Avenue</w:t>
      </w:r>
    </w:p>
    <w:p>
      <w:pPr>
        <w:ind w:left="1280"/>
        <w:spacing w:after="0" w:line="211" w:lineRule="auto"/>
        <w:rPr>
          <w:sz w:val="20"/>
          <w:szCs w:val="20"/>
          <w:color w:val="auto"/>
        </w:rPr>
      </w:pPr>
      <w:r>
        <w:rPr>
          <w:rFonts w:ascii="Times New Roman" w:cs="Times New Roman" w:eastAsia="Times New Roman" w:hAnsi="Times New Roman"/>
          <w:sz w:val="21"/>
          <w:szCs w:val="21"/>
          <w:color w:val="auto"/>
        </w:rPr>
        <w:t>New York, NY 10153</w:t>
      </w:r>
    </w:p>
    <w:p>
      <w:pPr>
        <w:ind w:left="1280"/>
        <w:spacing w:after="0" w:line="211" w:lineRule="auto"/>
        <w:rPr>
          <w:sz w:val="20"/>
          <w:szCs w:val="20"/>
          <w:color w:val="auto"/>
        </w:rPr>
      </w:pPr>
      <w:r>
        <w:rPr>
          <w:rFonts w:ascii="Times New Roman" w:cs="Times New Roman" w:eastAsia="Times New Roman" w:hAnsi="Times New Roman"/>
          <w:sz w:val="21"/>
          <w:szCs w:val="21"/>
          <w:color w:val="auto"/>
        </w:rPr>
        <w:t>Attention: General Counsel</w:t>
      </w:r>
    </w:p>
    <w:p>
      <w:pPr>
        <w:ind w:left="1280"/>
        <w:spacing w:after="0" w:line="210" w:lineRule="auto"/>
        <w:rPr>
          <w:sz w:val="20"/>
          <w:szCs w:val="20"/>
          <w:color w:val="auto"/>
        </w:rPr>
      </w:pPr>
      <w:r>
        <w:rPr>
          <w:rFonts w:ascii="Times New Roman" w:cs="Times New Roman" w:eastAsia="Times New Roman" w:hAnsi="Times New Roman"/>
          <w:sz w:val="21"/>
          <w:szCs w:val="21"/>
          <w:color w:val="auto"/>
        </w:rPr>
        <w:t>Telephone: (212) 287-3200</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Email: PubCoHR@pwpartners.com</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To Executive:</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At the address shown in the Company’s personnel records</w:t>
      </w:r>
    </w:p>
    <w:p>
      <w:pPr>
        <w:spacing w:after="0" w:line="183" w:lineRule="exact"/>
        <w:rPr>
          <w:sz w:val="20"/>
          <w:szCs w:val="20"/>
          <w:color w:val="auto"/>
        </w:rPr>
      </w:pPr>
    </w:p>
    <w:p>
      <w:pPr>
        <w:jc w:val="both"/>
        <w:ind w:firstLine="1278"/>
        <w:spacing w:after="0" w:line="223" w:lineRule="auto"/>
        <w:tabs>
          <w:tab w:leader="none" w:pos="175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(including any exhibits hereto) constitutes the sole and entire agreement of the parties to this Agreement with respect to the subject matter contained herein and therein, and, effective as of the Effective Date, supersedes all prior and contemporaneous representations, warranties, understandings and agreements, both written and oral, with respect to such subject matter, including any employment agreement term sheets or letters of intent previously exchanged by the parties.</w:t>
      </w:r>
    </w:p>
    <w:p>
      <w:pPr>
        <w:spacing w:after="0" w:line="144" w:lineRule="exact"/>
        <w:rPr>
          <w:rFonts w:ascii="Times New Roman" w:cs="Times New Roman" w:eastAsia="Times New Roman" w:hAnsi="Times New Roman"/>
          <w:sz w:val="21"/>
          <w:szCs w:val="21"/>
          <w:color w:val="auto"/>
        </w:rPr>
      </w:pPr>
    </w:p>
    <w:p>
      <w:pPr>
        <w:ind w:left="1760" w:hanging="482"/>
        <w:spacing w:after="0"/>
        <w:tabs>
          <w:tab w:leader="none" w:pos="17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in this Agreement are for reference only and shall not affect the interpretation of this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9" w:lineRule="exact"/>
        <w:rPr>
          <w:rFonts w:ascii="Times New Roman" w:cs="Times New Roman" w:eastAsia="Times New Roman" w:hAnsi="Times New Roman"/>
          <w:sz w:val="21"/>
          <w:szCs w:val="21"/>
          <w:color w:val="auto"/>
        </w:rPr>
      </w:pPr>
    </w:p>
    <w:p>
      <w:pPr>
        <w:jc w:val="both"/>
        <w:ind w:firstLine="1278"/>
        <w:spacing w:after="0" w:line="223" w:lineRule="auto"/>
        <w:tabs>
          <w:tab w:leader="none" w:pos="178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Modification; Waiver</w:t>
      </w:r>
      <w:r>
        <w:rPr>
          <w:rFonts w:ascii="Times New Roman" w:cs="Times New Roman" w:eastAsia="Times New Roman" w:hAnsi="Times New Roman"/>
          <w:sz w:val="21"/>
          <w:szCs w:val="21"/>
          <w:color w:val="auto"/>
        </w:rPr>
        <w:t>. This Agreement may only be amended, modified or supplemented by an agreement in writing signed by all of the parties hereto.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3" w:lineRule="exact"/>
        <w:rPr>
          <w:sz w:val="20"/>
          <w:szCs w:val="20"/>
          <w:color w:val="auto"/>
        </w:rPr>
      </w:pPr>
    </w:p>
    <w:p>
      <w:pPr>
        <w:jc w:val="both"/>
        <w:ind w:left="-1120" w:firstLine="1278"/>
        <w:spacing w:after="0" w:line="232" w:lineRule="auto"/>
        <w:tabs>
          <w:tab w:leader="none" w:pos="59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internal laws of the State of New York without giving effect to any choice or conflict of law provision or rule (whether of the State of New York or any other jurisdiction).</w:t>
      </w:r>
    </w:p>
    <w:p>
      <w:pPr>
        <w:spacing w:after="0" w:line="147" w:lineRule="exact"/>
        <w:rPr>
          <w:rFonts w:ascii="Times New Roman" w:cs="Times New Roman" w:eastAsia="Times New Roman" w:hAnsi="Times New Roman"/>
          <w:sz w:val="21"/>
          <w:szCs w:val="21"/>
          <w:color w:val="auto"/>
        </w:rPr>
      </w:pPr>
    </w:p>
    <w:p>
      <w:pPr>
        <w:ind w:left="-1120" w:right="20" w:firstLine="1278"/>
        <w:spacing w:after="0" w:line="245" w:lineRule="auto"/>
        <w:tabs>
          <w:tab w:leader="none" w:pos="60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Survivorship</w:t>
      </w:r>
      <w:r>
        <w:rPr>
          <w:rFonts w:ascii="Times New Roman" w:cs="Times New Roman" w:eastAsia="Times New Roman" w:hAnsi="Times New Roman"/>
          <w:sz w:val="21"/>
          <w:szCs w:val="21"/>
          <w:color w:val="auto"/>
        </w:rPr>
        <w:t>. The provisions of this Agreement necessary to carry out the intention of the parties as expressed herein will survive the termination or expiration of this Agreement.</w:t>
      </w:r>
    </w:p>
    <w:p>
      <w:pPr>
        <w:spacing w:after="0" w:line="142" w:lineRule="exact"/>
        <w:rPr>
          <w:rFonts w:ascii="Times New Roman" w:cs="Times New Roman" w:eastAsia="Times New Roman" w:hAnsi="Times New Roman"/>
          <w:sz w:val="21"/>
          <w:szCs w:val="21"/>
          <w:color w:val="auto"/>
        </w:rPr>
      </w:pPr>
    </w:p>
    <w:p>
      <w:pPr>
        <w:jc w:val="both"/>
        <w:ind w:left="-1120" w:firstLine="1278"/>
        <w:spacing w:after="0" w:line="226" w:lineRule="auto"/>
        <w:tabs>
          <w:tab w:leader="none" w:pos="66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The parties acknowledge that this Agreement is the result of arm’s-length negotiations between sophisticated parties, each afforded representation by legal counsel. Each and every provision of this Agreement will be construed as though both parties participated equally in the drafting of the same, and any rule of construction that a document will be construed against the drafting party will not be applicable to this Agreement.</w:t>
      </w:r>
    </w:p>
    <w:p>
      <w:pPr>
        <w:spacing w:after="0" w:line="150" w:lineRule="exact"/>
        <w:rPr>
          <w:rFonts w:ascii="Times New Roman" w:cs="Times New Roman" w:eastAsia="Times New Roman" w:hAnsi="Times New Roman"/>
          <w:sz w:val="21"/>
          <w:szCs w:val="21"/>
          <w:color w:val="auto"/>
        </w:rPr>
      </w:pPr>
    </w:p>
    <w:p>
      <w:pPr>
        <w:jc w:val="both"/>
        <w:ind w:left="-1120" w:firstLine="1278"/>
        <w:spacing w:after="0" w:line="232" w:lineRule="auto"/>
        <w:tabs>
          <w:tab w:leader="none" w:pos="783"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All compensation payable to Executive pursuant to this Agreement will be subject to any applicable statutory withholding taxes and such other taxes as are required or permitted under applicable law and such other deductions or withholdings as authorized by Executive to be collected with respect to compensation paid to Executive.</w:t>
      </w:r>
    </w:p>
    <w:p>
      <w:pPr>
        <w:spacing w:after="0" w:line="147" w:lineRule="exact"/>
        <w:rPr>
          <w:rFonts w:ascii="Times New Roman" w:cs="Times New Roman" w:eastAsia="Times New Roman" w:hAnsi="Times New Roman"/>
          <w:sz w:val="21"/>
          <w:szCs w:val="21"/>
          <w:color w:val="auto"/>
        </w:rPr>
      </w:pPr>
    </w:p>
    <w:p>
      <w:pPr>
        <w:jc w:val="both"/>
        <w:ind w:left="-1120" w:firstLine="1278"/>
        <w:spacing w:after="0" w:line="226" w:lineRule="auto"/>
        <w:tabs>
          <w:tab w:leader="none" w:pos="57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50" w:lineRule="exact"/>
        <w:rPr>
          <w:rFonts w:ascii="Times New Roman" w:cs="Times New Roman" w:eastAsia="Times New Roman" w:hAnsi="Times New Roman"/>
          <w:sz w:val="21"/>
          <w:szCs w:val="21"/>
          <w:color w:val="auto"/>
        </w:rPr>
      </w:pPr>
    </w:p>
    <w:p>
      <w:pPr>
        <w:jc w:val="both"/>
        <w:ind w:left="-1120" w:firstLine="1278"/>
        <w:spacing w:after="0" w:line="213" w:lineRule="auto"/>
        <w:tabs>
          <w:tab w:leader="none" w:pos="59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intent of the parties is that payments and benefits under this Agreement comply with, or be exempt from, Section 409A of the U.S. Internal Revenue Code of 1986, as amended (“</w:t>
      </w:r>
      <w:r>
        <w:rPr>
          <w:rFonts w:ascii="Times New Roman" w:cs="Times New Roman" w:eastAsia="Times New Roman" w:hAnsi="Times New Roman"/>
          <w:sz w:val="21"/>
          <w:szCs w:val="21"/>
          <w:u w:val="single" w:color="auto"/>
          <w:color w:val="auto"/>
        </w:rPr>
        <w:t>Section 409A of the Code</w:t>
      </w:r>
      <w:r>
        <w:rPr>
          <w:rFonts w:ascii="Times New Roman" w:cs="Times New Roman" w:eastAsia="Times New Roman" w:hAnsi="Times New Roman"/>
          <w:sz w:val="21"/>
          <w:szCs w:val="21"/>
          <w:color w:val="auto"/>
        </w:rPr>
        <w:t>”), to the extent subject thereto, and accordingly, to the maximum extent permitted, this Agreement shall be interpreted to be in compliance therewith. Notwithstanding anything contained herein to the contrary, Executive will not be considered to have terminated employment with the Company for purposes of any payments under this Agreement which are subject to Section 409A of the Code until Executive would be considered to have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or any other arrangement between Executive and the Company and its affiliates during the six (6) month period immediately following Executive’s separation from service shall instead be paid on the first business day after the date that is six (6) months following Executive’s separation from service (or, if earlier, Executive’s date of death).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of the Code and makes no undertaking to preclude Section 409A of the Code from applying to any such payment. Executive will be solely responsible for the payment of any taxes and penalties incurred under Section 409A of the Code.</w:t>
      </w:r>
    </w:p>
    <w:p>
      <w:pPr>
        <w:sectPr>
          <w:pgSz w:w="11900" w:h="16838" w:orient="portrait"/>
          <w:cols w:equalWidth="0" w:num="1">
            <w:col w:w="10120"/>
          </w:cols>
          <w:pgMar w:left="1440" w:top="1440" w:right="339" w:bottom="1440" w:gutter="0" w:footer="0" w:header="0"/>
        </w:sectPr>
      </w:pPr>
    </w:p>
    <w:bookmarkStart w:id="134" w:name="page135"/>
    <w:bookmarkEnd w:id="134"/>
    <w:p>
      <w:pPr>
        <w:spacing w:after="0" w:line="143" w:lineRule="exact"/>
        <w:rPr>
          <w:sz w:val="20"/>
          <w:szCs w:val="20"/>
          <w:color w:val="auto"/>
        </w:rPr>
      </w:pPr>
    </w:p>
    <w:p>
      <w:pPr>
        <w:jc w:val="both"/>
        <w:ind w:firstLine="642"/>
        <w:spacing w:after="0" w:line="232" w:lineRule="auto"/>
        <w:tabs>
          <w:tab w:leader="none" w:pos="115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 Representation and Acceptance</w:t>
      </w:r>
      <w:r>
        <w:rPr>
          <w:rFonts w:ascii="Times New Roman" w:cs="Times New Roman" w:eastAsia="Times New Roman" w:hAnsi="Times New Roman"/>
          <w:sz w:val="21"/>
          <w:szCs w:val="21"/>
          <w:color w:val="auto"/>
        </w:rPr>
        <w:t>. By signing this Agreement, Executive hereby represents that Executive is not currently under any contractual obligation to work for another employer and that Executive is not restricted by any agreement or arrangement from entering into this Agreement and performing Executive’s duties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is left blank intentionally]</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49"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and intending to be legally bound thereby, the parties hereto have executed and delivered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effective as of the year and date first above written.</w:t>
      </w:r>
    </w:p>
    <w:p>
      <w:pPr>
        <w:spacing w:after="0" w:line="200" w:lineRule="exact"/>
        <w:rPr>
          <w:sz w:val="20"/>
          <w:szCs w:val="20"/>
          <w:color w:val="auto"/>
        </w:rPr>
      </w:pPr>
    </w:p>
    <w:p>
      <w:pPr>
        <w:spacing w:after="0" w:line="35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color w:val="auto"/>
        </w:rPr>
        <w:t>PERELLA WEINBERG PARTNERS</w:t>
      </w:r>
    </w:p>
    <w:p>
      <w:pPr>
        <w:spacing w:after="0" w:line="39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__/s/ Rebekah Weissburg</w:t>
      </w:r>
      <w:r>
        <w:rPr>
          <w:rFonts w:ascii="Times New Roman" w:cs="Times New Roman" w:eastAsia="Times New Roman" w:hAnsi="Times New Roman"/>
          <w:sz w:val="21"/>
          <w:szCs w:val="21"/>
          <w:color w:val="auto"/>
        </w:rPr>
        <w:t xml:space="preserve"> _________________</w:t>
      </w:r>
    </w:p>
    <w:p>
      <w:pPr>
        <w:ind w:left="3580"/>
        <w:spacing w:after="0" w:line="210" w:lineRule="auto"/>
        <w:rPr>
          <w:sz w:val="20"/>
          <w:szCs w:val="20"/>
          <w:color w:val="auto"/>
        </w:rPr>
      </w:pPr>
      <w:r>
        <w:rPr>
          <w:rFonts w:ascii="Times New Roman" w:cs="Times New Roman" w:eastAsia="Times New Roman" w:hAnsi="Times New Roman"/>
          <w:sz w:val="21"/>
          <w:szCs w:val="21"/>
          <w:color w:val="auto"/>
        </w:rPr>
        <w:t>Name: Rebekah Weissburg</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color w:val="auto"/>
        </w:rPr>
        <w:t>PWP EMPLOYER LP</w:t>
      </w:r>
    </w:p>
    <w:p>
      <w:pPr>
        <w:spacing w:after="0" w:line="39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____/s/ Rebekah Weissburg _________</w:t>
      </w:r>
    </w:p>
    <w:p>
      <w:pPr>
        <w:ind w:left="3580"/>
        <w:spacing w:after="0" w:line="210" w:lineRule="auto"/>
        <w:rPr>
          <w:sz w:val="20"/>
          <w:szCs w:val="20"/>
          <w:color w:val="auto"/>
        </w:rPr>
      </w:pPr>
      <w:r>
        <w:rPr>
          <w:rFonts w:ascii="Times New Roman" w:cs="Times New Roman" w:eastAsia="Times New Roman" w:hAnsi="Times New Roman"/>
          <w:sz w:val="21"/>
          <w:szCs w:val="21"/>
          <w:color w:val="auto"/>
        </w:rPr>
        <w:t>Name: Rebekah Weissburg</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39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u w:val="single" w:color="auto"/>
          <w:color w:val="auto"/>
        </w:rPr>
        <w:t>/s/ Peter A. Weinberg _____________________</w:t>
      </w:r>
    </w:p>
    <w:p>
      <w:pPr>
        <w:ind w:left="3580"/>
        <w:spacing w:after="0"/>
        <w:rPr>
          <w:sz w:val="20"/>
          <w:szCs w:val="20"/>
          <w:color w:val="auto"/>
        </w:rPr>
      </w:pPr>
      <w:r>
        <w:rPr>
          <w:rFonts w:ascii="Times New Roman" w:cs="Times New Roman" w:eastAsia="Times New Roman" w:hAnsi="Times New Roman"/>
          <w:sz w:val="21"/>
          <w:szCs w:val="21"/>
          <w:color w:val="auto"/>
        </w:rPr>
        <w:t>Peter A. Weinberg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Amended and Restated Employment Agreement]</w:t>
      </w:r>
    </w:p>
    <w:p>
      <w:pPr>
        <w:sectPr>
          <w:pgSz w:w="11900" w:h="16838" w:orient="portrait"/>
          <w:cols w:equalWidth="0" w:num="1">
            <w:col w:w="11240"/>
          </w:cols>
          <w:pgMar w:left="320" w:top="136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EMPLOYMENT AGREEMENT</w:t>
      </w:r>
    </w:p>
    <w:p>
      <w:pPr>
        <w:spacing w:after="0" w:line="183"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b w:val="1"/>
          <w:bCs w:val="1"/>
          <w:color w:val="auto"/>
        </w:rPr>
        <w:t xml:space="preserve">THIS AMENDED AND RESTATED EMPLOYMENT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effective as of January 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2023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is made by and between Perella Weinberg Partners, a Delaware corporation (“</w:t>
      </w:r>
      <w:r>
        <w:rPr>
          <w:rFonts w:ascii="Times New Roman" w:cs="Times New Roman" w:eastAsia="Times New Roman" w:hAnsi="Times New Roman"/>
          <w:sz w:val="21"/>
          <w:szCs w:val="21"/>
          <w:u w:val="single" w:color="auto"/>
          <w:color w:val="auto"/>
        </w:rPr>
        <w:t>PWP</w:t>
      </w:r>
      <w:r>
        <w:rPr>
          <w:rFonts w:ascii="Times New Roman" w:cs="Times New Roman" w:eastAsia="Times New Roman" w:hAnsi="Times New Roman"/>
          <w:sz w:val="21"/>
          <w:szCs w:val="21"/>
          <w:color w:val="auto"/>
        </w:rPr>
        <w:t>”), PWP Employer LP, a Delaware limited partnership (“</w:t>
      </w:r>
      <w:r>
        <w:rPr>
          <w:rFonts w:ascii="Times New Roman" w:cs="Times New Roman" w:eastAsia="Times New Roman" w:hAnsi="Times New Roman"/>
          <w:sz w:val="21"/>
          <w:szCs w:val="21"/>
          <w:u w:val="single" w:color="auto"/>
          <w:color w:val="auto"/>
        </w:rPr>
        <w:t>PWP Employer</w:t>
      </w:r>
      <w:r>
        <w:rPr>
          <w:rFonts w:ascii="Times New Roman" w:cs="Times New Roman" w:eastAsia="Times New Roman" w:hAnsi="Times New Roman"/>
          <w:sz w:val="21"/>
          <w:szCs w:val="21"/>
          <w:color w:val="auto"/>
        </w:rPr>
        <w:t>,” and together with PWP,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Andrew Bednar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w:t>
      </w:r>
    </w:p>
    <w:p>
      <w:pPr>
        <w:spacing w:after="0" w:line="33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Executive are parties to that certain employment agreement dated as of August 11, 2021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Original Employment Agreement</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effective as of January 1, 2023, Executive will commence serving as Chief Executive of the Company; and</w:t>
      </w:r>
    </w:p>
    <w:p>
      <w:pPr>
        <w:spacing w:after="0" w:line="18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Executive mutually desire to amend and restate the Original Employment Agreement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 set forth herein, which will become effective on the Effective Date.</w:t>
      </w:r>
    </w:p>
    <w:p>
      <w:pPr>
        <w:spacing w:after="0" w:line="13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covenants and agreements hereinafter set forth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of which are hereby acknowledged, the parties hereto agree as follows:</w:t>
      </w:r>
    </w:p>
    <w:p>
      <w:pPr>
        <w:spacing w:after="0" w:line="139" w:lineRule="exact"/>
        <w:rPr>
          <w:sz w:val="20"/>
          <w:szCs w:val="20"/>
          <w:color w:val="auto"/>
        </w:rPr>
      </w:pPr>
    </w:p>
    <w:p>
      <w:pPr>
        <w:jc w:val="both"/>
        <w:ind w:firstLine="642"/>
        <w:spacing w:after="0" w:line="232" w:lineRule="auto"/>
        <w:tabs>
          <w:tab w:leader="none" w:pos="107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Executive’s employment with the Company pursuant to the terms and conditions set forth in this Agreement will commence on the Effective Date and will expire immediately upon the termination of Executive’s employment in accordance with the terms and conditions set forth in Section 5 hereof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left="1060" w:hanging="418"/>
        <w:spacing w:after="0"/>
        <w:tabs>
          <w:tab w:leader="none" w:pos="10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Title; Services and Duties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836"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Executive will be employed by the Company in the position of Chief Executive Officer pursuant to the terms of this Agreement.</w:t>
      </w:r>
    </w:p>
    <w:p>
      <w:pPr>
        <w:spacing w:after="0" w:line="142" w:lineRule="exact"/>
        <w:rPr>
          <w:rFonts w:ascii="Times New Roman" w:cs="Times New Roman" w:eastAsia="Times New Roman" w:hAnsi="Times New Roman"/>
          <w:sz w:val="21"/>
          <w:szCs w:val="21"/>
          <w:color w:val="auto"/>
        </w:rPr>
      </w:pPr>
    </w:p>
    <w:p>
      <w:pPr>
        <w:jc w:val="both"/>
        <w:ind w:firstLine="1278"/>
        <w:spacing w:after="0" w:line="215" w:lineRule="auto"/>
        <w:tabs>
          <w:tab w:leader="none" w:pos="1794"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Executive will be a full-time employee of the Company and report directly to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xml:space="preserve">”), and have such duties, responsibilities and authority as are reasonably prescribed by the Board from time to time and normally associated with the role of a Chief Executive Officer at an entity of similar size and nature as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changes prescribed by the Board to Executive’s position, role, duties, responsibilities or authority shall not be considered a breach of the contractual obligations of the Company set forth in this Section 2. Executive shall devote all of his business time and best efforts to the performance of his duties to the Company and will not engage in any other business, profession or occupation for compensation. Notwithstanding the foregoing, Executive may (i) continue to engage in any outside business activities previously disclosed to the Company as of the date of this Agreement, (ii) subject to prior approval of the Board (which shall not be unreasonably withheld), serve as a director or advisor of non-profit organizations or for profit companies that are not competitive with the Company, (iii) perform and participate in charitable civic, educational, professional, community, industry affairs and other related activities and (iv) manage his personal and family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activities do not result in a conflict of interest with the Company and do not unreasonably interfere, individually or in the aggregate, in any material respect with the performance of Executive’s duties hereunder.</w:t>
      </w:r>
    </w:p>
    <w:p>
      <w:pPr>
        <w:sectPr>
          <w:pgSz w:w="11900" w:h="16838" w:orient="portrait"/>
          <w:cols w:equalWidth="0" w:num="1">
            <w:col w:w="11240"/>
          </w:cols>
          <w:pgMar w:left="320" w:top="95" w:right="339" w:bottom="1440" w:gutter="0" w:footer="0" w:header="0"/>
        </w:sectPr>
      </w:pPr>
    </w:p>
    <w:bookmarkStart w:id="137" w:name="page138"/>
    <w:bookmarkEnd w:id="137"/>
    <w:p>
      <w:pPr>
        <w:ind w:left="428" w:hanging="428"/>
        <w:spacing w:after="0"/>
        <w:tabs>
          <w:tab w:leader="none" w:pos="42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12" w:firstLine="1278"/>
        <w:spacing w:after="0" w:line="226" w:lineRule="auto"/>
        <w:tabs>
          <w:tab w:leader="none" w:pos="176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Term, the Company will pay Executive a base salary in the amount of $500,000 per annum (the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payable in such installments as the Company pays other similarly situated individuals. The Base Salary will be annually reviewed for increase (but not decrease) by the Compensation Committee of the Board of Directors of the Company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during the Term.</w:t>
      </w:r>
    </w:p>
    <w:p>
      <w:pPr>
        <w:spacing w:after="0" w:line="150" w:lineRule="exact"/>
        <w:rPr>
          <w:rFonts w:ascii="Times New Roman" w:cs="Times New Roman" w:eastAsia="Times New Roman" w:hAnsi="Times New Roman"/>
          <w:sz w:val="21"/>
          <w:szCs w:val="21"/>
          <w:color w:val="auto"/>
        </w:rPr>
      </w:pPr>
    </w:p>
    <w:p>
      <w:pPr>
        <w:jc w:val="both"/>
        <w:ind w:left="-12" w:firstLine="1278"/>
        <w:spacing w:after="0" w:line="217" w:lineRule="auto"/>
        <w:tabs>
          <w:tab w:leader="none" w:pos="1812"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Performance Bonus</w:t>
      </w:r>
      <w:r>
        <w:rPr>
          <w:rFonts w:ascii="Times New Roman" w:cs="Times New Roman" w:eastAsia="Times New Roman" w:hAnsi="Times New Roman"/>
          <w:sz w:val="21"/>
          <w:szCs w:val="21"/>
          <w:color w:val="auto"/>
        </w:rPr>
        <w:t>. During the Term, Executive will be eligible to receive an annual discretionary performance bonus pursuant to the Company’s annual bonus program in respect of each fiscal year during the Term. The actual bonus payable to Executive will be determined by the Compensation Committee based on, among other things, individual performance for such year, the achievement of the applicable performance criteria established by the Compensation Committee for such year, and such other factors deemed to be relevant by the Compensation Committee. The Company will pay any such annual discretionary performance bonus at the same time or times, and subject to the same conditions (including any applicable repayment provisions) as annual bonus payments to other similarly situated officers of the Company, provided that Executive is an active employee of the Company, and has not given or received notice of termination of employment, as of the date on which such bonus is paid.</w:t>
      </w:r>
    </w:p>
    <w:p>
      <w:pPr>
        <w:spacing w:after="0" w:line="154" w:lineRule="exact"/>
        <w:rPr>
          <w:rFonts w:ascii="Times New Roman" w:cs="Times New Roman" w:eastAsia="Times New Roman" w:hAnsi="Times New Roman"/>
          <w:sz w:val="21"/>
          <w:szCs w:val="21"/>
          <w:color w:val="auto"/>
        </w:rPr>
      </w:pPr>
    </w:p>
    <w:p>
      <w:pPr>
        <w:ind w:left="1708" w:hanging="442"/>
        <w:spacing w:after="0"/>
        <w:tabs>
          <w:tab w:leader="none" w:pos="1708"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Equity-Based Awards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12" w:firstLine="1684"/>
        <w:spacing w:after="0" w:line="232" w:lineRule="auto"/>
        <w:tabs>
          <w:tab w:leader="none" w:pos="2273"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Executive will be eligible to participate in the Company’s equity-based incentive compensation programs as in effect from time to time and receive periodic grants of equity-based awards, subject to the terms and conditions set forth in the applicable equity incentive plan and Executive’s individual award agreements.</w:t>
      </w:r>
    </w:p>
    <w:p>
      <w:pPr>
        <w:spacing w:after="0" w:line="148" w:lineRule="exact"/>
        <w:rPr>
          <w:sz w:val="20"/>
          <w:szCs w:val="20"/>
          <w:color w:val="auto"/>
        </w:rPr>
      </w:pPr>
    </w:p>
    <w:p>
      <w:pPr>
        <w:jc w:val="both"/>
        <w:ind w:left="-12" w:firstLine="1668"/>
        <w:spacing w:after="0" w:line="219" w:lineRule="auto"/>
        <w:tabs>
          <w:tab w:leader="none" w:pos="2288"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following the Effective Date, and subject to approval by the Compensation Committee, Executive will receive a one-time grant of 1,000,000 performance-based restricted stock units of the Company pursuant to the General Share Reserve, as defined in the Company’s 2021 Omnibus Incentive Plan (the “</w:t>
      </w:r>
      <w:r>
        <w:rPr>
          <w:rFonts w:ascii="Times New Roman" w:cs="Times New Roman" w:eastAsia="Times New Roman" w:hAnsi="Times New Roman"/>
          <w:sz w:val="21"/>
          <w:szCs w:val="21"/>
          <w:u w:val="single" w:color="auto"/>
          <w:color w:val="auto"/>
        </w:rPr>
        <w:t>2021 Plan</w:t>
      </w:r>
      <w:r>
        <w:rPr>
          <w:rFonts w:ascii="Times New Roman" w:cs="Times New Roman" w:eastAsia="Times New Roman" w:hAnsi="Times New Roman"/>
          <w:sz w:val="21"/>
          <w:szCs w:val="21"/>
          <w:color w:val="auto"/>
        </w:rPr>
        <w:t xml:space="preserve">”), subject to the terms and conditions of the 2021 Plan and an individual award agreement substantially in the form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Promotional RSU Award</w:t>
      </w:r>
      <w:r>
        <w:rPr>
          <w:rFonts w:ascii="Times New Roman" w:cs="Times New Roman" w:eastAsia="Times New Roman" w:hAnsi="Times New Roman"/>
          <w:sz w:val="21"/>
          <w:szCs w:val="21"/>
          <w:color w:val="auto"/>
        </w:rPr>
        <w:t>”). Nothing in this Agreement shall modify the terms of the individual award agreement with respect to 2,350,000 performance-based restricted stock units of the Company granted pursuant to Section 3(c)(ii) of the Original Employment Agreement (the “Management RSU Award”).</w:t>
      </w:r>
    </w:p>
    <w:p>
      <w:pPr>
        <w:spacing w:after="0" w:line="153" w:lineRule="exact"/>
        <w:rPr>
          <w:rFonts w:ascii="Times New Roman" w:cs="Times New Roman" w:eastAsia="Times New Roman" w:hAnsi="Times New Roman"/>
          <w:sz w:val="21"/>
          <w:szCs w:val="21"/>
          <w:color w:val="auto"/>
        </w:rPr>
      </w:pPr>
    </w:p>
    <w:p>
      <w:pPr>
        <w:ind w:left="1048" w:hanging="418"/>
        <w:spacing w:after="0"/>
        <w:tabs>
          <w:tab w:leader="none" w:pos="104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12" w:firstLine="1278"/>
        <w:spacing w:after="0"/>
        <w:tabs>
          <w:tab w:leader="none" w:pos="1733"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 and Welfare Benefits</w:t>
      </w:r>
      <w:r>
        <w:rPr>
          <w:rFonts w:ascii="Times New Roman" w:cs="Times New Roman" w:eastAsia="Times New Roman" w:hAnsi="Times New Roman"/>
          <w:sz w:val="21"/>
          <w:szCs w:val="21"/>
          <w:color w:val="auto"/>
        </w:rPr>
        <w:t>. During the Term, Executive will be eligible to participate in all benefit plans made available by the Company to similarly-situated officers of the Company from time to time. Such benefits will be subject to the applicable limitations and requirements imposed by the terms of such benefit plans and will be governed in all respects in accordance with the terms of such plans as in effect from time to time. Nothing in this Section 4(a), however, will require the Company to maintain any benefit plan or provide any type or level of benefits to its current or former employees, including Executive.</w:t>
      </w:r>
    </w:p>
    <w:p>
      <w:pPr>
        <w:spacing w:after="0" w:line="276" w:lineRule="exact"/>
        <w:rPr>
          <w:rFonts w:ascii="Times New Roman" w:cs="Times New Roman" w:eastAsia="Times New Roman" w:hAnsi="Times New Roman"/>
          <w:sz w:val="21"/>
          <w:szCs w:val="21"/>
          <w:color w:val="auto"/>
        </w:rPr>
      </w:pPr>
    </w:p>
    <w:p>
      <w:pPr>
        <w:jc w:val="both"/>
        <w:ind w:left="-12" w:firstLine="1278"/>
        <w:spacing w:after="0" w:line="232" w:lineRule="auto"/>
        <w:tabs>
          <w:tab w:leader="none" w:pos="173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Executive will be entitled to paid vacation in accordance with the Company’s vacation policies as in effect from time to time and applicable to similarly-situated officers of the Company. Executive will take vacation at his and the Company’s reasonable and mutual convenience.</w:t>
      </w:r>
    </w:p>
    <w:p>
      <w:pPr>
        <w:spacing w:after="0" w:line="147" w:lineRule="exact"/>
        <w:rPr>
          <w:rFonts w:ascii="Times New Roman" w:cs="Times New Roman" w:eastAsia="Times New Roman" w:hAnsi="Times New Roman"/>
          <w:sz w:val="21"/>
          <w:szCs w:val="21"/>
          <w:color w:val="auto"/>
        </w:rPr>
      </w:pPr>
    </w:p>
    <w:p>
      <w:pPr>
        <w:ind w:left="-12" w:firstLine="1278"/>
        <w:spacing w:after="0" w:line="245" w:lineRule="auto"/>
        <w:tabs>
          <w:tab w:leader="none" w:pos="1786"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of Business Expenses</w:t>
      </w:r>
      <w:r>
        <w:rPr>
          <w:rFonts w:ascii="Times New Roman" w:cs="Times New Roman" w:eastAsia="Times New Roman" w:hAnsi="Times New Roman"/>
          <w:sz w:val="21"/>
          <w:szCs w:val="21"/>
          <w:color w:val="auto"/>
        </w:rPr>
        <w:t>. The Company will reimburse Executive for any expenses reasonably and necessarily incurred by Executive during the Term in</w:t>
      </w:r>
    </w:p>
    <w:p>
      <w:pPr>
        <w:sectPr>
          <w:pgSz w:w="11900" w:h="16838" w:orient="portrait"/>
          <w:cols w:equalWidth="0" w:num="1">
            <w:col w:w="11228"/>
          </w:cols>
          <w:pgMar w:left="332" w:top="1371" w:right="339" w:bottom="1440" w:gutter="0" w:footer="0" w:header="0"/>
        </w:sectPr>
      </w:pPr>
    </w:p>
    <w:bookmarkStart w:id="138" w:name="page139"/>
    <w:bookmarkEnd w:id="138"/>
    <w:p>
      <w:pPr>
        <w:spacing w:after="0" w:line="1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furtherance of Executive’s duties hereunder, including travel, meals and accommodations, subject to Executive’s compliance with the Company’s policies with respect to reimbursement of business expenses as in effect from time to time.</w:t>
      </w:r>
    </w:p>
    <w:p>
      <w:pPr>
        <w:spacing w:after="0" w:line="143" w:lineRule="exact"/>
        <w:rPr>
          <w:sz w:val="20"/>
          <w:szCs w:val="20"/>
          <w:color w:val="auto"/>
        </w:rPr>
      </w:pPr>
    </w:p>
    <w:p>
      <w:pPr>
        <w:jc w:val="both"/>
        <w:ind w:firstLine="1278"/>
        <w:spacing w:after="0" w:line="226" w:lineRule="auto"/>
        <w:tabs>
          <w:tab w:leader="none" w:pos="174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D&amp;O Insurance; Indemnification</w:t>
      </w:r>
      <w:r>
        <w:rPr>
          <w:rFonts w:ascii="Times New Roman" w:cs="Times New Roman" w:eastAsia="Times New Roman" w:hAnsi="Times New Roman"/>
          <w:sz w:val="21"/>
          <w:szCs w:val="21"/>
          <w:color w:val="auto"/>
        </w:rPr>
        <w:t>. Executive will be covered by such directors’ and officers’ liability insurance on terms and conditions that are no less favorable than the terms that apply to any other director or officer of the Company or any of its affiliates. Executive will also be entitled to indemnification rights, benefits and related expense advances and reimbursements to the same extent as any other director or officer of the Company or any of its affiliates.</w:t>
      </w:r>
    </w:p>
    <w:p>
      <w:pPr>
        <w:spacing w:after="0" w:line="150" w:lineRule="exact"/>
        <w:rPr>
          <w:sz w:val="20"/>
          <w:szCs w:val="20"/>
          <w:color w:val="auto"/>
        </w:rPr>
      </w:pPr>
    </w:p>
    <w:p>
      <w:pPr>
        <w:ind w:left="1700" w:hanging="422"/>
        <w:spacing w:after="0"/>
        <w:tabs>
          <w:tab w:leader="none" w:pos="170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Accrued Benefits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1" w:lineRule="auto"/>
        <w:tabs>
          <w:tab w:leader="none" w:pos="1905"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Executive is an “at-will” employee of the Company. Executive’s employment will be terminated at the earliest to occur of the following during the Term: (i) the date of Executive’s death; (ii) the date on which the Company provides written notice to Executive of his termination of employment for “Cause” (as defined in the Fourth Amended and Restated Agreement of Limited Partnership of PWP Professional Partners LP (the “</w:t>
      </w:r>
      <w:r>
        <w:rPr>
          <w:rFonts w:ascii="Times New Roman" w:cs="Times New Roman" w:eastAsia="Times New Roman" w:hAnsi="Times New Roman"/>
          <w:sz w:val="21"/>
          <w:szCs w:val="21"/>
          <w:u w:val="single" w:color="auto"/>
          <w:color w:val="auto"/>
        </w:rPr>
        <w:t>Limited Partnership Agreement</w:t>
      </w:r>
      <w:r>
        <w:rPr>
          <w:rFonts w:ascii="Times New Roman" w:cs="Times New Roman" w:eastAsia="Times New Roman" w:hAnsi="Times New Roman"/>
          <w:sz w:val="21"/>
          <w:szCs w:val="21"/>
          <w:color w:val="auto"/>
        </w:rPr>
        <w:t>”); or (iii) the date which is ninety (90) days following the date on which either Executive or the Company provides written notice to the other party of his voluntary termination of employment or termination other than for Cause.</w:t>
      </w:r>
    </w:p>
    <w:p>
      <w:pPr>
        <w:spacing w:after="0" w:line="149" w:lineRule="exact"/>
        <w:rPr>
          <w:rFonts w:ascii="Times New Roman" w:cs="Times New Roman" w:eastAsia="Times New Roman" w:hAnsi="Times New Roman"/>
          <w:sz w:val="21"/>
          <w:szCs w:val="21"/>
          <w:color w:val="auto"/>
        </w:rPr>
      </w:pPr>
    </w:p>
    <w:p>
      <w:pPr>
        <w:jc w:val="both"/>
        <w:ind w:firstLine="1278"/>
        <w:spacing w:after="0" w:line="213" w:lineRule="auto"/>
        <w:tabs>
          <w:tab w:leader="none" w:pos="1890"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the date of his termination of employment, Executive will not be entitled to any further compensation or benefits pursuant to this Agreement other than, in each case if applicable as of the date of termination: (i) any accrued but unpaid Base Salary (payable as provided in Section 3(a) hereof); (ii) any amounts payable with respect to the Promotional RSU Award and the Management RSU Award in accordance with the terms of the applicable individual award agreements; (iii) in the case of a termination of employment by the Company other than for Cause, an amount in cash equal to any annual discretionary performance bonus payable to Executive in respect of any previously completed fiscal year of the Company in accordance with Section 3(b) hereof but unpaid as of the date of termination, payable on the same date on which annual bonuses are paid to other similarly-situated officers of the Company in respect of such fiscal year; (iv) reimbursement for any expenses properly incurred and reported by Executive prior to the date of termination in accordance with Section 4(c) hereof, payable on the Company’s first regularly scheduled payroll date which occurs at least ten (10) business days after the date of termination; and</w:t>
      </w:r>
    </w:p>
    <w:p>
      <w:pPr>
        <w:ind w:firstLine="6"/>
        <w:spacing w:after="0" w:line="231" w:lineRule="auto"/>
        <w:tabs>
          <w:tab w:leader="none" w:pos="30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vested employee benefits, if any, to which Executive may be entitled under the Company’s employee benefit plans described in Sections 4(a) and 4(b) hereof as of the date of termination.</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725"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termination of employment for any reason, unless requested otherwise by the Company, Executive shall be deemed to have resigned from each position (if any) that Executive then holds as an officer or director of the Company or any of its affiliates.</w:t>
      </w:r>
    </w:p>
    <w:p>
      <w:pPr>
        <w:spacing w:after="0" w:line="147" w:lineRule="exact"/>
        <w:rPr>
          <w:rFonts w:ascii="Times New Roman" w:cs="Times New Roman" w:eastAsia="Times New Roman" w:hAnsi="Times New Roman"/>
          <w:sz w:val="21"/>
          <w:szCs w:val="21"/>
          <w:color w:val="auto"/>
        </w:rPr>
      </w:pPr>
    </w:p>
    <w:p>
      <w:pPr>
        <w:ind w:left="1060" w:hanging="418"/>
        <w:spacing w:after="0"/>
        <w:tabs>
          <w:tab w:leader="none" w:pos="106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 Permitted Disclosures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737" w:val="left"/>
        </w:tabs>
        <w:numPr>
          <w:ilvl w:val="2"/>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and agrees that Executive is bound by certain restrictive covenants in connection with Executive’s employment with the Company and its affiliates, including, without limitation, confidentiality, non-solicitation, non-competition and non-disparagement covenants (as applicable, the “</w:t>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The Restrictive Covenants are incorporated by reference as if fully set forth herein and are hereby re-executed and reaffirmed.</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3" w:lineRule="exact"/>
        <w:rPr>
          <w:sz w:val="20"/>
          <w:szCs w:val="20"/>
          <w:color w:val="auto"/>
        </w:rPr>
      </w:pPr>
    </w:p>
    <w:p>
      <w:pPr>
        <w:jc w:val="both"/>
        <w:ind w:left="-642" w:firstLine="1278"/>
        <w:spacing w:after="0" w:line="216" w:lineRule="auto"/>
        <w:tabs>
          <w:tab w:leader="none" w:pos="1092"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18 U.S.C. §1833(b), Executive will not be held criminally or civilly liable under any federal or state trade secret law for the disclosure of a trade secret of the Company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his attorney and use the trade secret information in the court proceeding, if Executive (1) files any document containing the trade secret under seal, and (2) does not disclose the trade secret, except pursuant to court order. Nothing in this Agreement is intended to conflict with 18 U.S.C. §1833(b) or create liability for disclosures of trade secrets that are expressly allowed by such section. Further, nothing in any agreement Executive has with the Company or any of its affiliates will prohibit or restrict Executive from making a protected disclosure or any other voluntary disclosure of information or documents related to any possible violation of law to any governmental agency or legislative body, or any self-regulatory organization, in each case, without advance notice to the Company or any of its affiliates.</w:t>
      </w:r>
    </w:p>
    <w:p>
      <w:pPr>
        <w:spacing w:after="0" w:line="147" w:lineRule="exact"/>
        <w:rPr>
          <w:rFonts w:ascii="Times New Roman" w:cs="Times New Roman" w:eastAsia="Times New Roman" w:hAnsi="Times New Roman"/>
          <w:sz w:val="21"/>
          <w:szCs w:val="21"/>
          <w:color w:val="auto"/>
        </w:rPr>
      </w:pPr>
    </w:p>
    <w:p>
      <w:pPr>
        <w:jc w:val="both"/>
        <w:ind w:left="-642" w:firstLine="642"/>
        <w:spacing w:after="0" w:line="219" w:lineRule="auto"/>
        <w:tabs>
          <w:tab w:leader="none" w:pos="43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This Agreement, and all of the terms and conditions hereof, will bind the Company and its successors and assigns and will bind Executive and Executive’s heirs, executors and administrators. No transfer or assignment of this Agreement will release the Company from any obligation to Executive hereunder. Neither this Agreement, nor any of the Company’s rights or obligations hereunder, may be assigned or otherwise subjected to hypothecation by Executive, and any such attempted assignment or hypothecation will be null and void. The Company may assign any of its rights hereunder, in whole or in part, to any successor or assign in connection with the sale of all or substantially all of the Company’s assets or equity interests or in connection with any merger, acquisition and/or reorganization.</w:t>
      </w:r>
    </w:p>
    <w:p>
      <w:pPr>
        <w:spacing w:after="0" w:line="153" w:lineRule="exact"/>
        <w:rPr>
          <w:rFonts w:ascii="Times New Roman" w:cs="Times New Roman" w:eastAsia="Times New Roman" w:hAnsi="Times New Roman"/>
          <w:sz w:val="21"/>
          <w:szCs w:val="21"/>
          <w:color w:val="auto"/>
        </w:rPr>
      </w:pPr>
    </w:p>
    <w:p>
      <w:pPr>
        <w:ind w:left="378" w:hanging="378"/>
        <w:spacing w:after="0"/>
        <w:tabs>
          <w:tab w:leader="none" w:pos="37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2" w:firstLine="1278"/>
        <w:spacing w:after="0" w:line="217" w:lineRule="auto"/>
        <w:tabs>
          <w:tab w:leader="none" w:pos="1111"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Executive mutually consent to the resolution by final and binding arbitration of any and all disputes, controversies or claims between them including, without limitation, (i) any dispute, controversy or claim related in any way to Executive’s employment with the Company or any of its affiliates or any termination thereof, (ii) any dispute, controversy or claim of alleged discrimination, harassment or retaliation (including, but not limited to, claims based on race, sex, sexual preference, religion, national origin, age, marital or family status, medical condition, handicap or disability) and (iii) any claim arising out of or relating to this Agreement or the breach thereof (collectively, “</w:t>
      </w:r>
      <w:r>
        <w:rPr>
          <w:rFonts w:ascii="Times New Roman" w:cs="Times New Roman" w:eastAsia="Times New Roman" w:hAnsi="Times New Roman"/>
          <w:sz w:val="21"/>
          <w:szCs w:val="21"/>
          <w:u w:val="single" w:color="auto"/>
          <w:color w:val="auto"/>
        </w:rPr>
        <w:t>Disputes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herein will require arbitration of any claim or charge which, by law, cannot be the subject of a compulsory arbitration agreement. All Disputes will be resolved exclusively by arbitration administered by the American Arbitration Association (“</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under the AAA Employment Arbitration Rules and Mediation Procedures then in effect (the “</w:t>
      </w:r>
      <w:r>
        <w:rPr>
          <w:rFonts w:ascii="Times New Roman" w:cs="Times New Roman" w:eastAsia="Times New Roman" w:hAnsi="Times New Roman"/>
          <w:sz w:val="21"/>
          <w:szCs w:val="21"/>
          <w:u w:val="single" w:color="auto"/>
          <w:color w:val="auto"/>
        </w:rPr>
        <w:t>AAA Rules</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left="-642" w:firstLine="1278"/>
        <w:spacing w:after="0" w:line="219" w:lineRule="auto"/>
        <w:tabs>
          <w:tab w:leader="none" w:pos="108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arbitration proceeding brought under this Agreement will be conducted in New York, New York or another mutually agreed upon location before one arbitrator selected in accordance with the AAA Rules. Each party to any Dispute will pay its own expenses, including attorneys’ fees. The arbitrator will be empowered to award either party any remedy at law or in equity that the party would otherwise have been entitled to had the matter been litigated in a court of competent jurisdiction, including, but not limited to, general, special, and punitive damages, injunctive relief, costs and attorney fees;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authority to award any remedy is subject to whatever limitations, if any, exist in the applicable law on such remedies. The arbitrator will issue a decision or award in writing, stating the essential findings of fact and conclusions of law.</w:t>
      </w:r>
    </w:p>
    <w:p>
      <w:pPr>
        <w:sectPr>
          <w:pgSz w:w="11900" w:h="16838" w:orient="portrait"/>
          <w:cols w:equalWidth="0" w:num="1">
            <w:col w:w="10598"/>
          </w:cols>
          <w:pgMar w:left="962" w:top="1440" w:right="339" w:bottom="1440" w:gutter="0" w:footer="0" w:header="0"/>
        </w:sectPr>
      </w:pPr>
    </w:p>
    <w:bookmarkStart w:id="140" w:name="page141"/>
    <w:bookmarkEnd w:id="140"/>
    <w:p>
      <w:pPr>
        <w:spacing w:after="0" w:line="143" w:lineRule="exact"/>
        <w:rPr>
          <w:sz w:val="20"/>
          <w:szCs w:val="20"/>
          <w:color w:val="auto"/>
        </w:rPr>
      </w:pPr>
    </w:p>
    <w:p>
      <w:pPr>
        <w:jc w:val="both"/>
        <w:ind w:firstLine="1278"/>
        <w:spacing w:after="0" w:line="226" w:lineRule="auto"/>
        <w:tabs>
          <w:tab w:leader="none" w:pos="1872"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judgment on or enforcement of any award, including an award providing for interim or permanent injunctive relief, rendered by the arbitrator may be entered, enforced or appealed in any court of competent jurisdiction. Any arbitration proceedings, decision or award rendered hereunder, and the validity, effect and interpretation of this arbitration provision, will be governed by the Federal Arbitration Act, 9 U.S.C. §1 et seq.</w:t>
      </w:r>
    </w:p>
    <w:p>
      <w:pPr>
        <w:spacing w:after="0" w:line="150" w:lineRule="exact"/>
        <w:rPr>
          <w:rFonts w:ascii="Times New Roman" w:cs="Times New Roman" w:eastAsia="Times New Roman" w:hAnsi="Times New Roman"/>
          <w:sz w:val="21"/>
          <w:szCs w:val="21"/>
          <w:color w:val="auto"/>
        </w:rPr>
      </w:pPr>
    </w:p>
    <w:p>
      <w:pPr>
        <w:jc w:val="both"/>
        <w:ind w:firstLine="1278"/>
        <w:spacing w:after="0"/>
        <w:tabs>
          <w:tab w:leader="none" w:pos="1794"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part of the essence of this Agreement that any Disputes hereunder will be resolved expeditiously and as confidentially as possible. Accordingly, the Company and Executive agree that all proceedings in any arbitration will be conducted under seal and kept strictly confidential. In that regard, no party will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 Before making any disclosure permitted by the preceding sentence, the party intending to make such disclosure will give the other party reasonable written notice of the intended disclosure and afford such other party a reasonable opportunity to protect its interests.</w:t>
      </w:r>
    </w:p>
    <w:p>
      <w:pPr>
        <w:spacing w:after="0" w:line="188" w:lineRule="exact"/>
        <w:rPr>
          <w:rFonts w:ascii="Times New Roman" w:cs="Times New Roman" w:eastAsia="Times New Roman" w:hAnsi="Times New Roman"/>
          <w:sz w:val="21"/>
          <w:szCs w:val="21"/>
          <w:color w:val="auto"/>
        </w:rPr>
      </w:pPr>
    </w:p>
    <w:p>
      <w:pPr>
        <w:ind w:left="1020" w:hanging="378"/>
        <w:spacing w:after="0"/>
        <w:tabs>
          <w:tab w:leader="none" w:pos="102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78"/>
        <w:spacing w:after="0" w:line="221" w:lineRule="auto"/>
        <w:tabs>
          <w:tab w:leader="none" w:pos="171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facsimile or e-mail; or (iv)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9(a)):</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To the Company:</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Perella Weinberg Partners</w:t>
      </w:r>
    </w:p>
    <w:p>
      <w:pPr>
        <w:ind w:left="1280"/>
        <w:spacing w:after="0" w:line="210" w:lineRule="auto"/>
        <w:rPr>
          <w:sz w:val="20"/>
          <w:szCs w:val="20"/>
          <w:color w:val="auto"/>
        </w:rPr>
      </w:pPr>
      <w:r>
        <w:rPr>
          <w:rFonts w:ascii="Times New Roman" w:cs="Times New Roman" w:eastAsia="Times New Roman" w:hAnsi="Times New Roman"/>
          <w:sz w:val="21"/>
          <w:szCs w:val="21"/>
          <w:color w:val="auto"/>
        </w:rPr>
        <w:t>767 Fifth Avenue</w:t>
      </w:r>
    </w:p>
    <w:p>
      <w:pPr>
        <w:ind w:left="1280"/>
        <w:spacing w:after="0" w:line="211" w:lineRule="auto"/>
        <w:rPr>
          <w:sz w:val="20"/>
          <w:szCs w:val="20"/>
          <w:color w:val="auto"/>
        </w:rPr>
      </w:pPr>
      <w:r>
        <w:rPr>
          <w:rFonts w:ascii="Times New Roman" w:cs="Times New Roman" w:eastAsia="Times New Roman" w:hAnsi="Times New Roman"/>
          <w:sz w:val="21"/>
          <w:szCs w:val="21"/>
          <w:color w:val="auto"/>
        </w:rPr>
        <w:t>New York, NY 10153</w:t>
      </w:r>
    </w:p>
    <w:p>
      <w:pPr>
        <w:ind w:left="1280"/>
        <w:spacing w:after="0" w:line="211" w:lineRule="auto"/>
        <w:rPr>
          <w:sz w:val="20"/>
          <w:szCs w:val="20"/>
          <w:color w:val="auto"/>
        </w:rPr>
      </w:pPr>
      <w:r>
        <w:rPr>
          <w:rFonts w:ascii="Times New Roman" w:cs="Times New Roman" w:eastAsia="Times New Roman" w:hAnsi="Times New Roman"/>
          <w:sz w:val="21"/>
          <w:szCs w:val="21"/>
          <w:color w:val="auto"/>
        </w:rPr>
        <w:t>Attention: General Counsel</w:t>
      </w:r>
    </w:p>
    <w:p>
      <w:pPr>
        <w:ind w:left="1280"/>
        <w:spacing w:after="0" w:line="210" w:lineRule="auto"/>
        <w:rPr>
          <w:sz w:val="20"/>
          <w:szCs w:val="20"/>
          <w:color w:val="auto"/>
        </w:rPr>
      </w:pPr>
      <w:r>
        <w:rPr>
          <w:rFonts w:ascii="Times New Roman" w:cs="Times New Roman" w:eastAsia="Times New Roman" w:hAnsi="Times New Roman"/>
          <w:sz w:val="21"/>
          <w:szCs w:val="21"/>
          <w:color w:val="auto"/>
        </w:rPr>
        <w:t>Telephone: (212) 287-3200</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Email: PubCoHR@pwpartners.com</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To Executive:</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At the address shown in the Company’s personnel records</w:t>
      </w:r>
    </w:p>
    <w:p>
      <w:pPr>
        <w:spacing w:after="0" w:line="183" w:lineRule="exact"/>
        <w:rPr>
          <w:sz w:val="20"/>
          <w:szCs w:val="20"/>
          <w:color w:val="auto"/>
        </w:rPr>
      </w:pPr>
    </w:p>
    <w:p>
      <w:pPr>
        <w:jc w:val="both"/>
        <w:ind w:firstLine="1278"/>
        <w:spacing w:after="0" w:line="223" w:lineRule="auto"/>
        <w:tabs>
          <w:tab w:leader="none" w:pos="175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(including any exhibits hereto) constitutes the sole and entire agreement of the parties to this Agreement with respect to the subject matter contained herein and therein, and, effective as of the Effective Date, supersedes all prior and contemporaneous representations, warranties, understandings and agreements, both written and oral, with respect to such subject matter, including any employment agreement term sheets or letters of intent previously exchanged by the parties.</w:t>
      </w:r>
    </w:p>
    <w:p>
      <w:pPr>
        <w:spacing w:after="0" w:line="144" w:lineRule="exact"/>
        <w:rPr>
          <w:rFonts w:ascii="Times New Roman" w:cs="Times New Roman" w:eastAsia="Times New Roman" w:hAnsi="Times New Roman"/>
          <w:sz w:val="21"/>
          <w:szCs w:val="21"/>
          <w:color w:val="auto"/>
        </w:rPr>
      </w:pPr>
    </w:p>
    <w:p>
      <w:pPr>
        <w:ind w:left="1760" w:hanging="482"/>
        <w:spacing w:after="0"/>
        <w:tabs>
          <w:tab w:leader="none" w:pos="176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in this Agreement are for reference only and shall not affect the interpretation of this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3" w:lineRule="exact"/>
        <w:rPr>
          <w:sz w:val="20"/>
          <w:szCs w:val="20"/>
          <w:color w:val="auto"/>
        </w:rPr>
      </w:pPr>
    </w:p>
    <w:p>
      <w:pPr>
        <w:jc w:val="both"/>
        <w:ind w:left="-1120" w:firstLine="1278"/>
        <w:spacing w:after="0" w:line="223" w:lineRule="auto"/>
        <w:tabs>
          <w:tab w:leader="none" w:pos="66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Modification; Waiver</w:t>
      </w:r>
      <w:r>
        <w:rPr>
          <w:rFonts w:ascii="Times New Roman" w:cs="Times New Roman" w:eastAsia="Times New Roman" w:hAnsi="Times New Roman"/>
          <w:sz w:val="21"/>
          <w:szCs w:val="21"/>
          <w:color w:val="auto"/>
        </w:rPr>
        <w:t>. This Agreement may only be amended, modified or supplemented by an agreement in writing signed by all of the parties hereto.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50" w:lineRule="exact"/>
        <w:rPr>
          <w:rFonts w:ascii="Times New Roman" w:cs="Times New Roman" w:eastAsia="Times New Roman" w:hAnsi="Times New Roman"/>
          <w:sz w:val="21"/>
          <w:szCs w:val="21"/>
          <w:color w:val="auto"/>
        </w:rPr>
      </w:pPr>
    </w:p>
    <w:p>
      <w:pPr>
        <w:jc w:val="both"/>
        <w:ind w:left="-1120" w:firstLine="1278"/>
        <w:spacing w:after="0" w:line="232" w:lineRule="auto"/>
        <w:tabs>
          <w:tab w:leader="none" w:pos="59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internal laws of the State of New York without giving effect to any choice or conflict of law provision or rule (whether of the State of New York or any other jurisdiction).</w:t>
      </w:r>
    </w:p>
    <w:p>
      <w:pPr>
        <w:spacing w:after="0" w:line="147" w:lineRule="exact"/>
        <w:rPr>
          <w:rFonts w:ascii="Times New Roman" w:cs="Times New Roman" w:eastAsia="Times New Roman" w:hAnsi="Times New Roman"/>
          <w:sz w:val="21"/>
          <w:szCs w:val="21"/>
          <w:color w:val="auto"/>
        </w:rPr>
      </w:pPr>
    </w:p>
    <w:p>
      <w:pPr>
        <w:ind w:left="-1120" w:right="20" w:firstLine="1278"/>
        <w:spacing w:after="0" w:line="245" w:lineRule="auto"/>
        <w:tabs>
          <w:tab w:leader="none" w:pos="60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Survivorship</w:t>
      </w:r>
      <w:r>
        <w:rPr>
          <w:rFonts w:ascii="Times New Roman" w:cs="Times New Roman" w:eastAsia="Times New Roman" w:hAnsi="Times New Roman"/>
          <w:sz w:val="21"/>
          <w:szCs w:val="21"/>
          <w:color w:val="auto"/>
        </w:rPr>
        <w:t>. The provisions of this Agreement necessary to carry out the intention of the parties as expressed herein will survive the termination or expiration of this Agreement.</w:t>
      </w:r>
    </w:p>
    <w:p>
      <w:pPr>
        <w:spacing w:after="0" w:line="142" w:lineRule="exact"/>
        <w:rPr>
          <w:rFonts w:ascii="Times New Roman" w:cs="Times New Roman" w:eastAsia="Times New Roman" w:hAnsi="Times New Roman"/>
          <w:sz w:val="21"/>
          <w:szCs w:val="21"/>
          <w:color w:val="auto"/>
        </w:rPr>
      </w:pPr>
    </w:p>
    <w:p>
      <w:pPr>
        <w:jc w:val="both"/>
        <w:ind w:left="-1120" w:firstLine="1278"/>
        <w:spacing w:after="0" w:line="226" w:lineRule="auto"/>
        <w:tabs>
          <w:tab w:leader="none" w:pos="66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The parties acknowledge that this Agreement is the result of arm’s-length negotiations between sophisticated parties, each afforded representation by legal counsel. Each and every provision of this Agreement will be construed as though both parties participated equally in the drafting of the same, and any rule of construction that a document will be construed against the drafting party will not be applicable to this Agreement.</w:t>
      </w:r>
    </w:p>
    <w:p>
      <w:pPr>
        <w:spacing w:after="0" w:line="150" w:lineRule="exact"/>
        <w:rPr>
          <w:rFonts w:ascii="Times New Roman" w:cs="Times New Roman" w:eastAsia="Times New Roman" w:hAnsi="Times New Roman"/>
          <w:sz w:val="21"/>
          <w:szCs w:val="21"/>
          <w:color w:val="auto"/>
        </w:rPr>
      </w:pPr>
    </w:p>
    <w:p>
      <w:pPr>
        <w:jc w:val="both"/>
        <w:ind w:left="-1120" w:firstLine="1278"/>
        <w:spacing w:after="0" w:line="232" w:lineRule="auto"/>
        <w:tabs>
          <w:tab w:leader="none" w:pos="78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All compensation payable to Executive pursuant to this Agreement will be subject to any applicable statutory withholding taxes and such other taxes as are required or permitted under applicable law and such other deductions or withholdings as authorized by Executive to be collected with respect to compensation paid to Executive.</w:t>
      </w:r>
    </w:p>
    <w:p>
      <w:pPr>
        <w:spacing w:after="0" w:line="147" w:lineRule="exact"/>
        <w:rPr>
          <w:rFonts w:ascii="Times New Roman" w:cs="Times New Roman" w:eastAsia="Times New Roman" w:hAnsi="Times New Roman"/>
          <w:sz w:val="21"/>
          <w:szCs w:val="21"/>
          <w:color w:val="auto"/>
        </w:rPr>
      </w:pPr>
    </w:p>
    <w:p>
      <w:pPr>
        <w:jc w:val="both"/>
        <w:ind w:left="-1120" w:firstLine="1278"/>
        <w:spacing w:after="0" w:line="226" w:lineRule="auto"/>
        <w:tabs>
          <w:tab w:leader="none" w:pos="57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50" w:lineRule="exact"/>
        <w:rPr>
          <w:rFonts w:ascii="Times New Roman" w:cs="Times New Roman" w:eastAsia="Times New Roman" w:hAnsi="Times New Roman"/>
          <w:sz w:val="21"/>
          <w:szCs w:val="21"/>
          <w:color w:val="auto"/>
        </w:rPr>
      </w:pPr>
    </w:p>
    <w:p>
      <w:pPr>
        <w:jc w:val="both"/>
        <w:ind w:left="-1120" w:firstLine="1278"/>
        <w:spacing w:after="0" w:line="227" w:lineRule="auto"/>
        <w:tabs>
          <w:tab w:leader="none" w:pos="59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intent of the parties is that payments and benefits under this Agreement comply with, or be exempt from, Section 409A of the U.S. Internal Revenue Code of 1986, as amended (“</w:t>
      </w:r>
      <w:r>
        <w:rPr>
          <w:rFonts w:ascii="Times New Roman" w:cs="Times New Roman" w:eastAsia="Times New Roman" w:hAnsi="Times New Roman"/>
          <w:sz w:val="21"/>
          <w:szCs w:val="21"/>
          <w:u w:val="single" w:color="auto"/>
          <w:color w:val="auto"/>
        </w:rPr>
        <w:t>Section 409A of the Code</w:t>
      </w:r>
      <w:r>
        <w:rPr>
          <w:rFonts w:ascii="Times New Roman" w:cs="Times New Roman" w:eastAsia="Times New Roman" w:hAnsi="Times New Roman"/>
          <w:sz w:val="21"/>
          <w:szCs w:val="21"/>
          <w:color w:val="auto"/>
        </w:rPr>
        <w:t>”), to the extent subject thereto, and accordingly, to the maximum extent permitted, this Agreement shall be interpreted to be in compliance therewith. Notwithstanding anything contained herein to the contrary, Executive will not be considered to have terminated employment with the Company for purposes of any payments under this Agreement which are subject to Section 409A of the Code until Executive would be considered to have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or any other arrangement between Executive and the Company and its affiliates during the six (6) month period immediately following Executive’s separation from service shall instead be paid on the first business day after the date that is six (6) months following Executive’s separation from service (or, if earlier, Executive’s date of death).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w:t>
      </w:r>
    </w:p>
    <w:p>
      <w:pPr>
        <w:sectPr>
          <w:pgSz w:w="11900" w:h="16838" w:orient="portrait"/>
          <w:cols w:equalWidth="0" w:num="1">
            <w:col w:w="10120"/>
          </w:cols>
          <w:pgMar w:left="1440" w:top="1440" w:right="339" w:bottom="1440" w:gutter="0" w:footer="0" w:header="0"/>
        </w:sectPr>
      </w:pPr>
    </w:p>
    <w:bookmarkStart w:id="142" w:name="page143"/>
    <w:bookmarkEnd w:id="142"/>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subsequent year. The Company makes no representation that any or all of the payments described in this Agreement will be exempt from or comply with Section 409A of the Code and makes no undertaking to preclude Section 409A of the Code from applying to any such payment. Executive will be solely responsible for the payment of any taxes and penalties incurred under Section 409A of the Code.</w:t>
      </w:r>
    </w:p>
    <w:p>
      <w:pPr>
        <w:spacing w:after="0" w:line="150" w:lineRule="exact"/>
        <w:rPr>
          <w:sz w:val="20"/>
          <w:szCs w:val="20"/>
          <w:color w:val="auto"/>
        </w:rPr>
      </w:pPr>
    </w:p>
    <w:p>
      <w:pPr>
        <w:jc w:val="both"/>
        <w:ind w:firstLine="642"/>
        <w:spacing w:after="0" w:line="232" w:lineRule="auto"/>
        <w:tabs>
          <w:tab w:leader="none" w:pos="1153"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 Representation and Acceptance</w:t>
      </w:r>
      <w:r>
        <w:rPr>
          <w:rFonts w:ascii="Times New Roman" w:cs="Times New Roman" w:eastAsia="Times New Roman" w:hAnsi="Times New Roman"/>
          <w:sz w:val="21"/>
          <w:szCs w:val="21"/>
          <w:color w:val="auto"/>
        </w:rPr>
        <w:t>. By signing this Agreement, Executive hereby represents that Executive is not currently under any contractual obligation to work for another employer and that Executive is not restricted by any agreement or arrangement from entering into this Agreement and performing Executive’s duties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is left blank intentionally]</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49"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and intending to be legally bound thereby, the parties hereto have executed and delivered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effective as of the year and date first above written.</w:t>
      </w:r>
    </w:p>
    <w:p>
      <w:pPr>
        <w:spacing w:after="0" w:line="200" w:lineRule="exact"/>
        <w:rPr>
          <w:sz w:val="20"/>
          <w:szCs w:val="20"/>
          <w:color w:val="auto"/>
        </w:rPr>
      </w:pPr>
    </w:p>
    <w:p>
      <w:pPr>
        <w:spacing w:after="0" w:line="35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color w:val="auto"/>
        </w:rPr>
        <w:t>PERELLA WEINBERG PARTNERS</w:t>
      </w:r>
    </w:p>
    <w:p>
      <w:pPr>
        <w:spacing w:after="0" w:line="39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__/s/ Rebekah Weissburg</w:t>
      </w:r>
      <w:r>
        <w:rPr>
          <w:rFonts w:ascii="Times New Roman" w:cs="Times New Roman" w:eastAsia="Times New Roman" w:hAnsi="Times New Roman"/>
          <w:sz w:val="21"/>
          <w:szCs w:val="21"/>
          <w:color w:val="auto"/>
        </w:rPr>
        <w:t xml:space="preserve"> _________________</w:t>
      </w:r>
    </w:p>
    <w:p>
      <w:pPr>
        <w:ind w:left="3580"/>
        <w:spacing w:after="0" w:line="210" w:lineRule="auto"/>
        <w:rPr>
          <w:sz w:val="20"/>
          <w:szCs w:val="20"/>
          <w:color w:val="auto"/>
        </w:rPr>
      </w:pPr>
      <w:r>
        <w:rPr>
          <w:rFonts w:ascii="Times New Roman" w:cs="Times New Roman" w:eastAsia="Times New Roman" w:hAnsi="Times New Roman"/>
          <w:sz w:val="21"/>
          <w:szCs w:val="21"/>
          <w:color w:val="auto"/>
        </w:rPr>
        <w:t>Name: Rebekah Weissburg</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color w:val="auto"/>
        </w:rPr>
        <w:t>PWP EMPLOYER LP</w:t>
      </w:r>
    </w:p>
    <w:p>
      <w:pPr>
        <w:spacing w:after="0" w:line="39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____/s/ Rebekah Weissburg _________</w:t>
      </w:r>
    </w:p>
    <w:p>
      <w:pPr>
        <w:ind w:left="3580"/>
        <w:spacing w:after="0" w:line="210" w:lineRule="auto"/>
        <w:rPr>
          <w:sz w:val="20"/>
          <w:szCs w:val="20"/>
          <w:color w:val="auto"/>
        </w:rPr>
      </w:pPr>
      <w:r>
        <w:rPr>
          <w:rFonts w:ascii="Times New Roman" w:cs="Times New Roman" w:eastAsia="Times New Roman" w:hAnsi="Times New Roman"/>
          <w:sz w:val="21"/>
          <w:szCs w:val="21"/>
          <w:color w:val="auto"/>
        </w:rPr>
        <w:t>Name: Rebekah Weissburg</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39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u w:val="single" w:color="auto"/>
          <w:color w:val="auto"/>
        </w:rPr>
        <w:t>/s/ Andrew Bednar _________________________</w:t>
      </w:r>
    </w:p>
    <w:p>
      <w:pPr>
        <w:ind w:left="3580"/>
        <w:spacing w:after="0"/>
        <w:rPr>
          <w:sz w:val="20"/>
          <w:szCs w:val="20"/>
          <w:color w:val="auto"/>
        </w:rPr>
      </w:pPr>
      <w:r>
        <w:rPr>
          <w:rFonts w:ascii="Times New Roman" w:cs="Times New Roman" w:eastAsia="Times New Roman" w:hAnsi="Times New Roman"/>
          <w:sz w:val="21"/>
          <w:szCs w:val="21"/>
          <w:color w:val="auto"/>
        </w:rPr>
        <w:t>Andrew Bednar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Amended and Restated Employment Agreement]</w:t>
      </w:r>
    </w:p>
    <w:p>
      <w:pPr>
        <w:sectPr>
          <w:pgSz w:w="11900" w:h="16838" w:orient="portrait"/>
          <w:cols w:equalWidth="0" w:num="1">
            <w:col w:w="11240"/>
          </w:cols>
          <w:pgMar w:left="320" w:top="136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EMPLOYMENT AGREEMENT</w:t>
      </w:r>
    </w:p>
    <w:p>
      <w:pPr>
        <w:spacing w:after="0" w:line="183" w:lineRule="exact"/>
        <w:rPr>
          <w:sz w:val="20"/>
          <w:szCs w:val="20"/>
          <w:color w:val="auto"/>
        </w:rPr>
      </w:pPr>
    </w:p>
    <w:p>
      <w:pPr>
        <w:jc w:val="both"/>
        <w:ind w:firstLine="636"/>
        <w:spacing w:after="0" w:line="227" w:lineRule="auto"/>
        <w:rPr>
          <w:sz w:val="20"/>
          <w:szCs w:val="20"/>
          <w:color w:val="auto"/>
        </w:rPr>
      </w:pPr>
      <w:r>
        <w:rPr>
          <w:rFonts w:ascii="Times New Roman" w:cs="Times New Roman" w:eastAsia="Times New Roman" w:hAnsi="Times New Roman"/>
          <w:sz w:val="21"/>
          <w:szCs w:val="21"/>
          <w:b w:val="1"/>
          <w:bCs w:val="1"/>
          <w:color w:val="auto"/>
        </w:rPr>
        <w:t xml:space="preserve">THIS AMENDED AND RESTATED EMPLOYMENT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effective as of January 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2023 (the “</w:t>
      </w:r>
      <w:r>
        <w:rPr>
          <w:rFonts w:ascii="Times New Roman" w:cs="Times New Roman" w:eastAsia="Times New Roman" w:hAnsi="Times New Roman"/>
          <w:sz w:val="21"/>
          <w:szCs w:val="21"/>
          <w:u w:val="single" w:color="auto"/>
          <w:color w:val="auto"/>
        </w:rPr>
        <w:t>Effective</w:t>
      </w:r>
      <w:r>
        <w:rPr>
          <w:rFonts w:ascii="Times New Roman" w:cs="Times New Roman" w:eastAsia="Times New Roman" w:hAnsi="Times New Roman"/>
          <w:sz w:val="21"/>
          <w:szCs w:val="21"/>
          <w:color w:val="auto"/>
        </w:rPr>
        <w:t xml:space="preserve"> Date”), is made by and between Perella Weinberg Partners, a Delaware corporation (“</w:t>
      </w:r>
      <w:r>
        <w:rPr>
          <w:rFonts w:ascii="Times New Roman" w:cs="Times New Roman" w:eastAsia="Times New Roman" w:hAnsi="Times New Roman"/>
          <w:sz w:val="21"/>
          <w:szCs w:val="21"/>
          <w:u w:val="single" w:color="auto"/>
          <w:color w:val="auto"/>
        </w:rPr>
        <w:t>PWP</w:t>
      </w:r>
      <w:r>
        <w:rPr>
          <w:rFonts w:ascii="Times New Roman" w:cs="Times New Roman" w:eastAsia="Times New Roman" w:hAnsi="Times New Roman"/>
          <w:sz w:val="21"/>
          <w:szCs w:val="21"/>
          <w:color w:val="auto"/>
        </w:rPr>
        <w:t>”), Perella Weinberg UK Limited, a limited company formed under the laws of England and Wales (“</w:t>
      </w:r>
      <w:r>
        <w:rPr>
          <w:rFonts w:ascii="Times New Roman" w:cs="Times New Roman" w:eastAsia="Times New Roman" w:hAnsi="Times New Roman"/>
          <w:sz w:val="21"/>
          <w:szCs w:val="21"/>
          <w:u w:val="single" w:color="auto"/>
          <w:color w:val="auto"/>
        </w:rPr>
        <w:t>UK Limited</w:t>
      </w:r>
      <w:r>
        <w:rPr>
          <w:rFonts w:ascii="Times New Roman" w:cs="Times New Roman" w:eastAsia="Times New Roman" w:hAnsi="Times New Roman"/>
          <w:sz w:val="21"/>
          <w:szCs w:val="21"/>
          <w:color w:val="auto"/>
        </w:rPr>
        <w:t>,” and together with PWP,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Dietrich Becker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Executive are parties to that certain employment agreement dated as of August 11, 2021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Original Employment Agreement</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effective as of January 1, 2023, Executive will commence serving as sole President of the Company; and</w:t>
      </w:r>
    </w:p>
    <w:p>
      <w:pPr>
        <w:spacing w:after="0" w:line="18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Executive mutually desire to amend and restate the Original Employment Agreement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 set forth herein, which will become effective on the Effective Date.</w:t>
      </w:r>
    </w:p>
    <w:p>
      <w:pPr>
        <w:spacing w:after="0" w:line="13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covenants and agreements hereinafter set forth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of which are hereby acknowledged, the parties hereto agree as follows:</w:t>
      </w:r>
    </w:p>
    <w:p>
      <w:pPr>
        <w:spacing w:after="0" w:line="139" w:lineRule="exact"/>
        <w:rPr>
          <w:sz w:val="20"/>
          <w:szCs w:val="20"/>
          <w:color w:val="auto"/>
        </w:rPr>
      </w:pPr>
    </w:p>
    <w:p>
      <w:pPr>
        <w:jc w:val="both"/>
        <w:ind w:firstLine="642"/>
        <w:spacing w:after="0" w:line="232" w:lineRule="auto"/>
        <w:tabs>
          <w:tab w:leader="none" w:pos="107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Executive’s employment with the Company pursuant to the terms and conditions set forth in this Agreement will continue on the Effective Date and will expire immediately upon the termination of Executive’s employment in accordance with the terms and conditions set forth in Section 5 hereof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left="1060" w:hanging="418"/>
        <w:spacing w:after="0"/>
        <w:tabs>
          <w:tab w:leader="none" w:pos="106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Title; Services and Duties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818"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Executive will be employed by the Company in the position of President pursuant to the terms of this Agreement.</w:t>
      </w:r>
    </w:p>
    <w:p>
      <w:pPr>
        <w:spacing w:after="0" w:line="142" w:lineRule="exact"/>
        <w:rPr>
          <w:rFonts w:ascii="Times New Roman" w:cs="Times New Roman" w:eastAsia="Times New Roman" w:hAnsi="Times New Roman"/>
          <w:sz w:val="21"/>
          <w:szCs w:val="21"/>
          <w:color w:val="auto"/>
        </w:rPr>
      </w:pPr>
    </w:p>
    <w:p>
      <w:pPr>
        <w:jc w:val="both"/>
        <w:ind w:firstLine="1278"/>
        <w:spacing w:after="0" w:line="215" w:lineRule="auto"/>
        <w:tabs>
          <w:tab w:leader="none" w:pos="1749"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Term, Executive will be a full-time employee of the Company and report directly to the Company’s Chief Executive Officer, and have such duties, responsibilities and authority as are reasonably prescribed by the Company’s Chief Executive Officer from time to time and normally associated with the role of a President at an entity of similar size and nature as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changes prescribed by the Company’s Chief Executive Officer to Executive’s position, role, duties, responsibilities or authority shall not be considered a breach of the contractual obligations of the Company set forth in this Section</w:t>
      </w:r>
    </w:p>
    <w:p>
      <w:pPr>
        <w:spacing w:after="0" w:line="2" w:lineRule="exact"/>
        <w:rPr>
          <w:rFonts w:ascii="Times New Roman" w:cs="Times New Roman" w:eastAsia="Times New Roman" w:hAnsi="Times New Roman"/>
          <w:sz w:val="21"/>
          <w:szCs w:val="21"/>
          <w:color w:val="auto"/>
        </w:rPr>
      </w:pPr>
    </w:p>
    <w:p>
      <w:pPr>
        <w:jc w:val="both"/>
        <w:ind w:firstLine="6"/>
        <w:spacing w:after="0"/>
        <w:tabs>
          <w:tab w:leader="none" w:pos="22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 shall devote all of his business time and best efforts to the performance of his duties to the Company and will not engage in any other business, profession or occupation for compensation. Notwithstanding the foregoing, Executive may (i) continue to engage in any outside business activities previously disclosed to the Company as of the date of this Agreement, (ii) subject to prior approval of the Company’s Chief Executive Officer (which shall not be unreasonably withheld), serve as a director or advisor of non-profit organizations or for profit companies that are not competitive with the Company, (iii) perform and participate in charitable civic, educational, professional, community, industry affairs and other related activities and (iv) manage his personal and family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activities do not result in a conflict of interest with the Company and do not unreasonably interfere, individually or in the aggregate, in any material respect with the performance of Executive’s duties hereunder.</w:t>
      </w:r>
    </w:p>
    <w:p>
      <w:pPr>
        <w:spacing w:after="0" w:line="164" w:lineRule="exact"/>
        <w:rPr>
          <w:rFonts w:ascii="Times New Roman" w:cs="Times New Roman" w:eastAsia="Times New Roman" w:hAnsi="Times New Roman"/>
          <w:sz w:val="21"/>
          <w:szCs w:val="21"/>
          <w:color w:val="auto"/>
        </w:rPr>
      </w:pPr>
    </w:p>
    <w:p>
      <w:pPr>
        <w:ind w:left="1720" w:hanging="442"/>
        <w:spacing w:after="0"/>
        <w:tabs>
          <w:tab w:leader="none" w:pos="1720"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terms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shall apply to Executive’s employment pursuant to this Agreement.</w:t>
      </w:r>
    </w:p>
    <w:p>
      <w:pPr>
        <w:sectPr>
          <w:pgSz w:w="11900" w:h="16838" w:orient="portrait"/>
          <w:cols w:equalWidth="0" w:num="1">
            <w:col w:w="11240"/>
          </w:cols>
          <w:pgMar w:left="320" w:top="95" w:right="339" w:bottom="1440" w:gutter="0" w:footer="0" w:header="0"/>
        </w:sectPr>
      </w:pPr>
    </w:p>
    <w:bookmarkStart w:id="145" w:name="page146"/>
    <w:bookmarkEnd w:id="145"/>
    <w:p>
      <w:pPr>
        <w:spacing w:after="0" w:line="143" w:lineRule="exact"/>
        <w:rPr>
          <w:sz w:val="20"/>
          <w:szCs w:val="20"/>
          <w:color w:val="auto"/>
        </w:rPr>
      </w:pPr>
    </w:p>
    <w:p>
      <w:pPr>
        <w:ind w:left="418" w:hanging="418"/>
        <w:spacing w:after="0"/>
        <w:tabs>
          <w:tab w:leader="none" w:pos="41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2" w:firstLine="1278"/>
        <w:spacing w:after="0" w:line="226" w:lineRule="auto"/>
        <w:tabs>
          <w:tab w:leader="none" w:pos="113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Term, the Company will pay Executive a base salary in the amount of £385,000 per annum (the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payable in such installments as the Company pays other similarly situated individuals. The Base Salary will be annually reviewed for increase (but not decrease) by the Compensation Committee of the Board of Directors of the Company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during the Term.</w:t>
      </w:r>
    </w:p>
    <w:p>
      <w:pPr>
        <w:spacing w:after="0" w:line="150" w:lineRule="exact"/>
        <w:rPr>
          <w:rFonts w:ascii="Times New Roman" w:cs="Times New Roman" w:eastAsia="Times New Roman" w:hAnsi="Times New Roman"/>
          <w:sz w:val="21"/>
          <w:szCs w:val="21"/>
          <w:color w:val="auto"/>
        </w:rPr>
      </w:pPr>
    </w:p>
    <w:p>
      <w:pPr>
        <w:jc w:val="both"/>
        <w:ind w:left="-642" w:firstLine="1278"/>
        <w:spacing w:after="0" w:line="217" w:lineRule="auto"/>
        <w:tabs>
          <w:tab w:leader="none" w:pos="118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Performance Bonus</w:t>
      </w:r>
      <w:r>
        <w:rPr>
          <w:rFonts w:ascii="Times New Roman" w:cs="Times New Roman" w:eastAsia="Times New Roman" w:hAnsi="Times New Roman"/>
          <w:sz w:val="21"/>
          <w:szCs w:val="21"/>
          <w:color w:val="auto"/>
        </w:rPr>
        <w:t>. During the Term, Executive will be eligible to receive an annual discretionary performance bonus pursuant to the Company’s annual bonus program in respect of each fiscal year during the Term. The actual bonus payable to Executive will be determined by the Compensation Committee based on, among other things, individual performance for such year, the achievement of the applicable performance criteria established by the Compensation Committee for such year, and such other factors deemed to be relevant by the Compensation Committee. The Company will pay any such annual discretionary performance bonus at the same time or times, and subject to the same conditions (including any applicable repayment provisions) as annual bonus payments to other similarly situated officers of the Company, provided that Executive is an active employee of the Company, and has not given or received notice of termination of employment, as of the date on which such bonus is paid.</w:t>
      </w:r>
    </w:p>
    <w:p>
      <w:pPr>
        <w:spacing w:after="0" w:line="154" w:lineRule="exact"/>
        <w:rPr>
          <w:rFonts w:ascii="Times New Roman" w:cs="Times New Roman" w:eastAsia="Times New Roman" w:hAnsi="Times New Roman"/>
          <w:sz w:val="21"/>
          <w:szCs w:val="21"/>
          <w:color w:val="auto"/>
        </w:rPr>
      </w:pPr>
    </w:p>
    <w:p>
      <w:pPr>
        <w:ind w:left="1078" w:hanging="442"/>
        <w:spacing w:after="0"/>
        <w:tabs>
          <w:tab w:leader="none" w:pos="1078"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Equity-Based Awards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2" w:firstLine="1914"/>
        <w:spacing w:after="0" w:line="232" w:lineRule="auto"/>
        <w:tabs>
          <w:tab w:leader="none" w:pos="1818"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Executive will be eligible to participate in the Company’s equity-based incentive compensation programs as in effect from time to time and receive periodic grants of equity-based awards, subject to the terms and conditions set forth in the applicable equity incentive plan and Executive’s individual award agreements.</w:t>
      </w:r>
    </w:p>
    <w:p>
      <w:pPr>
        <w:spacing w:after="0" w:line="147" w:lineRule="exact"/>
        <w:rPr>
          <w:rFonts w:ascii="Times New Roman" w:cs="Times New Roman" w:eastAsia="Times New Roman" w:hAnsi="Times New Roman"/>
          <w:sz w:val="21"/>
          <w:szCs w:val="21"/>
          <w:color w:val="auto"/>
        </w:rPr>
      </w:pPr>
    </w:p>
    <w:p>
      <w:pPr>
        <w:jc w:val="both"/>
        <w:ind w:left="-642" w:firstLine="1914"/>
        <w:spacing w:after="0" w:line="223" w:lineRule="auto"/>
        <w:tabs>
          <w:tab w:leader="none" w:pos="1796"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2021 Omnibus Incentive Plan (the “</w:t>
      </w:r>
      <w:r>
        <w:rPr>
          <w:rFonts w:ascii="Times New Roman" w:cs="Times New Roman" w:eastAsia="Times New Roman" w:hAnsi="Times New Roman"/>
          <w:sz w:val="21"/>
          <w:szCs w:val="21"/>
          <w:u w:val="single" w:color="auto"/>
          <w:color w:val="auto"/>
        </w:rPr>
        <w:t>2021 Plan</w:t>
      </w:r>
      <w:r>
        <w:rPr>
          <w:rFonts w:ascii="Times New Roman" w:cs="Times New Roman" w:eastAsia="Times New Roman" w:hAnsi="Times New Roman"/>
          <w:sz w:val="21"/>
          <w:szCs w:val="21"/>
          <w:color w:val="auto"/>
        </w:rPr>
        <w:t>”)and any award agreement thereunder do not form part of this Agreement. If Executive ceases to be employed by the Company for any reason (including as a result of a repudiatory breach of contract by the Company), Executive shall not be entitled, by way of compensation for loss of employment, breach of contract or otherwise to any sum or other benefit (unless provided for in the 2021 Plan or any award agreement) to compensate Executive for any rights or prospective rights under the 2021 Plan.</w:t>
      </w:r>
    </w:p>
    <w:p>
      <w:pPr>
        <w:spacing w:after="0" w:line="150" w:lineRule="exact"/>
        <w:rPr>
          <w:rFonts w:ascii="Times New Roman" w:cs="Times New Roman" w:eastAsia="Times New Roman" w:hAnsi="Times New Roman"/>
          <w:sz w:val="21"/>
          <w:szCs w:val="21"/>
          <w:color w:val="auto"/>
        </w:rPr>
      </w:pPr>
    </w:p>
    <w:p>
      <w:pPr>
        <w:ind w:left="418" w:hanging="418"/>
        <w:spacing w:after="0"/>
        <w:tabs>
          <w:tab w:leader="none" w:pos="41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2" w:firstLine="1278"/>
        <w:spacing w:after="0"/>
        <w:tabs>
          <w:tab w:leader="none" w:pos="110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 and Welfare Benefits</w:t>
      </w:r>
      <w:r>
        <w:rPr>
          <w:rFonts w:ascii="Times New Roman" w:cs="Times New Roman" w:eastAsia="Times New Roman" w:hAnsi="Times New Roman"/>
          <w:sz w:val="21"/>
          <w:szCs w:val="21"/>
          <w:color w:val="auto"/>
        </w:rPr>
        <w:t>. During the Term, Executive will be eligible to participate in all benefit plans made available by the Company to similarly-situated officers of the Company from time to time. Such benefits will be subject to the applicable limitations and requirements imposed by the terms of such benefit plans and will be governed in all respects in accordance with the terms of such plans as in effect from time to time. Nothing in this Section 4(a), however, will require the Company to maintain any benefit plan or provide any type or level of benefits to its current or former employees, including Executive.</w:t>
      </w:r>
    </w:p>
    <w:p>
      <w:pPr>
        <w:spacing w:after="0" w:line="276" w:lineRule="exact"/>
        <w:rPr>
          <w:rFonts w:ascii="Times New Roman" w:cs="Times New Roman" w:eastAsia="Times New Roman" w:hAnsi="Times New Roman"/>
          <w:sz w:val="21"/>
          <w:szCs w:val="21"/>
          <w:color w:val="auto"/>
        </w:rPr>
      </w:pPr>
    </w:p>
    <w:p>
      <w:pPr>
        <w:jc w:val="both"/>
        <w:ind w:left="-642" w:firstLine="1278"/>
        <w:spacing w:after="0" w:line="232" w:lineRule="auto"/>
        <w:tabs>
          <w:tab w:leader="none" w:pos="110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Executive will be entitled to paid vacation in accordance with the Company’s vacation policies as in effect from time to time and applicable to similarly-situated officers of the Company. Executive will take vacation at his and the Company’s reasonable and mutual convenience.</w:t>
      </w:r>
    </w:p>
    <w:p>
      <w:pPr>
        <w:spacing w:after="0" w:line="147" w:lineRule="exact"/>
        <w:rPr>
          <w:rFonts w:ascii="Times New Roman" w:cs="Times New Roman" w:eastAsia="Times New Roman" w:hAnsi="Times New Roman"/>
          <w:sz w:val="21"/>
          <w:szCs w:val="21"/>
          <w:color w:val="auto"/>
        </w:rPr>
      </w:pPr>
    </w:p>
    <w:p>
      <w:pPr>
        <w:jc w:val="both"/>
        <w:ind w:left="-642" w:firstLine="1278"/>
        <w:spacing w:after="0" w:line="232" w:lineRule="auto"/>
        <w:tabs>
          <w:tab w:leader="none" w:pos="1157"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of Business Expenses</w:t>
      </w:r>
      <w:r>
        <w:rPr>
          <w:rFonts w:ascii="Times New Roman" w:cs="Times New Roman" w:eastAsia="Times New Roman" w:hAnsi="Times New Roman"/>
          <w:sz w:val="21"/>
          <w:szCs w:val="21"/>
          <w:color w:val="auto"/>
        </w:rPr>
        <w:t>. The Company will reimburse Executive for any expenses reasonably and necessarily incurred by Executive during the Term in furtherance of Executive’s duties hereunder, including travel, meals and accommodations,</w:t>
      </w:r>
    </w:p>
    <w:p>
      <w:pPr>
        <w:sectPr>
          <w:pgSz w:w="11900" w:h="16838" w:orient="portrait"/>
          <w:cols w:equalWidth="0" w:num="1">
            <w:col w:w="10598"/>
          </w:cols>
          <w:pgMar w:left="962" w:top="1440" w:right="339" w:bottom="1440" w:gutter="0" w:footer="0" w:header="0"/>
        </w:sectPr>
      </w:pPr>
    </w:p>
    <w:bookmarkStart w:id="146" w:name="page147"/>
    <w:bookmarkEnd w:id="146"/>
    <w:p>
      <w:pPr>
        <w:spacing w:after="0" w:line="1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subject to Executive’s compliance with the Company’s policies with respect to reimbursement of business expenses as in effect from time to time.</w:t>
      </w:r>
    </w:p>
    <w:p>
      <w:pPr>
        <w:spacing w:after="0" w:line="143" w:lineRule="exact"/>
        <w:rPr>
          <w:sz w:val="20"/>
          <w:szCs w:val="20"/>
          <w:color w:val="auto"/>
        </w:rPr>
      </w:pPr>
    </w:p>
    <w:p>
      <w:pPr>
        <w:jc w:val="both"/>
        <w:ind w:firstLine="1278"/>
        <w:spacing w:after="0" w:line="226" w:lineRule="auto"/>
        <w:tabs>
          <w:tab w:leader="none" w:pos="1744"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D&amp;O Insurance; Indemnification</w:t>
      </w:r>
      <w:r>
        <w:rPr>
          <w:rFonts w:ascii="Times New Roman" w:cs="Times New Roman" w:eastAsia="Times New Roman" w:hAnsi="Times New Roman"/>
          <w:sz w:val="21"/>
          <w:szCs w:val="21"/>
          <w:color w:val="auto"/>
        </w:rPr>
        <w:t>. Executive will be covered by such directors’ and officers’ liability insurance on terms and conditions that are no less favorable than the terms that apply to any other director or officer of the Company or any of its affiliates. Executive will also be entitled to indemnification rights, benefits and related expense advances and reimbursements to the same extent as any other director or officer of the Company or any of its affiliates.</w:t>
      </w:r>
    </w:p>
    <w:p>
      <w:pPr>
        <w:spacing w:after="0" w:line="150" w:lineRule="exact"/>
        <w:rPr>
          <w:sz w:val="20"/>
          <w:szCs w:val="20"/>
          <w:color w:val="auto"/>
        </w:rPr>
      </w:pPr>
    </w:p>
    <w:p>
      <w:pPr>
        <w:ind w:left="1700" w:hanging="422"/>
        <w:spacing w:after="0"/>
        <w:tabs>
          <w:tab w:leader="none" w:pos="170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Accrued Benefits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78"/>
        <w:spacing w:after="0" w:line="223" w:lineRule="auto"/>
        <w:tabs>
          <w:tab w:leader="none" w:pos="1724"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employment will be terminated at the earliest to occur of the following during the Term: (i) the date of Executive’s death; (ii) the date on which the Company provides written notice to Executive of his termination of employment for “Cause” (as defined in the Fourth Amended and Restated Agreement of Limited Partnership of PWP Professional Partners LP (the “</w:t>
      </w:r>
      <w:r>
        <w:rPr>
          <w:rFonts w:ascii="Times New Roman" w:cs="Times New Roman" w:eastAsia="Times New Roman" w:hAnsi="Times New Roman"/>
          <w:sz w:val="21"/>
          <w:szCs w:val="21"/>
          <w:u w:val="single" w:color="auto"/>
          <w:color w:val="auto"/>
        </w:rPr>
        <w:t>Limited Partnership Agreement</w:t>
      </w:r>
      <w:r>
        <w:rPr>
          <w:rFonts w:ascii="Times New Roman" w:cs="Times New Roman" w:eastAsia="Times New Roman" w:hAnsi="Times New Roman"/>
          <w:sz w:val="21"/>
          <w:szCs w:val="21"/>
          <w:color w:val="auto"/>
        </w:rPr>
        <w:t>”); or (iii) the date which is ninety (90) days following the date on which either Executive or the Company provides written notice to the other party of his voluntary termination of employment or termination other than for Cause.</w:t>
      </w:r>
    </w:p>
    <w:p>
      <w:pPr>
        <w:spacing w:after="0" w:line="150" w:lineRule="exact"/>
        <w:rPr>
          <w:rFonts w:ascii="Times New Roman" w:cs="Times New Roman" w:eastAsia="Times New Roman" w:hAnsi="Times New Roman"/>
          <w:sz w:val="21"/>
          <w:szCs w:val="21"/>
          <w:color w:val="auto"/>
        </w:rPr>
      </w:pPr>
    </w:p>
    <w:p>
      <w:pPr>
        <w:jc w:val="both"/>
        <w:ind w:firstLine="1278"/>
        <w:spacing w:after="0" w:line="216" w:lineRule="auto"/>
        <w:tabs>
          <w:tab w:leader="none" w:pos="189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the date of his termination of employment, Executive will not be entitled to any further compensation or benefits pursuant to this Agreement other than, in each case if applicable as of the date of termination: (i) any accrued but unpaid Base Salary (payable as provided in Section 3(a) hereof); (ii) any amounts payable with respect to the individual award agreement granted pursuant to Section 3(c)(ii) of the Original Employment Agreement in accordance with the terms of the applicable individual award agreement; (iii) in the case of a termination of employment by the Company other than for Cause, an amount in cash equal to any annual discretionary performance bonus payable to Executive in respect of any previously completed fiscal year of the Company in accordance with Section 3(b) hereof but unpaid as of the date of termination, payable on the same date on which annual bonuses are paid to other similarly-situated officers of the Company in respect of such fiscal year; (iv) reimbursement for any expenses properly incurred and reported by Executive prior to the date of termination in accordance with Section 4(c) hereof, payable on the Company’s first regularly scheduled payroll date which occurs at least ten (10) business days after the date of termination; and (v) vested employee benefits, if any, to which Executive may be entitled under the Company’s employee benefit plans described in Sections 4(a) and 4(b) hereof as of the date of termination.</w:t>
      </w:r>
    </w:p>
    <w:p>
      <w:pPr>
        <w:spacing w:after="0" w:line="147" w:lineRule="exact"/>
        <w:rPr>
          <w:rFonts w:ascii="Times New Roman" w:cs="Times New Roman" w:eastAsia="Times New Roman" w:hAnsi="Times New Roman"/>
          <w:sz w:val="21"/>
          <w:szCs w:val="21"/>
          <w:color w:val="auto"/>
        </w:rPr>
      </w:pPr>
    </w:p>
    <w:p>
      <w:pPr>
        <w:jc w:val="both"/>
        <w:ind w:firstLine="1278"/>
        <w:spacing w:after="0" w:line="232" w:lineRule="auto"/>
        <w:tabs>
          <w:tab w:leader="none" w:pos="1725"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termination of employment for any reason, unless requested otherwise by the Company, Executive shall be deemed to have resigned from each position (if any) that Executive then holds as an officer or director of the Company or any of its affiliates.</w:t>
      </w:r>
    </w:p>
    <w:p>
      <w:pPr>
        <w:spacing w:after="0" w:line="147" w:lineRule="exact"/>
        <w:rPr>
          <w:rFonts w:ascii="Times New Roman" w:cs="Times New Roman" w:eastAsia="Times New Roman" w:hAnsi="Times New Roman"/>
          <w:sz w:val="21"/>
          <w:szCs w:val="21"/>
          <w:color w:val="auto"/>
        </w:rPr>
      </w:pPr>
    </w:p>
    <w:p>
      <w:pPr>
        <w:ind w:left="1060" w:hanging="418"/>
        <w:spacing w:after="0"/>
        <w:tabs>
          <w:tab w:leader="none" w:pos="10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 Permitted Disclosures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78"/>
        <w:spacing w:after="0" w:line="226" w:lineRule="auto"/>
        <w:tabs>
          <w:tab w:leader="none" w:pos="1737"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and agrees that Executive is bound by certain restrictive covenants in connection with Executive’s employment with the Company and its affiliates, including, without limitation, confidentiality, non-solicitation, non-competition and non-disparagement covenants (as applicable, the “</w:t>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The Restrictive Covenants are incorporated by reference as if fully set forth herein and are hereby re-executed and reaffirmed.</w:t>
      </w:r>
    </w:p>
    <w:p>
      <w:pPr>
        <w:spacing w:after="0" w:line="150" w:lineRule="exact"/>
        <w:rPr>
          <w:rFonts w:ascii="Times New Roman" w:cs="Times New Roman" w:eastAsia="Times New Roman" w:hAnsi="Times New Roman"/>
          <w:sz w:val="21"/>
          <w:szCs w:val="21"/>
          <w:color w:val="auto"/>
        </w:rPr>
      </w:pPr>
    </w:p>
    <w:p>
      <w:pPr>
        <w:jc w:val="both"/>
        <w:ind w:firstLine="1278"/>
        <w:spacing w:after="0" w:line="232" w:lineRule="auto"/>
        <w:tabs>
          <w:tab w:leader="none" w:pos="1734"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18 U.S.C. §1833(b), Executive will not be held criminally or civilly liable under any federal or state trade secret law for the disclosure of a trade secret of the Company that (i) is made (A) in confidence to a federal, state, or local government official, either</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his attorney and use the trade secret information in the court proceeding, if Executive (1) files any document containing the trade secret under seal, and (2) does not disclose the trade secret, except pursuant to court order. Nothing in this Agreement is intended to conflict with 18 U.S.C. §1833(b) or create liability for disclosures of trade secrets that are expressly allowed by such section. Further, nothing in any agreement Executive has with the Company or any of its affiliates will prohibit or restrict Executive from making a protected disclosure or any other voluntary disclosure of information or documents related to any possible violation of law to any governmental agency or legislative body, or any self-regulatory organization, in each case, without advance notice to the Company or any of its affiliates.</w:t>
      </w:r>
    </w:p>
    <w:p>
      <w:pPr>
        <w:spacing w:after="0" w:line="149" w:lineRule="exact"/>
        <w:rPr>
          <w:sz w:val="20"/>
          <w:szCs w:val="20"/>
          <w:color w:val="auto"/>
        </w:rPr>
      </w:pPr>
    </w:p>
    <w:p>
      <w:pPr>
        <w:jc w:val="both"/>
        <w:ind w:firstLine="642"/>
        <w:spacing w:after="0" w:line="232" w:lineRule="auto"/>
        <w:tabs>
          <w:tab w:leader="none" w:pos="127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or the Limited Partnership Agreement shall prevent Executive from holding as an investment by way of shares or other securities not more than 1% of the total issued share capital of any company listed on a recognized stock exchange.</w:t>
      </w:r>
    </w:p>
    <w:p>
      <w:pPr>
        <w:spacing w:after="0" w:line="148" w:lineRule="exact"/>
        <w:rPr>
          <w:sz w:val="20"/>
          <w:szCs w:val="20"/>
          <w:color w:val="auto"/>
        </w:rPr>
      </w:pPr>
    </w:p>
    <w:p>
      <w:pPr>
        <w:jc w:val="both"/>
        <w:ind w:firstLine="642"/>
        <w:spacing w:after="0" w:line="219" w:lineRule="auto"/>
        <w:tabs>
          <w:tab w:leader="none" w:pos="1073"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This Agreement, and all of the terms and conditions hereof, will bind the Company and its successors and assigns and will bind Executive and Executive’s heirs, executors and administrators. No transfer or assignment of this Agreement will release the Company from any obligation to Executive hereunder. Neither this Agreement, nor any of the Company’s rights or obligations hereunder, may be assigned or otherwise subjected to hypothecation by Executive, and any such attempted assignment or hypothecation will be null and void. The Company may assign any of its rights hereunder, in whole or in part, to any successor or assign in connection with the sale of all or substantially all of the Company’s assets or equity interests or in connection with any merger, acquisition and/or reorganization.</w:t>
      </w:r>
    </w:p>
    <w:p>
      <w:pPr>
        <w:spacing w:after="0" w:line="153" w:lineRule="exact"/>
        <w:rPr>
          <w:rFonts w:ascii="Times New Roman" w:cs="Times New Roman" w:eastAsia="Times New Roman" w:hAnsi="Times New Roman"/>
          <w:sz w:val="21"/>
          <w:szCs w:val="21"/>
          <w:color w:val="auto"/>
        </w:rPr>
      </w:pPr>
    </w:p>
    <w:p>
      <w:pPr>
        <w:ind w:left="1060" w:hanging="418"/>
        <w:spacing w:after="0"/>
        <w:tabs>
          <w:tab w:leader="none" w:pos="106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78"/>
        <w:spacing w:after="0" w:line="217" w:lineRule="auto"/>
        <w:tabs>
          <w:tab w:leader="none" w:pos="1753"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Executive mutually consent to the resolution by final and binding arbitration of any and all disputes, controversies or claims between them including, without limitation, (i) any dispute, controversy or claim related in any way to Executive’s employment with the Company or any of its affiliates or any termination thereof, (ii) any dispute, controversy or claim of alleged discrimination, harassment or retaliation (including, but not limited to, claims based on race, sex, sexual preference, religion, national origin, age, marital or family status, medical condition, handicap or disability) and (iii) any claim arising out of or relating to this Agreement or the breach thereof (collectively, “</w:t>
      </w:r>
      <w:r>
        <w:rPr>
          <w:rFonts w:ascii="Times New Roman" w:cs="Times New Roman" w:eastAsia="Times New Roman" w:hAnsi="Times New Roman"/>
          <w:sz w:val="21"/>
          <w:szCs w:val="21"/>
          <w:u w:val="single" w:color="auto"/>
          <w:color w:val="auto"/>
        </w:rPr>
        <w:t>Disputes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herein will require arbitration of any claim or charge which, by law, cannot be the subject of a compulsory arbitration agreement. All Disputes will be resolved exclusively by arbitration administered by the American Arbitration Association (“</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under the AAA Employment Arbitration Rules and Mediation Procedures then in effect (the “</w:t>
      </w:r>
      <w:r>
        <w:rPr>
          <w:rFonts w:ascii="Times New Roman" w:cs="Times New Roman" w:eastAsia="Times New Roman" w:hAnsi="Times New Roman"/>
          <w:sz w:val="21"/>
          <w:szCs w:val="21"/>
          <w:u w:val="single" w:color="auto"/>
          <w:color w:val="auto"/>
        </w:rPr>
        <w:t>AAA Rules</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firstLine="1278"/>
        <w:spacing w:after="0" w:line="219" w:lineRule="auto"/>
        <w:tabs>
          <w:tab w:leader="none" w:pos="1725"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arbitration proceeding brought under this Agreement will be conducted in New York, New York or another mutually agreed upon location before one arbitrator selected in accordance with the AAA Rules. Each party to any Dispute will pay its own expenses, including attorneys’ fees. The arbitrator will be empowered to award either party any remedy at law or in equity that the party would otherwise have been entitled to had the matter been litigated in a court of competent jurisdiction, including, but not limited to, general, special, and punitive damages, injunctive relief, costs and attorney fees;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authority to award any remedy is subject to whatever limitations, if any, exist in the applicable law on such remedies. The arbitrator will issue a decision or award in writing, stating the essential findings of fact and conclusions of law.</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3" w:lineRule="exact"/>
        <w:rPr>
          <w:sz w:val="20"/>
          <w:szCs w:val="20"/>
          <w:color w:val="auto"/>
        </w:rPr>
      </w:pPr>
    </w:p>
    <w:p>
      <w:pPr>
        <w:jc w:val="both"/>
        <w:ind w:left="-642" w:firstLine="1278"/>
        <w:spacing w:after="0" w:line="226" w:lineRule="auto"/>
        <w:tabs>
          <w:tab w:leader="none" w:pos="123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judgment on or enforcement of any award, including an award providing for interim or permanent injunctive relief, rendered by the arbitrator may be entered, enforced or appealed in any court of competent jurisdiction. Any arbitration proceedings, decision or award rendered hereunder, and the validity, effect and interpretation of this arbitration provision, will be governed by the Federal Arbitration Act, 9 U.S.C. §1 et seq.</w:t>
      </w:r>
    </w:p>
    <w:p>
      <w:pPr>
        <w:spacing w:after="0" w:line="150" w:lineRule="exact"/>
        <w:rPr>
          <w:rFonts w:ascii="Times New Roman" w:cs="Times New Roman" w:eastAsia="Times New Roman" w:hAnsi="Times New Roman"/>
          <w:sz w:val="21"/>
          <w:szCs w:val="21"/>
          <w:color w:val="auto"/>
        </w:rPr>
      </w:pPr>
    </w:p>
    <w:p>
      <w:pPr>
        <w:jc w:val="both"/>
        <w:ind w:left="-642" w:firstLine="1278"/>
        <w:spacing w:after="0"/>
        <w:tabs>
          <w:tab w:leader="none" w:pos="1152"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part of the essence of this Agreement that any Disputes hereunder will be resolved expeditiously and as confidentially as possible. Accordingly, the Company and Executive agree that all proceedings in any arbitration will be conducted under seal and kept strictly confidential. In that regard, no party will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 Before making any disclosure permitted by the preceding sentence, the party intending to make such disclosure will give the other party reasonable written notice of the intended disclosure and afford such other party a reasonable opportunity to protect its interests.</w:t>
      </w:r>
    </w:p>
    <w:p>
      <w:pPr>
        <w:spacing w:after="0" w:line="188" w:lineRule="exact"/>
        <w:rPr>
          <w:rFonts w:ascii="Times New Roman" w:cs="Times New Roman" w:eastAsia="Times New Roman" w:hAnsi="Times New Roman"/>
          <w:sz w:val="21"/>
          <w:szCs w:val="21"/>
          <w:color w:val="auto"/>
        </w:rPr>
      </w:pPr>
    </w:p>
    <w:p>
      <w:pPr>
        <w:ind w:left="378" w:hanging="378"/>
        <w:spacing w:after="0"/>
        <w:tabs>
          <w:tab w:leader="none" w:pos="37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642" w:firstLine="1278"/>
        <w:spacing w:after="0" w:line="221" w:lineRule="auto"/>
        <w:tabs>
          <w:tab w:leader="none" w:pos="1077"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facsimile or e-mail; or (iv)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9(a)):</w:t>
      </w:r>
    </w:p>
    <w:p>
      <w:pPr>
        <w:spacing w:after="0" w:line="150" w:lineRule="exact"/>
        <w:rPr>
          <w:sz w:val="20"/>
          <w:szCs w:val="20"/>
          <w:color w:val="auto"/>
        </w:rPr>
      </w:pPr>
    </w:p>
    <w:p>
      <w:pPr>
        <w:ind w:left="638"/>
        <w:spacing w:after="0"/>
        <w:rPr>
          <w:sz w:val="20"/>
          <w:szCs w:val="20"/>
          <w:color w:val="auto"/>
        </w:rPr>
      </w:pPr>
      <w:r>
        <w:rPr>
          <w:rFonts w:ascii="Times New Roman" w:cs="Times New Roman" w:eastAsia="Times New Roman" w:hAnsi="Times New Roman"/>
          <w:sz w:val="21"/>
          <w:szCs w:val="21"/>
          <w:color w:val="auto"/>
        </w:rPr>
        <w:t>To the Company:</w:t>
      </w:r>
    </w:p>
    <w:p>
      <w:pPr>
        <w:spacing w:after="0" w:line="177" w:lineRule="exact"/>
        <w:rPr>
          <w:sz w:val="20"/>
          <w:szCs w:val="20"/>
          <w:color w:val="auto"/>
        </w:rPr>
      </w:pPr>
    </w:p>
    <w:p>
      <w:pPr>
        <w:ind w:left="638"/>
        <w:spacing w:after="0"/>
        <w:rPr>
          <w:sz w:val="20"/>
          <w:szCs w:val="20"/>
          <w:color w:val="auto"/>
        </w:rPr>
      </w:pPr>
      <w:r>
        <w:rPr>
          <w:rFonts w:ascii="Times New Roman" w:cs="Times New Roman" w:eastAsia="Times New Roman" w:hAnsi="Times New Roman"/>
          <w:sz w:val="21"/>
          <w:szCs w:val="21"/>
          <w:color w:val="auto"/>
        </w:rPr>
        <w:t>Perella Weinberg Partners</w:t>
      </w:r>
    </w:p>
    <w:p>
      <w:pPr>
        <w:ind w:left="638"/>
        <w:spacing w:after="0" w:line="210" w:lineRule="auto"/>
        <w:rPr>
          <w:sz w:val="20"/>
          <w:szCs w:val="20"/>
          <w:color w:val="auto"/>
        </w:rPr>
      </w:pPr>
      <w:r>
        <w:rPr>
          <w:rFonts w:ascii="Times New Roman" w:cs="Times New Roman" w:eastAsia="Times New Roman" w:hAnsi="Times New Roman"/>
          <w:sz w:val="21"/>
          <w:szCs w:val="21"/>
          <w:color w:val="auto"/>
        </w:rPr>
        <w:t>767 Fifth Avenue</w:t>
      </w:r>
    </w:p>
    <w:p>
      <w:pPr>
        <w:ind w:left="638"/>
        <w:spacing w:after="0" w:line="211" w:lineRule="auto"/>
        <w:rPr>
          <w:sz w:val="20"/>
          <w:szCs w:val="20"/>
          <w:color w:val="auto"/>
        </w:rPr>
      </w:pPr>
      <w:r>
        <w:rPr>
          <w:rFonts w:ascii="Times New Roman" w:cs="Times New Roman" w:eastAsia="Times New Roman" w:hAnsi="Times New Roman"/>
          <w:sz w:val="21"/>
          <w:szCs w:val="21"/>
          <w:color w:val="auto"/>
        </w:rPr>
        <w:t>New York, NY 10153</w:t>
      </w:r>
    </w:p>
    <w:p>
      <w:pPr>
        <w:ind w:left="638"/>
        <w:spacing w:after="0" w:line="211" w:lineRule="auto"/>
        <w:rPr>
          <w:sz w:val="20"/>
          <w:szCs w:val="20"/>
          <w:color w:val="auto"/>
        </w:rPr>
      </w:pPr>
      <w:r>
        <w:rPr>
          <w:rFonts w:ascii="Times New Roman" w:cs="Times New Roman" w:eastAsia="Times New Roman" w:hAnsi="Times New Roman"/>
          <w:sz w:val="21"/>
          <w:szCs w:val="21"/>
          <w:color w:val="auto"/>
        </w:rPr>
        <w:t>Attention: General Counsel</w:t>
      </w:r>
    </w:p>
    <w:p>
      <w:pPr>
        <w:ind w:left="638"/>
        <w:spacing w:after="0" w:line="210" w:lineRule="auto"/>
        <w:rPr>
          <w:sz w:val="20"/>
          <w:szCs w:val="20"/>
          <w:color w:val="auto"/>
        </w:rPr>
      </w:pPr>
      <w:r>
        <w:rPr>
          <w:rFonts w:ascii="Times New Roman" w:cs="Times New Roman" w:eastAsia="Times New Roman" w:hAnsi="Times New Roman"/>
          <w:sz w:val="21"/>
          <w:szCs w:val="21"/>
          <w:color w:val="auto"/>
        </w:rPr>
        <w:t>Telephone: (212) 287-3200</w:t>
      </w:r>
    </w:p>
    <w:p>
      <w:pPr>
        <w:spacing w:after="0" w:line="1" w:lineRule="exact"/>
        <w:rPr>
          <w:sz w:val="20"/>
          <w:szCs w:val="20"/>
          <w:color w:val="auto"/>
        </w:rPr>
      </w:pPr>
    </w:p>
    <w:p>
      <w:pPr>
        <w:ind w:left="638"/>
        <w:spacing w:after="0"/>
        <w:rPr>
          <w:sz w:val="20"/>
          <w:szCs w:val="20"/>
          <w:color w:val="auto"/>
        </w:rPr>
      </w:pPr>
      <w:r>
        <w:rPr>
          <w:rFonts w:ascii="Times New Roman" w:cs="Times New Roman" w:eastAsia="Times New Roman" w:hAnsi="Times New Roman"/>
          <w:sz w:val="21"/>
          <w:szCs w:val="21"/>
          <w:color w:val="auto"/>
        </w:rPr>
        <w:t>Email: PubCoHR@pwpartners.com</w:t>
      </w:r>
    </w:p>
    <w:p>
      <w:pPr>
        <w:spacing w:after="0" w:line="159" w:lineRule="exact"/>
        <w:rPr>
          <w:sz w:val="20"/>
          <w:szCs w:val="20"/>
          <w:color w:val="auto"/>
        </w:rPr>
      </w:pPr>
    </w:p>
    <w:p>
      <w:pPr>
        <w:ind w:left="638"/>
        <w:spacing w:after="0"/>
        <w:rPr>
          <w:sz w:val="20"/>
          <w:szCs w:val="20"/>
          <w:color w:val="auto"/>
        </w:rPr>
      </w:pPr>
      <w:r>
        <w:rPr>
          <w:rFonts w:ascii="Times New Roman" w:cs="Times New Roman" w:eastAsia="Times New Roman" w:hAnsi="Times New Roman"/>
          <w:sz w:val="21"/>
          <w:szCs w:val="21"/>
          <w:color w:val="auto"/>
        </w:rPr>
        <w:t>To Executive:</w:t>
      </w:r>
    </w:p>
    <w:p>
      <w:pPr>
        <w:spacing w:after="0" w:line="183" w:lineRule="exact"/>
        <w:rPr>
          <w:sz w:val="20"/>
          <w:szCs w:val="20"/>
          <w:color w:val="auto"/>
        </w:rPr>
      </w:pPr>
    </w:p>
    <w:p>
      <w:pPr>
        <w:ind w:left="638"/>
        <w:spacing w:after="0"/>
        <w:rPr>
          <w:sz w:val="20"/>
          <w:szCs w:val="20"/>
          <w:color w:val="auto"/>
        </w:rPr>
      </w:pPr>
      <w:r>
        <w:rPr>
          <w:rFonts w:ascii="Times New Roman" w:cs="Times New Roman" w:eastAsia="Times New Roman" w:hAnsi="Times New Roman"/>
          <w:sz w:val="21"/>
          <w:szCs w:val="21"/>
          <w:color w:val="auto"/>
        </w:rPr>
        <w:t>At the address shown in the Company’s personnel records</w:t>
      </w:r>
    </w:p>
    <w:p>
      <w:pPr>
        <w:spacing w:after="0" w:line="183" w:lineRule="exact"/>
        <w:rPr>
          <w:sz w:val="20"/>
          <w:szCs w:val="20"/>
          <w:color w:val="auto"/>
        </w:rPr>
      </w:pPr>
    </w:p>
    <w:p>
      <w:pPr>
        <w:jc w:val="both"/>
        <w:ind w:left="-642" w:firstLine="1278"/>
        <w:spacing w:after="0" w:line="223" w:lineRule="auto"/>
        <w:tabs>
          <w:tab w:leader="none" w:pos="111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(including any exhibits hereto) constitutes the sole and entire agreement of the parties to this Agreement with respect to the subject matter contained herein and therein, and, effective as of the Effective Date, supersedes all prior and contemporaneous representations, warranties, understandings and agreements, both written and oral, with respect to such subject matter, including any employment agreement term sheets or letters of intent previously exchanged by the parties.</w:t>
      </w:r>
    </w:p>
    <w:p>
      <w:pPr>
        <w:spacing w:after="0" w:line="150" w:lineRule="exact"/>
        <w:rPr>
          <w:rFonts w:ascii="Times New Roman" w:cs="Times New Roman" w:eastAsia="Times New Roman" w:hAnsi="Times New Roman"/>
          <w:sz w:val="21"/>
          <w:szCs w:val="21"/>
          <w:color w:val="auto"/>
        </w:rPr>
      </w:pPr>
    </w:p>
    <w:p>
      <w:pPr>
        <w:ind w:left="1078" w:hanging="442"/>
        <w:spacing w:after="0"/>
        <w:tabs>
          <w:tab w:leader="none" w:pos="107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p>
    <w:p>
      <w:pPr>
        <w:spacing w:after="0" w:line="183" w:lineRule="exact"/>
        <w:rPr>
          <w:sz w:val="20"/>
          <w:szCs w:val="20"/>
          <w:color w:val="auto"/>
        </w:rPr>
      </w:pPr>
    </w:p>
    <w:p>
      <w:pPr>
        <w:ind w:left="638"/>
        <w:spacing w:after="0"/>
        <w:rPr>
          <w:sz w:val="20"/>
          <w:szCs w:val="20"/>
          <w:color w:val="auto"/>
        </w:rPr>
      </w:pPr>
      <w:r>
        <w:rPr>
          <w:rFonts w:ascii="Times New Roman" w:cs="Times New Roman" w:eastAsia="Times New Roman" w:hAnsi="Times New Roman"/>
          <w:sz w:val="21"/>
          <w:szCs w:val="21"/>
          <w:color w:val="auto"/>
        </w:rPr>
        <w:t>. The headings in this Agreement are for reference only and shall not affect the interpretation of this Agreement.</w:t>
      </w:r>
    </w:p>
    <w:p>
      <w:pPr>
        <w:sectPr>
          <w:pgSz w:w="11900" w:h="16838" w:orient="portrait"/>
          <w:cols w:equalWidth="0" w:num="1">
            <w:col w:w="10598"/>
          </w:cols>
          <w:pgMar w:left="962" w:top="1440" w:right="339" w:bottom="1440" w:gutter="0" w:footer="0" w:header="0"/>
        </w:sectPr>
      </w:pPr>
    </w:p>
    <w:bookmarkStart w:id="149" w:name="page150"/>
    <w:bookmarkEnd w:id="149"/>
    <w:p>
      <w:pPr>
        <w:spacing w:after="0" w:line="143" w:lineRule="exact"/>
        <w:rPr>
          <w:sz w:val="20"/>
          <w:szCs w:val="20"/>
          <w:color w:val="auto"/>
        </w:rPr>
      </w:pPr>
    </w:p>
    <w:p>
      <w:pPr>
        <w:jc w:val="both"/>
        <w:ind w:left="-1120" w:firstLine="1278"/>
        <w:spacing w:after="0" w:line="223" w:lineRule="auto"/>
        <w:tabs>
          <w:tab w:leader="none" w:pos="66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Modification; Waiver</w:t>
      </w:r>
      <w:r>
        <w:rPr>
          <w:rFonts w:ascii="Times New Roman" w:cs="Times New Roman" w:eastAsia="Times New Roman" w:hAnsi="Times New Roman"/>
          <w:sz w:val="21"/>
          <w:szCs w:val="21"/>
          <w:color w:val="auto"/>
        </w:rPr>
        <w:t>. This Agreement may only be amended, modified or supplemented by an agreement in writing signed by all of the parties hereto.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50" w:lineRule="exact"/>
        <w:rPr>
          <w:rFonts w:ascii="Times New Roman" w:cs="Times New Roman" w:eastAsia="Times New Roman" w:hAnsi="Times New Roman"/>
          <w:sz w:val="21"/>
          <w:szCs w:val="21"/>
          <w:color w:val="auto"/>
        </w:rPr>
      </w:pPr>
    </w:p>
    <w:p>
      <w:pPr>
        <w:jc w:val="both"/>
        <w:ind w:left="-1120" w:firstLine="1278"/>
        <w:spacing w:after="0" w:line="232" w:lineRule="auto"/>
        <w:tabs>
          <w:tab w:leader="none" w:pos="63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England and Wales, without giving effect to any choice or conflict of law provision or rule (whether of England or Wales or any other jurisdiction).</w:t>
      </w:r>
    </w:p>
    <w:p>
      <w:pPr>
        <w:spacing w:after="0" w:line="147" w:lineRule="exact"/>
        <w:rPr>
          <w:rFonts w:ascii="Times New Roman" w:cs="Times New Roman" w:eastAsia="Times New Roman" w:hAnsi="Times New Roman"/>
          <w:sz w:val="21"/>
          <w:szCs w:val="21"/>
          <w:color w:val="auto"/>
        </w:rPr>
      </w:pPr>
    </w:p>
    <w:p>
      <w:pPr>
        <w:ind w:left="-1120" w:right="20" w:firstLine="1278"/>
        <w:spacing w:after="0" w:line="245" w:lineRule="auto"/>
        <w:tabs>
          <w:tab w:leader="none" w:pos="60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Survivorship</w:t>
      </w:r>
      <w:r>
        <w:rPr>
          <w:rFonts w:ascii="Times New Roman" w:cs="Times New Roman" w:eastAsia="Times New Roman" w:hAnsi="Times New Roman"/>
          <w:sz w:val="21"/>
          <w:szCs w:val="21"/>
          <w:color w:val="auto"/>
        </w:rPr>
        <w:t>. The provisions of this Agreement necessary to carry out the intention of the parties as expressed herein will survive the termination or expiration of this Agreement.</w:t>
      </w:r>
    </w:p>
    <w:p>
      <w:pPr>
        <w:spacing w:after="0" w:line="142" w:lineRule="exact"/>
        <w:rPr>
          <w:rFonts w:ascii="Times New Roman" w:cs="Times New Roman" w:eastAsia="Times New Roman" w:hAnsi="Times New Roman"/>
          <w:sz w:val="21"/>
          <w:szCs w:val="21"/>
          <w:color w:val="auto"/>
        </w:rPr>
      </w:pPr>
    </w:p>
    <w:p>
      <w:pPr>
        <w:jc w:val="both"/>
        <w:ind w:left="-1120" w:firstLine="1278"/>
        <w:spacing w:after="0" w:line="226" w:lineRule="auto"/>
        <w:tabs>
          <w:tab w:leader="none" w:pos="66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The parties acknowledge that this Agreement is the result of arm’s-length negotiations between sophisticated parties, each afforded representation by legal counsel. Each and every provision of this Agreement will be construed as though both parties participated equally in the drafting of the same, and any rule of construction that a document will be construed against the drafting party will not be applicable to this Agreement.</w:t>
      </w:r>
    </w:p>
    <w:p>
      <w:pPr>
        <w:spacing w:after="0" w:line="150" w:lineRule="exact"/>
        <w:rPr>
          <w:rFonts w:ascii="Times New Roman" w:cs="Times New Roman" w:eastAsia="Times New Roman" w:hAnsi="Times New Roman"/>
          <w:sz w:val="21"/>
          <w:szCs w:val="21"/>
          <w:color w:val="auto"/>
        </w:rPr>
      </w:pPr>
    </w:p>
    <w:p>
      <w:pPr>
        <w:jc w:val="both"/>
        <w:ind w:left="-1120" w:firstLine="1278"/>
        <w:spacing w:after="0" w:line="232" w:lineRule="auto"/>
        <w:tabs>
          <w:tab w:leader="none" w:pos="783"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All compensation payable to Executive pursuant to this Agreement will be subject to any applicable statutory withholding taxes and such other taxes as are required or permitted under applicable law and such other deductions or withholdings as authorized by Executive to be collected with respect to compensation paid to Executive.</w:t>
      </w:r>
    </w:p>
    <w:p>
      <w:pPr>
        <w:spacing w:after="0" w:line="147" w:lineRule="exact"/>
        <w:rPr>
          <w:rFonts w:ascii="Times New Roman" w:cs="Times New Roman" w:eastAsia="Times New Roman" w:hAnsi="Times New Roman"/>
          <w:sz w:val="21"/>
          <w:szCs w:val="21"/>
          <w:color w:val="auto"/>
        </w:rPr>
      </w:pPr>
    </w:p>
    <w:p>
      <w:pPr>
        <w:jc w:val="both"/>
        <w:ind w:left="-1120" w:firstLine="1278"/>
        <w:spacing w:after="0" w:line="226" w:lineRule="auto"/>
        <w:tabs>
          <w:tab w:leader="none" w:pos="57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50" w:lineRule="exact"/>
        <w:rPr>
          <w:rFonts w:ascii="Times New Roman" w:cs="Times New Roman" w:eastAsia="Times New Roman" w:hAnsi="Times New Roman"/>
          <w:sz w:val="21"/>
          <w:szCs w:val="21"/>
          <w:color w:val="auto"/>
        </w:rPr>
      </w:pPr>
    </w:p>
    <w:p>
      <w:pPr>
        <w:jc w:val="both"/>
        <w:ind w:left="-1120" w:firstLine="1278"/>
        <w:spacing w:after="0" w:line="227" w:lineRule="auto"/>
        <w:tabs>
          <w:tab w:leader="none" w:pos="59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intent of the parties is that payments and benefits under this Agreement comply with, or be exempt from, Section 409A of the U.S. Internal Revenue Code of 1986, as amended (“</w:t>
      </w:r>
      <w:r>
        <w:rPr>
          <w:rFonts w:ascii="Times New Roman" w:cs="Times New Roman" w:eastAsia="Times New Roman" w:hAnsi="Times New Roman"/>
          <w:sz w:val="21"/>
          <w:szCs w:val="21"/>
          <w:u w:val="single" w:color="auto"/>
          <w:color w:val="auto"/>
        </w:rPr>
        <w:t>Section 409A of the Code</w:t>
      </w:r>
      <w:r>
        <w:rPr>
          <w:rFonts w:ascii="Times New Roman" w:cs="Times New Roman" w:eastAsia="Times New Roman" w:hAnsi="Times New Roman"/>
          <w:sz w:val="21"/>
          <w:szCs w:val="21"/>
          <w:color w:val="auto"/>
        </w:rPr>
        <w:t>”), to the extent subject thereto, and accordingly, to the maximum extent permitted, this Agreement shall be interpreted to be in compliance therewith. Notwithstanding anything contained herein to the contrary, Executive will not be considered to have terminated employment with the Company for purposes of any payments under this Agreement which are subject to Section 409A of the Code until Executive would be considered to have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or any other arrangement between Executive and the Company and its affiliates during the six (6) month period immediately following Executive’s separation from service shall instead be paid on the first business day after the date that is six (6) months following Executive’s separation from service (or, if earlier, Executive’s date of death).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w:t>
      </w:r>
    </w:p>
    <w:p>
      <w:pPr>
        <w:sectPr>
          <w:pgSz w:w="11900" w:h="16838" w:orient="portrait"/>
          <w:cols w:equalWidth="0" w:num="1">
            <w:col w:w="10120"/>
          </w:cols>
          <w:pgMar w:left="1440" w:top="1440" w:right="339" w:bottom="1440" w:gutter="0" w:footer="0" w:header="0"/>
        </w:sectPr>
      </w:pPr>
    </w:p>
    <w:bookmarkStart w:id="150" w:name="page151"/>
    <w:bookmarkEnd w:id="150"/>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subsequent year. The Company makes no representation that any or all of the payments described in this Agreement will be exempt from or comply with Section 409A of the Code and makes no undertaking to preclude Section 409A of the Code from applying to any such payment. Executive will be solely responsible for the payment of any taxes and penalties incurred under Section 409A of the Code.</w:t>
      </w:r>
    </w:p>
    <w:p>
      <w:pPr>
        <w:spacing w:after="0" w:line="150" w:lineRule="exact"/>
        <w:rPr>
          <w:sz w:val="20"/>
          <w:szCs w:val="20"/>
          <w:color w:val="auto"/>
        </w:rPr>
      </w:pPr>
    </w:p>
    <w:p>
      <w:pPr>
        <w:jc w:val="both"/>
        <w:ind w:firstLine="642"/>
        <w:spacing w:after="0" w:line="232" w:lineRule="auto"/>
        <w:tabs>
          <w:tab w:leader="none" w:pos="1153"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 Representation and Acceptance</w:t>
      </w:r>
      <w:r>
        <w:rPr>
          <w:rFonts w:ascii="Times New Roman" w:cs="Times New Roman" w:eastAsia="Times New Roman" w:hAnsi="Times New Roman"/>
          <w:sz w:val="21"/>
          <w:szCs w:val="21"/>
          <w:color w:val="auto"/>
        </w:rPr>
        <w:t>. By signing this Agreement, Executive hereby represents that Executive is not currently under any contractual obligation to work for another employer and that Executive is not restricted by any agreement or arrangement from entering into this Agreement and performing Executive’s duties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is left blank intentionally]</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49"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and intending to be legally bound thereby, the parties hereto have executed and delivered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effective as of the year and date first above written.</w:t>
      </w:r>
    </w:p>
    <w:p>
      <w:pPr>
        <w:spacing w:after="0" w:line="200" w:lineRule="exact"/>
        <w:rPr>
          <w:sz w:val="20"/>
          <w:szCs w:val="20"/>
          <w:color w:val="auto"/>
        </w:rPr>
      </w:pPr>
    </w:p>
    <w:p>
      <w:pPr>
        <w:spacing w:after="0" w:line="35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color w:val="auto"/>
        </w:rPr>
        <w:t>PERELLA WEINBERG PARTNERS</w:t>
      </w:r>
    </w:p>
    <w:p>
      <w:pPr>
        <w:spacing w:after="0" w:line="39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__/s/ Rebekah Weissburg</w:t>
      </w:r>
      <w:r>
        <w:rPr>
          <w:rFonts w:ascii="Times New Roman" w:cs="Times New Roman" w:eastAsia="Times New Roman" w:hAnsi="Times New Roman"/>
          <w:sz w:val="21"/>
          <w:szCs w:val="21"/>
          <w:color w:val="auto"/>
        </w:rPr>
        <w:t xml:space="preserve"> _________________</w:t>
      </w:r>
    </w:p>
    <w:p>
      <w:pPr>
        <w:ind w:left="3580"/>
        <w:spacing w:after="0" w:line="210" w:lineRule="auto"/>
        <w:rPr>
          <w:sz w:val="20"/>
          <w:szCs w:val="20"/>
          <w:color w:val="auto"/>
        </w:rPr>
      </w:pPr>
      <w:r>
        <w:rPr>
          <w:rFonts w:ascii="Times New Roman" w:cs="Times New Roman" w:eastAsia="Times New Roman" w:hAnsi="Times New Roman"/>
          <w:sz w:val="21"/>
          <w:szCs w:val="21"/>
          <w:color w:val="auto"/>
        </w:rPr>
        <w:t>Name: Rebekah Weissburg</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color w:val="auto"/>
        </w:rPr>
        <w:t>PERELLA WEINBERG UK LIMITED</w:t>
      </w:r>
    </w:p>
    <w:p>
      <w:pPr>
        <w:spacing w:after="0" w:line="39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__/s/ Rebekah Weissburg</w:t>
      </w:r>
      <w:r>
        <w:rPr>
          <w:rFonts w:ascii="Times New Roman" w:cs="Times New Roman" w:eastAsia="Times New Roman" w:hAnsi="Times New Roman"/>
          <w:sz w:val="21"/>
          <w:szCs w:val="21"/>
          <w:color w:val="auto"/>
        </w:rPr>
        <w:t xml:space="preserve"> _________________</w:t>
      </w:r>
    </w:p>
    <w:p>
      <w:pPr>
        <w:ind w:left="3580"/>
        <w:spacing w:after="0" w:line="210" w:lineRule="auto"/>
        <w:rPr>
          <w:sz w:val="20"/>
          <w:szCs w:val="20"/>
          <w:color w:val="auto"/>
        </w:rPr>
      </w:pPr>
      <w:r>
        <w:rPr>
          <w:rFonts w:ascii="Times New Roman" w:cs="Times New Roman" w:eastAsia="Times New Roman" w:hAnsi="Times New Roman"/>
          <w:sz w:val="21"/>
          <w:szCs w:val="21"/>
          <w:color w:val="auto"/>
        </w:rPr>
        <w:t>Name: Rebekah Weissburg</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39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u w:val="single" w:color="auto"/>
          <w:color w:val="auto"/>
        </w:rPr>
        <w:t>/s/ Dietrich Becker</w:t>
      </w:r>
      <w:r>
        <w:rPr>
          <w:rFonts w:ascii="Times New Roman" w:cs="Times New Roman" w:eastAsia="Times New Roman" w:hAnsi="Times New Roman"/>
          <w:sz w:val="21"/>
          <w:szCs w:val="21"/>
          <w:color w:val="auto"/>
        </w:rPr>
        <w:t xml:space="preserve"> _______________________</w:t>
      </w:r>
    </w:p>
    <w:p>
      <w:pPr>
        <w:ind w:left="3580"/>
        <w:spacing w:after="0"/>
        <w:rPr>
          <w:sz w:val="20"/>
          <w:szCs w:val="20"/>
          <w:color w:val="auto"/>
        </w:rPr>
      </w:pPr>
      <w:r>
        <w:rPr>
          <w:rFonts w:ascii="Times New Roman" w:cs="Times New Roman" w:eastAsia="Times New Roman" w:hAnsi="Times New Roman"/>
          <w:sz w:val="21"/>
          <w:szCs w:val="21"/>
          <w:color w:val="auto"/>
        </w:rPr>
        <w:t>Dietrich Becker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Amended and Restated Employment Agreement]</w:t>
      </w:r>
    </w:p>
    <w:p>
      <w:pPr>
        <w:sectPr>
          <w:pgSz w:w="11900" w:h="16838" w:orient="portrait"/>
          <w:cols w:equalWidth="0" w:num="1">
            <w:col w:w="11240"/>
          </w:cols>
          <w:pgMar w:left="320" w:top="136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160" w:type="dxa"/>
            <w:vAlign w:val="bottom"/>
          </w:tcPr>
          <w:p>
            <w:pPr>
              <w:spacing w:after="0"/>
              <w:rPr>
                <w:sz w:val="24"/>
                <w:szCs w:val="24"/>
                <w:color w:val="auto"/>
              </w:rPr>
            </w:pPr>
          </w:p>
        </w:tc>
        <w:tc>
          <w:tcPr>
            <w:tcW w:w="6820" w:type="dxa"/>
            <w:vAlign w:val="bottom"/>
            <w:gridSpan w:val="3"/>
          </w:tcPr>
          <w:p>
            <w:pPr>
              <w:ind w:left="220"/>
              <w:spacing w:after="0"/>
              <w:rPr>
                <w:sz w:val="20"/>
                <w:szCs w:val="20"/>
                <w:color w:val="auto"/>
              </w:rPr>
            </w:pPr>
            <w:r>
              <w:rPr>
                <w:rFonts w:ascii="Times New Roman" w:cs="Times New Roman" w:eastAsia="Times New Roman" w:hAnsi="Times New Roman"/>
                <w:sz w:val="21"/>
                <w:szCs w:val="21"/>
                <w:color w:val="auto"/>
              </w:rPr>
              <w:t>Subsidiaries of Registrant</w:t>
            </w:r>
          </w:p>
        </w:tc>
      </w:tr>
      <w:tr>
        <w:trPr>
          <w:trHeight w:val="718"/>
        </w:trPr>
        <w:tc>
          <w:tcPr>
            <w:tcW w:w="41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Name of Subsidiary</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21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PWP Holdings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Group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Partners Group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Employer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PWP Employer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Partners Europe (Cayman) LDC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TPH International GP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Partners France SAS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France</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GmbH</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UK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UK Limited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UK II Limited</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Partners UK LLP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TPH Canada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Tudor, Pickering Holt &amp; Co Securities – Canada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Tudor, Pickering, Holt &amp; Co. Securities – Canada ULC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PadCo GP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Partners LP</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3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Tudor, Pickering, Holt &amp; Co. Securities LLC</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Texas, United States of America</w:t>
            </w:r>
          </w:p>
        </w:tc>
      </w:tr>
    </w:tbl>
    <w:p>
      <w:pPr>
        <w:sectPr>
          <w:pgSz w:w="11900" w:h="16838" w:orient="portrait"/>
          <w:cols w:equalWidth="0" w:num="1">
            <w:col w:w="11100"/>
          </w:cols>
          <w:pgMar w:left="460" w:top="106" w:right="339" w:bottom="1440" w:gutter="0" w:footer="0" w:header="0"/>
        </w:sectPr>
      </w:pPr>
    </w:p>
    <w:bookmarkStart w:id="153" w:name="page154"/>
    <w:bookmarkEnd w:id="153"/>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consent to the incorporation by reference in the following Registration Statements:</w:t>
      </w:r>
    </w:p>
    <w:p>
      <w:pPr>
        <w:spacing w:after="0" w:line="245" w:lineRule="exact"/>
        <w:rPr>
          <w:sz w:val="20"/>
          <w:szCs w:val="20"/>
          <w:color w:val="auto"/>
        </w:rPr>
      </w:pPr>
    </w:p>
    <w:p>
      <w:pPr>
        <w:ind w:left="640" w:hanging="316"/>
        <w:spacing w:after="0"/>
        <w:tabs>
          <w:tab w:leader="none" w:pos="64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333-259166) pertaining to the Perella Weinberg Partners 2021 Omnibus Incentive Plan;</w:t>
      </w:r>
    </w:p>
    <w:p>
      <w:pPr>
        <w:spacing w:after="0" w:line="28" w:lineRule="exact"/>
        <w:rPr>
          <w:rFonts w:ascii="Times New Roman" w:cs="Times New Roman" w:eastAsia="Times New Roman" w:hAnsi="Times New Roman"/>
          <w:sz w:val="19"/>
          <w:szCs w:val="19"/>
          <w:color w:val="auto"/>
        </w:rPr>
      </w:pPr>
    </w:p>
    <w:p>
      <w:pPr>
        <w:ind w:left="640" w:right="580" w:hanging="316"/>
        <w:spacing w:after="0"/>
        <w:tabs>
          <w:tab w:leader="none" w:pos="64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333-263027) pertaining to the Perella Weinberg Partners 2021 Omnibus Incentive Plan, as amended;</w:t>
      </w:r>
    </w:p>
    <w:p>
      <w:pPr>
        <w:ind w:left="640" w:hanging="316"/>
        <w:spacing w:after="0" w:line="232" w:lineRule="auto"/>
        <w:tabs>
          <w:tab w:leader="none" w:pos="64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S-3 No. 333-257924) of Perella Weinberg Partners;</w:t>
      </w:r>
    </w:p>
    <w:p>
      <w:pPr>
        <w:ind w:left="640" w:hanging="316"/>
        <w:spacing w:after="0" w:line="232" w:lineRule="auto"/>
        <w:tabs>
          <w:tab w:leader="none" w:pos="64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S-3 No. 333-266051) of Perella Weinberg Partners; and,</w:t>
      </w:r>
    </w:p>
    <w:p>
      <w:pPr>
        <w:ind w:left="640" w:right="580" w:hanging="316"/>
        <w:spacing w:after="0" w:line="261" w:lineRule="auto"/>
        <w:tabs>
          <w:tab w:leader="none" w:pos="64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333-269978) pertaining to the Perella Weinberg Partners 2021 Omnibus Incentive Plan, as amended;</w:t>
      </w:r>
    </w:p>
    <w:p>
      <w:pPr>
        <w:spacing w:after="0" w:line="179"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of our report dated February 28, 2023, with respect to the consolidated financial statements of Perella Weinberg Partners included in this Annual Report (Form 10-K) of Perella Weinberg Partners for the year ended December 31, 2022.</w:t>
      </w: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2023</w:t>
      </w:r>
    </w:p>
    <w:p>
      <w:pPr>
        <w:sectPr>
          <w:pgSz w:w="11900" w:h="16838" w:orient="portrait"/>
          <w:cols w:equalWidth="0" w:num="1">
            <w:col w:w="11240"/>
          </w:cols>
          <w:pgMar w:left="320" w:top="10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Bednar, certify that:</w:t>
      </w:r>
    </w:p>
    <w:p>
      <w:pPr>
        <w:spacing w:after="0" w:line="111" w:lineRule="exact"/>
        <w:rPr>
          <w:sz w:val="20"/>
          <w:szCs w:val="20"/>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Perella Weinberg Partners;</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640" w:right="260" w:hanging="316"/>
        <w:spacing w:after="0" w:line="259"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80" w:hanging="318"/>
        <w:spacing w:after="0" w:line="259" w:lineRule="auto"/>
        <w:tabs>
          <w:tab w:leader="none" w:pos="9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14"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 Barancik, certify that:</w:t>
      </w:r>
    </w:p>
    <w:p>
      <w:pPr>
        <w:spacing w:after="0" w:line="111" w:lineRule="exact"/>
        <w:rPr>
          <w:sz w:val="20"/>
          <w:szCs w:val="20"/>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Perella Weinberg Partners;</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640" w:right="260" w:hanging="316"/>
        <w:spacing w:after="0" w:line="259"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80" w:hanging="318"/>
        <w:spacing w:after="0" w:line="259" w:lineRule="auto"/>
        <w:tabs>
          <w:tab w:leader="none" w:pos="95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Gary S. Barancik</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14"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2022,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2" w:lineRule="exact"/>
        <w:rPr>
          <w:sz w:val="20"/>
          <w:szCs w:val="20"/>
          <w:color w:val="auto"/>
        </w:rPr>
      </w:pPr>
    </w:p>
    <w:p>
      <w:pPr>
        <w:ind w:left="640" w:hanging="316"/>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4" w:lineRule="exact"/>
        <w:rPr>
          <w:sz w:val="20"/>
          <w:szCs w:val="20"/>
          <w:color w:val="auto"/>
        </w:rPr>
      </w:pPr>
    </w:p>
    <w:p>
      <w:pPr>
        <w:ind w:right="720" w:firstLine="6"/>
        <w:spacing w:after="0" w:line="274" w:lineRule="auto"/>
        <w:tabs>
          <w:tab w:leader="none" w:pos="13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914"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2022,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2" w:lineRule="exact"/>
        <w:rPr>
          <w:sz w:val="20"/>
          <w:szCs w:val="20"/>
          <w:color w:val="auto"/>
        </w:rPr>
      </w:pPr>
    </w:p>
    <w:p>
      <w:pPr>
        <w:ind w:left="640" w:hanging="316"/>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Gary S. Barancik</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42" w:lineRule="exact"/>
        <w:rPr>
          <w:sz w:val="20"/>
          <w:szCs w:val="20"/>
          <w:color w:val="auto"/>
        </w:rPr>
      </w:pPr>
    </w:p>
    <w:p>
      <w:pPr>
        <w:ind w:right="720" w:firstLine="6"/>
        <w:spacing w:after="0" w:line="274" w:lineRule="auto"/>
        <w:tabs>
          <w:tab w:leader="none" w:pos="13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amp;"/>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1)"/>
      <w:numFmt w:val="lowerRoman"/>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1)"/>
      <w:numFmt w:val="decimal"/>
      <w:start w:val="1"/>
    </w:lvl>
  </w:abstractNum>
  <w:abstractNum w:abstractNumId="18">
    <w:nsid w:val="7644A45C"/>
    <w:multiLevelType w:val="hybridMultilevel"/>
    <w:lvl w:ilvl="0">
      <w:lvlJc w:val="left"/>
      <w:lvlText w:val="(%1)"/>
      <w:numFmt w:val="decimal"/>
      <w:start w:val="1"/>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1"/>
    </w:lvl>
    <w:lvl w:ilvl="1">
      <w:lvlJc w:val="left"/>
      <w:lvlText w:val="(%2)"/>
      <w:numFmt w:val="lowerLetter"/>
      <w:start w:val="1"/>
    </w:lvl>
  </w:abstractNum>
  <w:abstractNum w:abstractNumId="29">
    <w:nsid w:val="520EEDD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0">
    <w:nsid w:val="374A3FE6"/>
    <w:multiLevelType w:val="hybridMultilevel"/>
    <w:lvl w:ilvl="0">
      <w:lvlJc w:val="left"/>
      <w:lvlText w:val="(%1)"/>
      <w:numFmt w:val="lowerLetter"/>
      <w:start w:val="4"/>
    </w:lvl>
  </w:abstractNum>
  <w:abstractNum w:abstractNumId="31">
    <w:nsid w:val="4F4EF005"/>
    <w:multiLevelType w:val="hybridMultilevel"/>
    <w:lvl w:ilvl="0">
      <w:lvlJc w:val="left"/>
      <w:lvlText w:val="%1."/>
      <w:numFmt w:val="decimal"/>
      <w:start w:val="5"/>
    </w:lvl>
  </w:abstractNum>
  <w:abstractNum w:abstractNumId="32">
    <w:nsid w:val="23F9C13C"/>
    <w:multiLevelType w:val="hybridMultilevel"/>
    <w:lvl w:ilvl="0">
      <w:lvlJc w:val="left"/>
      <w:lvlText w:val="%1"/>
      <w:numFmt w:val="decimal"/>
      <w:start w:val="1"/>
    </w:lvl>
    <w:lvl w:ilvl="1">
      <w:lvlJc w:val="left"/>
      <w:lvlText w:val="(%2)"/>
      <w:numFmt w:val="lowerLetter"/>
      <w:start w:val="1"/>
    </w:lvl>
  </w:abstractNum>
  <w:abstractNum w:abstractNumId="33">
    <w:nsid w:val="649BB77C"/>
    <w:multiLevelType w:val="hybridMultilevel"/>
    <w:lvl w:ilvl="0">
      <w:lvlJc w:val="left"/>
      <w:lvlText w:val="%1."/>
      <w:numFmt w:val="decimal"/>
      <w:start w:val="6"/>
    </w:lvl>
    <w:lvl w:ilvl="1">
      <w:lvlJc w:val="left"/>
      <w:lvlText w:val="(%2)"/>
      <w:numFmt w:val="lowerLetter"/>
      <w:start w:val="1"/>
    </w:lvl>
  </w:abstractNum>
  <w:abstractNum w:abstractNumId="34">
    <w:nsid w:val="275AC794"/>
    <w:multiLevelType w:val="hybridMultilevel"/>
    <w:lvl w:ilvl="0">
      <w:lvlJc w:val="left"/>
      <w:lvlText w:val="%1."/>
      <w:numFmt w:val="decimal"/>
      <w:start w:val="7"/>
    </w:lvl>
    <w:lvl w:ilvl="1">
      <w:lvlJc w:val="left"/>
      <w:lvlText w:val="(%2)"/>
      <w:numFmt w:val="lowerLetter"/>
      <w:start w:val="1"/>
    </w:lvl>
  </w:abstractNum>
  <w:abstractNum w:abstractNumId="35">
    <w:nsid w:val="39386575"/>
    <w:multiLevelType w:val="hybridMultilevel"/>
    <w:lvl w:ilvl="0">
      <w:lvlJc w:val="left"/>
      <w:lvlText w:val="%1"/>
      <w:numFmt w:val="decimal"/>
      <w:start w:val="1"/>
    </w:lvl>
    <w:lvl w:ilvl="1">
      <w:lvlJc w:val="left"/>
      <w:lvlText w:val="(%2)"/>
      <w:numFmt w:val="lowerLetter"/>
      <w:start w:val="4"/>
    </w:lvl>
  </w:abstractNum>
  <w:abstractNum w:abstractNumId="36">
    <w:nsid w:val="1CF10FD8"/>
    <w:multiLevelType w:val="hybridMultilevel"/>
    <w:lvl w:ilvl="0">
      <w:lvlJc w:val="left"/>
      <w:lvlText w:val="%1."/>
      <w:numFmt w:val="decimal"/>
      <w:start w:val="9"/>
    </w:lvl>
    <w:lvl w:ilvl="1">
      <w:lvlJc w:val="left"/>
      <w:lvlText w:val="(%2)"/>
      <w:numFmt w:val="lowerLetter"/>
      <w:start w:val="1"/>
    </w:lvl>
  </w:abstractNum>
  <w:abstractNum w:abstractNumId="37">
    <w:nsid w:val="180115BE"/>
    <w:multiLevelType w:val="hybridMultilevel"/>
    <w:lvl w:ilvl="0">
      <w:lvlJc w:val="left"/>
      <w:lvlText w:val="(%1)"/>
      <w:numFmt w:val="lowerLetter"/>
      <w:start w:val="2"/>
    </w:lvl>
  </w:abstractNum>
  <w:abstractNum w:abstractNumId="38">
    <w:nsid w:val="235BA861"/>
    <w:multiLevelType w:val="hybridMultilevel"/>
    <w:lvl w:ilvl="0">
      <w:lvlJc w:val="left"/>
      <w:lvlText w:val="(%1)"/>
      <w:numFmt w:val="lowerLetter"/>
      <w:start w:val="5"/>
    </w:lvl>
  </w:abstractNum>
  <w:abstractNum w:abstractNumId="39">
    <w:nsid w:val="47398C89"/>
    <w:multiLevelType w:val="hybridMultilevel"/>
    <w:lvl w:ilvl="0">
      <w:lvlJc w:val="left"/>
      <w:lvlText w:val="%1."/>
      <w:numFmt w:val="decimal"/>
      <w:start w:val="10"/>
    </w:lvl>
  </w:abstractNum>
  <w:abstractNum w:abstractNumId="40">
    <w:nsid w:val="354FE9F9"/>
    <w:multiLevelType w:val="hybridMultilevel"/>
    <w:lvl w:ilvl="0">
      <w:lvlJc w:val="left"/>
      <w:lvlText w:val="%1."/>
      <w:numFmt w:val="decimal"/>
      <w:start w:val="1"/>
    </w:lvl>
    <w:lvl w:ilvl="1">
      <w:lvlJc w:val="left"/>
      <w:lvlText w:val="(%2)"/>
      <w:numFmt w:val="lowerLetter"/>
      <w:start w:val="1"/>
    </w:lvl>
  </w:abstractNum>
  <w:abstractNum w:abstractNumId="41">
    <w:nsid w:val="15B5AF5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2">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3">
    <w:nsid w:val="D34B6A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4">
    <w:nsid w:val="10233C99"/>
    <w:multiLevelType w:val="hybridMultilevel"/>
    <w:lvl w:ilvl="0">
      <w:lvlJc w:val="left"/>
      <w:lvlText w:val="(%1)"/>
      <w:numFmt w:val="lowerLetter"/>
      <w:start w:val="4"/>
    </w:lvl>
  </w:abstractNum>
  <w:abstractNum w:abstractNumId="45">
    <w:nsid w:val="3F6AB60F"/>
    <w:multiLevelType w:val="hybridMultilevel"/>
    <w:lvl w:ilvl="0">
      <w:lvlJc w:val="left"/>
      <w:lvlText w:val="%1."/>
      <w:numFmt w:val="decimal"/>
      <w:start w:val="5"/>
    </w:lvl>
  </w:abstractNum>
  <w:abstractNum w:abstractNumId="46">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7">
    <w:nsid w:val="7E0C57B1"/>
    <w:multiLevelType w:val="hybridMultilevel"/>
    <w:lvl w:ilvl="0">
      <w:lvlJc w:val="left"/>
      <w:lvlText w:val="(%1)"/>
      <w:numFmt w:val="lowerLetter"/>
      <w:start w:val="22"/>
    </w:lvl>
    <w:lvl w:ilvl="1">
      <w:lvlJc w:val="left"/>
      <w:lvlText w:val="%2."/>
      <w:numFmt w:val="decimal"/>
      <w:start w:val="5"/>
    </w:lvl>
    <w:lvl w:ilvl="2">
      <w:lvlJc w:val="left"/>
      <w:lvlText w:val="(%3)"/>
      <w:numFmt w:val="lowerLetter"/>
      <w:start w:val="3"/>
    </w:lvl>
  </w:abstractNum>
  <w:abstractNum w:abstractNumId="48">
    <w:nsid w:val="77AE35E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9">
    <w:nsid w:val="579BE4F1"/>
    <w:multiLevelType w:val="hybridMultilevel"/>
    <w:lvl w:ilvl="0">
      <w:lvlJc w:val="left"/>
      <w:lvlText w:val="%1"/>
      <w:numFmt w:val="decimal"/>
      <w:start w:val="1"/>
    </w:lvl>
    <w:lvl w:ilvl="1">
      <w:lvlJc w:val="left"/>
      <w:lvlText w:val="(%2)"/>
      <w:numFmt w:val="lowerLetter"/>
      <w:start w:val="2"/>
    </w:lvl>
  </w:abstractNum>
  <w:abstractNum w:abstractNumId="50">
    <w:nsid w:val="310C50B3"/>
    <w:multiLevelType w:val="hybridMultilevel"/>
    <w:lvl w:ilvl="0">
      <w:lvlJc w:val="left"/>
      <w:lvlText w:val="%1."/>
      <w:numFmt w:val="decimal"/>
      <w:start w:val="7"/>
    </w:lvl>
    <w:lvl w:ilvl="1">
      <w:lvlJc w:val="left"/>
      <w:lvlText w:val="(%2)"/>
      <w:numFmt w:val="lowerLetter"/>
      <w:start w:val="1"/>
    </w:lvl>
  </w:abstractNum>
  <w:abstractNum w:abstractNumId="51">
    <w:nsid w:val="5FF87E05"/>
    <w:multiLevelType w:val="hybridMultilevel"/>
    <w:lvl w:ilvl="0">
      <w:lvlJc w:val="left"/>
      <w:lvlText w:val="%1"/>
      <w:numFmt w:val="decimal"/>
      <w:start w:val="1"/>
    </w:lvl>
    <w:lvl w:ilvl="1">
      <w:lvlJc w:val="left"/>
      <w:lvlText w:val="(%2)"/>
      <w:numFmt w:val="lowerLetter"/>
      <w:start w:val="3"/>
    </w:lvl>
  </w:abstractNum>
  <w:abstractNum w:abstractNumId="52">
    <w:nsid w:val="2F305DEF"/>
    <w:multiLevelType w:val="hybridMultilevel"/>
    <w:lvl w:ilvl="0">
      <w:lvlJc w:val="left"/>
      <w:lvlText w:val="%1."/>
      <w:numFmt w:val="decimal"/>
      <w:start w:val="9"/>
    </w:lvl>
    <w:lvl w:ilvl="1">
      <w:lvlJc w:val="left"/>
      <w:lvlText w:val="(%2)"/>
      <w:numFmt w:val="lowerLetter"/>
      <w:start w:val="1"/>
    </w:lvl>
  </w:abstractNum>
  <w:abstractNum w:abstractNumId="53">
    <w:nsid w:val="25A70BF7"/>
    <w:multiLevelType w:val="hybridMultilevel"/>
    <w:lvl w:ilvl="0">
      <w:lvlJc w:val="left"/>
      <w:lvlText w:val="(%1)"/>
      <w:numFmt w:val="lowerLetter"/>
      <w:start w:val="2"/>
    </w:lvl>
  </w:abstractNum>
  <w:abstractNum w:abstractNumId="54">
    <w:nsid w:val="1DBABF00"/>
    <w:multiLevelType w:val="hybridMultilevel"/>
    <w:lvl w:ilvl="0">
      <w:lvlJc w:val="left"/>
      <w:lvlText w:val="(%1)"/>
      <w:numFmt w:val="lowerLetter"/>
      <w:start w:val="4"/>
    </w:lvl>
  </w:abstractNum>
  <w:abstractNum w:abstractNumId="55">
    <w:nsid w:val="4AD084E9"/>
    <w:multiLevelType w:val="hybridMultilevel"/>
    <w:lvl w:ilvl="0">
      <w:lvlJc w:val="left"/>
      <w:lvlText w:val="%1."/>
      <w:numFmt w:val="decimal"/>
      <w:start w:val="10"/>
    </w:lvl>
  </w:abstractNum>
  <w:abstractNum w:abstractNumId="56">
    <w:nsid w:val="1F48EA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7">
    <w:nsid w:val="1381823A"/>
    <w:multiLevelType w:val="hybridMultilevel"/>
    <w:lvl w:ilvl="0">
      <w:lvlJc w:val="left"/>
      <w:lvlText w:val="%1."/>
      <w:numFmt w:val="decimal"/>
      <w:start w:val="2"/>
    </w:lvl>
    <w:lvl w:ilvl="1">
      <w:lvlJc w:val="left"/>
      <w:lvlText w:val="%2"/>
      <w:numFmt w:val="decimal"/>
      <w:start w:val="1"/>
    </w:lvl>
    <w:lvl w:ilvl="2">
      <w:lvlJc w:val="left"/>
      <w:lvlText w:val="(%3)"/>
      <w:numFmt w:val="lowerLetter"/>
      <w:start w:val="3"/>
    </w:lvl>
  </w:abstractNum>
  <w:abstractNum w:abstractNumId="58">
    <w:nsid w:val="5DB70AE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9">
    <w:nsid w:val="100F8FCA"/>
    <w:multiLevelType w:val="hybridMultilevel"/>
    <w:lvl w:ilvl="0">
      <w:lvlJc w:val="left"/>
      <w:lvlText w:val="(%1)"/>
      <w:numFmt w:val="lowerLetter"/>
      <w:start w:val="4"/>
    </w:lvl>
  </w:abstractNum>
  <w:abstractNum w:abstractNumId="60">
    <w:nsid w:val="6590700B"/>
    <w:multiLevelType w:val="hybridMultilevel"/>
    <w:lvl w:ilvl="0">
      <w:lvlJc w:val="left"/>
      <w:lvlText w:val="%1."/>
      <w:numFmt w:val="decimal"/>
      <w:start w:val="5"/>
    </w:lvl>
  </w:abstractNum>
  <w:abstractNum w:abstractNumId="61">
    <w:nsid w:val="15014ACB"/>
    <w:multiLevelType w:val="hybridMultilevel"/>
    <w:lvl w:ilvl="0">
      <w:lvlJc w:val="left"/>
      <w:lvlText w:val="%1"/>
      <w:numFmt w:val="decimal"/>
      <w:start w:val="1"/>
    </w:lvl>
    <w:lvl w:ilvl="1">
      <w:lvlJc w:val="left"/>
      <w:lvlText w:val="(%2)"/>
      <w:numFmt w:val="lowerLetter"/>
      <w:start w:val="1"/>
    </w:lvl>
  </w:abstractNum>
  <w:abstractNum w:abstractNumId="62">
    <w:nsid w:val="5F5E7FD0"/>
    <w:multiLevelType w:val="hybridMultilevel"/>
    <w:lvl w:ilvl="0">
      <w:lvlJc w:val="left"/>
      <w:lvlText w:val="%1."/>
      <w:numFmt w:val="decimal"/>
      <w:start w:val="6"/>
    </w:lvl>
    <w:lvl w:ilvl="1">
      <w:lvlJc w:val="left"/>
      <w:lvlText w:val="(%2)"/>
      <w:numFmt w:val="lowerLetter"/>
      <w:start w:val="1"/>
    </w:lvl>
  </w:abstractNum>
  <w:abstractNum w:abstractNumId="63">
    <w:nsid w:val="98A3148"/>
    <w:multiLevelType w:val="hybridMultilevel"/>
    <w:lvl w:ilvl="0">
      <w:lvlJc w:val="left"/>
      <w:lvlText w:val="(%1)"/>
      <w:numFmt w:val="lowerLetter"/>
      <w:start w:val="3"/>
    </w:lvl>
  </w:abstractNum>
  <w:abstractNum w:abstractNumId="64">
    <w:nsid w:val="799D0247"/>
    <w:multiLevelType w:val="hybridMultilevel"/>
    <w:lvl w:ilvl="0">
      <w:lvlJc w:val="left"/>
      <w:lvlText w:val="%1."/>
      <w:numFmt w:val="decimal"/>
      <w:start w:val="7"/>
    </w:lvl>
    <w:lvl w:ilvl="1">
      <w:lvlJc w:val="left"/>
      <w:lvlText w:val="(%2)"/>
      <w:numFmt w:val="lowerLetter"/>
      <w:start w:val="1"/>
    </w:lvl>
  </w:abstractNum>
  <w:abstractNum w:abstractNumId="65">
    <w:nsid w:val="6B94764"/>
    <w:multiLevelType w:val="hybridMultilevel"/>
    <w:lvl w:ilvl="0">
      <w:lvlJc w:val="left"/>
      <w:lvlText w:val="%1"/>
      <w:numFmt w:val="decimal"/>
      <w:start w:val="1"/>
    </w:lvl>
    <w:lvl w:ilvl="1">
      <w:lvlJc w:val="left"/>
      <w:lvlText w:val="(%2)"/>
      <w:numFmt w:val="lowerLetter"/>
      <w:start w:val="3"/>
    </w:lvl>
  </w:abstractNum>
  <w:abstractNum w:abstractNumId="66">
    <w:nsid w:val="42C296BD"/>
    <w:multiLevelType w:val="hybridMultilevel"/>
    <w:lvl w:ilvl="0">
      <w:lvlJc w:val="left"/>
      <w:lvlText w:val="%1."/>
      <w:numFmt w:val="decimal"/>
      <w:start w:val="9"/>
    </w:lvl>
    <w:lvl w:ilvl="1">
      <w:lvlJc w:val="left"/>
      <w:lvlText w:val="(%2)"/>
      <w:numFmt w:val="lowerLetter"/>
      <w:start w:val="1"/>
    </w:lvl>
  </w:abstractNum>
  <w:abstractNum w:abstractNumId="67">
    <w:nsid w:val="168E121F"/>
    <w:multiLevelType w:val="hybridMultilevel"/>
    <w:lvl w:ilvl="0">
      <w:lvlJc w:val="left"/>
      <w:lvlText w:val="(%1)"/>
      <w:numFmt w:val="lowerLetter"/>
      <w:start w:val="2"/>
    </w:lvl>
  </w:abstractNum>
  <w:abstractNum w:abstractNumId="68">
    <w:nsid w:val="1EBA5D23"/>
    <w:multiLevelType w:val="hybridMultilevel"/>
    <w:lvl w:ilvl="0">
      <w:lvlJc w:val="left"/>
      <w:lvlText w:val="(%1)"/>
      <w:numFmt w:val="lowerLetter"/>
      <w:start w:val="4"/>
    </w:lvl>
  </w:abstractNum>
  <w:abstractNum w:abstractNumId="69">
    <w:nsid w:val="661E3F1E"/>
    <w:multiLevelType w:val="hybridMultilevel"/>
    <w:lvl w:ilvl="0">
      <w:lvlJc w:val="left"/>
      <w:lvlText w:val="%1."/>
      <w:numFmt w:val="decimal"/>
      <w:start w:val="10"/>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decimal"/>
      <w:start w:val="1"/>
    </w:lvl>
    <w:lvl w:ilvl="1">
      <w:lvlJc w:val="left"/>
      <w:lvlText w:val="%2."/>
      <w:numFmt w:val="lowerLetter"/>
      <w:start w:val="1"/>
    </w:lvl>
  </w:abstractNum>
  <w:abstractNum w:abstractNumId="72">
    <w:nsid w:val="7BD3EE7B"/>
    <w:multiLevelType w:val="hybridMultilevel"/>
    <w:lvl w:ilvl="0">
      <w:lvlJc w:val="left"/>
      <w:lvlText w:val="%1."/>
      <w:numFmt w:val="decimal"/>
      <w:start w:val="1"/>
    </w:lvl>
    <w:lvl w:ilvl="1">
      <w:lvlJc w:val="left"/>
      <w:lvlText w:val="%2."/>
      <w:numFmt w:val="lowerLetter"/>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5"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38" Type="http://schemas.openxmlformats.org/officeDocument/2006/relationships/hyperlink" Target="https://www.sec.gov/Archives/edgar/data/1777835/000162828022000893/exhibit31-sx1a1.htm" TargetMode="External"/><Relationship Id="rId139" Type="http://schemas.openxmlformats.org/officeDocument/2006/relationships/hyperlink" Target="https://www.sec.gov/Archives/edgar/data/1777835/000119312521204696/d119701dex32.htm" TargetMode="External"/><Relationship Id="rId140" Type="http://schemas.openxmlformats.org/officeDocument/2006/relationships/hyperlink" Target="https://www.sec.gov/Archives/edgar/data/1777835/000119312521204696/d119701dex41.htm" TargetMode="External"/><Relationship Id="rId141" Type="http://schemas.openxmlformats.org/officeDocument/2006/relationships/hyperlink" Target="https://www.sec.gov/Archives/edgar/data/1777835/000121390020029071/ea127460ex4-1_fintechacq4.htm" TargetMode="External"/><Relationship Id="rId142" Type="http://schemas.openxmlformats.org/officeDocument/2006/relationships/hyperlink" Target="https://www.sec.gov/Archives/edgar/data/1777835/000162828021025439/exhibit43-sx1.htm" TargetMode="External"/><Relationship Id="rId143" Type="http://schemas.openxmlformats.org/officeDocument/2006/relationships/hyperlink" Target="https://www.sec.gov/Archives/edgar/data/1777835/000095017021003237/pwp-ex10_4.htm" TargetMode="External"/><Relationship Id="rId144" Type="http://schemas.openxmlformats.org/officeDocument/2006/relationships/hyperlink" Target="https://www.sec.gov/Archives/edgar/data/1777835/000095017021003237/pwp-ex10_5.htm" TargetMode="External"/><Relationship Id="rId146" Type="http://schemas.openxmlformats.org/officeDocument/2006/relationships/hyperlink" Target="https://www.sec.gov/Archives/edgar/data/1777835/000119312521204696/d119701dex101.htm" TargetMode="External"/><Relationship Id="rId147" Type="http://schemas.openxmlformats.org/officeDocument/2006/relationships/hyperlink" Target="https://www.sec.gov/Archives/edgar/data/1777835/000121390020045792/ea132500ex10-1_fintechacq4.htm" TargetMode="External"/><Relationship Id="rId148" Type="http://schemas.openxmlformats.org/officeDocument/2006/relationships/hyperlink" Target="https://www.sec.gov/Archives/edgar/data/1777835/000119312521204696/d119701dex103.htm" TargetMode="External"/><Relationship Id="rId149" Type="http://schemas.openxmlformats.org/officeDocument/2006/relationships/hyperlink" Target="https://www.sec.gov/Archives/edgar/data/1777835/000119312521204696/d119701dex102.htm" TargetMode="External"/><Relationship Id="rId150" Type="http://schemas.openxmlformats.org/officeDocument/2006/relationships/hyperlink" Target="https://www.sec.gov/Archives/edgar/data/1777835/000121390020045792/ea132500ex2-1_fintechacq4.htm#ex_008" TargetMode="External"/><Relationship Id="rId151" Type="http://schemas.openxmlformats.org/officeDocument/2006/relationships/hyperlink" Target="https://www.sec.gov/Archives/edgar/data/0001777835/000119312521175488/d101000ddefm14a.htm" TargetMode="External"/><Relationship Id="rId152" Type="http://schemas.openxmlformats.org/officeDocument/2006/relationships/hyperlink" Target="https://www.sec.gov/Archives/edgar/data/1777835/000119312521204696/d119701dex104.htm" TargetMode="External"/><Relationship Id="rId153" Type="http://schemas.openxmlformats.org/officeDocument/2006/relationships/hyperlink" Target="https://www.sec.gov/Archives/edgar/data/1777835/000119312521204696/d119701dex105.htm" TargetMode="External"/><Relationship Id="rId154" Type="http://schemas.openxmlformats.org/officeDocument/2006/relationships/hyperlink" Target="https://www.sec.gov/Archives/edgar/data/1777835/000119312521204696/d119701dex106.htm" TargetMode="External"/><Relationship Id="rId155" Type="http://schemas.openxmlformats.org/officeDocument/2006/relationships/hyperlink" Target="https://www.sec.gov/Archives/edgar/data/1777835/000119312521204696/d119701dex107.htm" TargetMode="External"/><Relationship Id="rId156" Type="http://schemas.openxmlformats.org/officeDocument/2006/relationships/hyperlink" Target="https://www.sec.gov/Archives/edgar/data/1777835/000119312521204696/d119701dex108.htm" TargetMode="External"/><Relationship Id="rId157" Type="http://schemas.openxmlformats.org/officeDocument/2006/relationships/hyperlink" Target="https://www.sec.gov/Archives/edgar/data/1777835/000119312521204696/d119701dex109.htm" TargetMode="External"/><Relationship Id="rId158" Type="http://schemas.openxmlformats.org/officeDocument/2006/relationships/hyperlink" Target="https://www.sec.gov/Archives/edgar/data/1777835/000095017021001359/pwp-20210630ex10_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2023-02-28T18:44:19Z</dcterms:created>
  <dcterms:modified xsi:type="dcterms:W3CDTF">2023-02-28T18:44:19Z</dcterms:modified>
</cp:coreProperties>
</file>