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7, 2025</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7"/>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300" w:type="dxa"/>
            <w:vAlign w:val="bottom"/>
          </w:tcPr>
          <w:p>
            <w:pPr>
              <w:jc w:val="center"/>
              <w:ind w:left="130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66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30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300" w:type="dxa"/>
            <w:vAlign w:val="bottom"/>
          </w:tcPr>
          <w:p>
            <w:pPr>
              <w:jc w:val="center"/>
              <w:ind w:left="132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2021 Omnibus Incentive Plan</w:t>
      </w:r>
    </w:p>
    <w:p>
      <w:pPr>
        <w:jc w:val="center"/>
        <w:spacing w:after="0" w:line="230" w:lineRule="auto"/>
        <w:rPr>
          <w:sz w:val="20"/>
          <w:szCs w:val="20"/>
          <w:color w:val="auto"/>
        </w:rPr>
      </w:pPr>
      <w:r>
        <w:rPr>
          <w:rFonts w:ascii="Times New Roman" w:cs="Times New Roman" w:eastAsia="Times New Roman" w:hAnsi="Times New Roman"/>
          <w:sz w:val="14"/>
          <w:szCs w:val="14"/>
          <w:b w:val="1"/>
          <w:bCs w:val="1"/>
          <w:color w:val="auto"/>
        </w:rPr>
        <w:t>(Full title of the plan)</w:t>
      </w:r>
    </w:p>
    <w:p>
      <w:pPr>
        <w:ind w:left="4780"/>
        <w:spacing w:after="0" w:line="203" w:lineRule="auto"/>
        <w:rPr>
          <w:sz w:val="20"/>
          <w:szCs w:val="20"/>
          <w:color w:val="auto"/>
        </w:rPr>
      </w:pPr>
      <w:r>
        <w:rPr>
          <w:rFonts w:ascii="Times New Roman" w:cs="Times New Roman" w:eastAsia="Times New Roman" w:hAnsi="Times New Roman"/>
          <w:sz w:val="18"/>
          <w:szCs w:val="18"/>
          <w:b w:val="1"/>
          <w:bCs w:val="1"/>
          <w:color w:val="auto"/>
        </w:rPr>
        <w:t>Alexandra Gottschalk</w:t>
      </w:r>
    </w:p>
    <w:p>
      <w:pPr>
        <w:ind w:left="4740"/>
        <w:spacing w:after="0" w:line="235"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767 Fifth Avenue</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New York, New York 10153</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Michael J. Schwartz, Esq.</w:t>
      </w:r>
    </w:p>
    <w:p>
      <w:pPr>
        <w:ind w:left="4760"/>
        <w:spacing w:after="0" w:line="234" w:lineRule="auto"/>
        <w:rPr>
          <w:sz w:val="20"/>
          <w:szCs w:val="20"/>
          <w:color w:val="auto"/>
        </w:rPr>
      </w:pPr>
      <w:r>
        <w:rPr>
          <w:rFonts w:ascii="Times New Roman" w:cs="Times New Roman" w:eastAsia="Times New Roman" w:hAnsi="Times New Roman"/>
          <w:sz w:val="18"/>
          <w:szCs w:val="18"/>
          <w:b w:val="1"/>
          <w:bCs w:val="1"/>
          <w:color w:val="auto"/>
        </w:rPr>
        <w:t>Blair T. Thetford, Esq.</w:t>
      </w:r>
    </w:p>
    <w:p>
      <w:pPr>
        <w:ind w:left="3920"/>
        <w:spacing w:after="0" w:line="235" w:lineRule="auto"/>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ind w:left="4800"/>
        <w:spacing w:after="0" w:line="235" w:lineRule="auto"/>
        <w:rPr>
          <w:sz w:val="20"/>
          <w:szCs w:val="20"/>
          <w:color w:val="auto"/>
        </w:rPr>
      </w:pPr>
      <w:r>
        <w:rPr>
          <w:rFonts w:ascii="Times New Roman" w:cs="Times New Roman" w:eastAsia="Times New Roman" w:hAnsi="Times New Roman"/>
          <w:sz w:val="18"/>
          <w:szCs w:val="18"/>
          <w:b w:val="1"/>
          <w:bCs w:val="1"/>
          <w:color w:val="auto"/>
        </w:rPr>
        <w:t>One Manhattan West</w:t>
      </w:r>
    </w:p>
    <w:p>
      <w:pPr>
        <w:ind w:left="4560"/>
        <w:spacing w:after="0" w:line="219" w:lineRule="auto"/>
        <w:rPr>
          <w:sz w:val="20"/>
          <w:szCs w:val="20"/>
          <w:color w:val="auto"/>
        </w:rPr>
      </w:pPr>
      <w:r>
        <w:rPr>
          <w:rFonts w:ascii="Times New Roman" w:cs="Times New Roman" w:eastAsia="Times New Roman" w:hAnsi="Times New Roman"/>
          <w:sz w:val="18"/>
          <w:szCs w:val="18"/>
          <w:b w:val="1"/>
          <w:bCs w:val="1"/>
          <w:color w:val="auto"/>
        </w:rPr>
        <w:t>New York, New York 10001</w:t>
      </w:r>
    </w:p>
    <w:p>
      <w:pPr>
        <w:jc w:val="center"/>
        <w:spacing w:after="0"/>
        <w:rPr>
          <w:sz w:val="20"/>
          <w:szCs w:val="20"/>
          <w:color w:val="auto"/>
        </w:rPr>
      </w:pPr>
      <w:r>
        <w:rPr>
          <w:rFonts w:ascii="Times New Roman" w:cs="Times New Roman" w:eastAsia="Times New Roman" w:hAnsi="Times New Roman"/>
          <w:sz w:val="18"/>
          <w:szCs w:val="18"/>
          <w:b w:val="1"/>
          <w:bCs w:val="1"/>
          <w:color w:val="auto"/>
        </w:rPr>
        <w:t>(212) 735-3000</w:t>
      </w:r>
    </w:p>
    <w:p>
      <w:pPr>
        <w:spacing w:after="0" w:line="219" w:lineRule="exact"/>
        <w:rPr>
          <w:sz w:val="24"/>
          <w:szCs w:val="24"/>
          <w:color w:val="auto"/>
        </w:rPr>
      </w:pPr>
    </w:p>
    <w:p>
      <w:pPr>
        <w:ind w:right="34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for the purpose of registering 3,481,235 shares of Class A Common Stock, par value $0.0001 per share, of Perella Weinberg Partners (the “Company”) that may be issued and sold pursuant to the Perella Weinberg Partners 2021 Omnibus Incentive Plan (the “Incentive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the instructions to the Registration Statement on Form S-8 will be sent or given to participants in the Incentive Plan as required by Rule 428(b)(1) of the rules promulgated under the Securities Act of 1933, as amended (the “Securities Act”). These documents are not being filed with the Securities and Exchange Commission (the “SEC”) as a part of this registration statement in accordance with Rule 428(b) and the Note to Part I of Form S-8.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filed with the SEC pursuant to the Securities Exchange Act of 1934, as amended (the “Exchange Act”), are hereby incorporated by reference in this Registration Statement and shall be deemed to be a part hereof (except for any portions of Current Reports on Form 8-K furnished pursuant to Item 2.02 or Item 7.01 thereof and any corresponding exhibits thereto not filed with the SEC):</w:t>
      </w:r>
    </w:p>
    <w:p>
      <w:pPr>
        <w:spacing w:after="0" w:line="189" w:lineRule="exact"/>
        <w:rPr>
          <w:sz w:val="20"/>
          <w:szCs w:val="20"/>
          <w:color w:val="auto"/>
        </w:rPr>
      </w:pPr>
    </w:p>
    <w:p>
      <w:pPr>
        <w:ind w:left="560" w:hanging="372"/>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23, 2024;</w:t>
      </w:r>
    </w:p>
    <w:p>
      <w:pPr>
        <w:spacing w:after="0" w:line="238" w:lineRule="exact"/>
        <w:rPr>
          <w:rFonts w:ascii="Times New Roman" w:cs="Times New Roman" w:eastAsia="Times New Roman" w:hAnsi="Times New Roman"/>
          <w:sz w:val="18"/>
          <w:szCs w:val="18"/>
          <w:color w:val="auto"/>
        </w:rPr>
      </w:pPr>
    </w:p>
    <w:p>
      <w:pPr>
        <w:ind w:right="340" w:firstLine="188"/>
        <w:spacing w:after="0" w:line="266" w:lineRule="auto"/>
        <w:tabs>
          <w:tab w:leader="none" w:pos="5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quarterly periods ended March 31, 2024, June 30, 2024 and September 30, 2024, filed with the SEC on </w:t>
      </w:r>
      <w:hyperlink r:id="rId16">
        <w:r>
          <w:rPr>
            <w:rFonts w:ascii="Times New Roman" w:cs="Times New Roman" w:eastAsia="Times New Roman" w:hAnsi="Times New Roman"/>
            <w:sz w:val="18"/>
            <w:szCs w:val="18"/>
            <w:u w:val="single" w:color="auto"/>
            <w:color w:val="0000FF"/>
          </w:rPr>
          <w:t>May 3, 2024</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August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FF"/>
          </w:rPr>
          <w:t>November 12, 2024</w:t>
        </w:r>
      </w:hyperlink>
      <w:r>
        <w:rPr>
          <w:rFonts w:ascii="Times New Roman" w:cs="Times New Roman" w:eastAsia="Times New Roman" w:hAnsi="Times New Roman"/>
          <w:sz w:val="18"/>
          <w:szCs w:val="18"/>
          <w:color w:val="auto"/>
        </w:rPr>
        <w:t>, respectively;</w:t>
      </w:r>
    </w:p>
    <w:p>
      <w:pPr>
        <w:spacing w:after="0" w:line="189" w:lineRule="exact"/>
        <w:rPr>
          <w:rFonts w:ascii="Times New Roman" w:cs="Times New Roman" w:eastAsia="Times New Roman" w:hAnsi="Times New Roman"/>
          <w:sz w:val="18"/>
          <w:szCs w:val="18"/>
          <w:color w:val="auto"/>
        </w:rPr>
      </w:pPr>
    </w:p>
    <w:p>
      <w:pPr>
        <w:ind w:right="140" w:firstLine="188"/>
        <w:spacing w:after="0" w:line="250" w:lineRule="auto"/>
        <w:tabs>
          <w:tab w:leader="none" w:pos="556" w:val="left"/>
        </w:tabs>
        <w:numPr>
          <w:ilvl w:val="0"/>
          <w:numId w:val="1"/>
        </w:numPr>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FF"/>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September 10,</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20">
        <w:r>
          <w:rPr>
            <w:rFonts w:ascii="Times New Roman" w:cs="Times New Roman" w:eastAsia="Times New Roman" w:hAnsi="Times New Roman"/>
            <w:sz w:val="18"/>
            <w:szCs w:val="18"/>
            <w:u w:val="single" w:color="auto"/>
            <w:color w:val="0000FF"/>
          </w:rPr>
          <w:t>November 19, 2024</w:t>
        </w:r>
      </w:hyperlink>
      <w:hyperlink r:id="rId19">
        <w:r>
          <w:rPr>
            <w:rFonts w:ascii="Times New Roman" w:cs="Times New Roman" w:eastAsia="Times New Roman" w:hAnsi="Times New Roman"/>
            <w:sz w:val="18"/>
            <w:szCs w:val="18"/>
            <w:color w:val="000000"/>
          </w:rPr>
          <w:t>; and</w:t>
        </w:r>
      </w:hyperlink>
    </w:p>
    <w:p>
      <w:pPr>
        <w:spacing w:after="0" w:line="216" w:lineRule="exact"/>
        <w:rPr>
          <w:rFonts w:ascii="Times New Roman" w:cs="Times New Roman" w:eastAsia="Times New Roman" w:hAnsi="Times New Roman"/>
          <w:sz w:val="18"/>
          <w:szCs w:val="18"/>
          <w:color w:val="0000FF"/>
        </w:rPr>
      </w:pPr>
    </w:p>
    <w:p>
      <w:pPr>
        <w:ind w:left="580" w:hanging="39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Class A Common Stock, par value $0.0001 per share, included in</w:t>
      </w:r>
    </w:p>
    <w:p>
      <w:pPr>
        <w:spacing w:after="0" w:line="27" w:lineRule="exact"/>
        <w:rPr>
          <w:rFonts w:ascii="Times New Roman" w:cs="Times New Roman" w:eastAsia="Times New Roman" w:hAnsi="Times New Roman"/>
          <w:sz w:val="18"/>
          <w:szCs w:val="18"/>
          <w:color w:val="0000FF"/>
        </w:rPr>
      </w:pPr>
    </w:p>
    <w:p>
      <w:pPr>
        <w:jc w:val="both"/>
        <w:ind w:right="20"/>
        <w:spacing w:after="0" w:line="260" w:lineRule="auto"/>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Company’s Annual Report on Form 10-K for the fiscal year ended December 31, 2023, filed with the SEC on February 23,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any amendments or reports filed for the purpose of updating such description.</w:t>
      </w:r>
    </w:p>
    <w:p>
      <w:pPr>
        <w:spacing w:after="0" w:line="208" w:lineRule="exact"/>
        <w:rPr>
          <w:rFonts w:ascii="Times New Roman" w:cs="Times New Roman" w:eastAsia="Times New Roman" w:hAnsi="Times New Roman"/>
          <w:sz w:val="18"/>
          <w:szCs w:val="18"/>
          <w:color w:val="0000FF"/>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Exchange Act shall not be incorporated by reference into this Registration Statement.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13" w:right="33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gridSpan w:val="10"/>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40" w:type="dxa"/>
            <w:vAlign w:val="bottom"/>
            <w:gridSpan w:val="10"/>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9820" w:type="dxa"/>
            <w:vAlign w:val="bottom"/>
            <w:tcBorders>
              <w:top w:val="single" w:sz="8" w:color="auto"/>
            </w:tcBorders>
            <w:gridSpan w:val="13"/>
          </w:tcPr>
          <w:p>
            <w:pPr>
              <w:ind w:left="20"/>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7"/>
          </w:tcPr>
          <w:p>
            <w:pPr>
              <w:ind w:left="20"/>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Company's Registration Statement on Form S-1 filed with the SEC on January 13, 2022 (File No. 333-261785)).</w:t>
              </w:r>
            </w:hyperlink>
          </w:p>
        </w:tc>
        <w:tc>
          <w:tcPr>
            <w:tcW w:w="16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Certificate of Amendment to the Restated Certificate of Incorporation of Perella Weinberg Partners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Exhibit 3.1 to the Company’s Quarterly Report on Form 10-Q, filed with the SEC on August 2, 2024).</w:t>
              </w:r>
            </w:hyperlink>
          </w:p>
        </w:tc>
        <w:tc>
          <w:tcPr>
            <w:tcW w:w="1900" w:type="dxa"/>
            <w:vAlign w:val="bottom"/>
            <w:tcBorders>
              <w:top w:val="single" w:sz="8" w:color="0000FF"/>
            </w:tcBorders>
            <w:gridSpan w:val="2"/>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 Report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ind w:left="20"/>
              <w:spacing w:after="0" w:line="15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on Form 8-K, filed with the SEC on June 30, 2021).</w:t>
              </w:r>
            </w:hyperlink>
          </w:p>
        </w:tc>
        <w:tc>
          <w:tcPr>
            <w:tcW w:w="6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4"/>
                <w:szCs w:val="24"/>
                <w:color w:val="auto"/>
              </w:rPr>
            </w:pPr>
          </w:p>
        </w:tc>
        <w:tc>
          <w:tcPr>
            <w:tcW w:w="40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Opinion of Skadden, Arps, Slate, Meagher &amp; Flom LLP.</w:t>
            </w:r>
          </w:p>
        </w:tc>
        <w:tc>
          <w:tcPr>
            <w:tcW w:w="5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98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4"/>
                <w:szCs w:val="24"/>
                <w:color w:val="auto"/>
              </w:rPr>
            </w:pPr>
          </w:p>
        </w:tc>
        <w:tc>
          <w:tcPr>
            <w:tcW w:w="98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Consent of Skadden, Arps, Slate, Meagher &amp; Flom LLP (included in Exhibit 5.1 hereto).</w:t>
            </w:r>
          </w:p>
        </w:tc>
        <w:tc>
          <w:tcPr>
            <w:tcW w:w="0" w:type="dxa"/>
            <w:vAlign w:val="bottom"/>
          </w:tcPr>
          <w:p>
            <w:pPr>
              <w:spacing w:after="0"/>
              <w:rPr>
                <w:sz w:val="1"/>
                <w:szCs w:val="1"/>
                <w:color w:val="auto"/>
              </w:rPr>
            </w:pPr>
          </w:p>
        </w:tc>
      </w:tr>
      <w:tr>
        <w:trPr>
          <w:trHeight w:val="3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4"/>
                <w:szCs w:val="24"/>
                <w:color w:val="auto"/>
              </w:rPr>
            </w:pPr>
          </w:p>
        </w:tc>
        <w:tc>
          <w:tcPr>
            <w:tcW w:w="98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Powers of Attorney (included as part of the signature page hereto).</w:t>
            </w:r>
          </w:p>
        </w:tc>
        <w:tc>
          <w:tcPr>
            <w:tcW w:w="0" w:type="dxa"/>
            <w:vAlign w:val="bottom"/>
          </w:tcPr>
          <w:p>
            <w:pPr>
              <w:spacing w:after="0"/>
              <w:rPr>
                <w:sz w:val="1"/>
                <w:szCs w:val="1"/>
                <w:color w:val="auto"/>
              </w:rPr>
            </w:pPr>
          </w:p>
        </w:tc>
      </w:tr>
      <w:tr>
        <w:trPr>
          <w:trHeight w:val="29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Perella Weinberg Partners 2021 Omnibus Incentive Plan (incorporated by reference to Exhibit 10.6 to the Company’s Current Report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ind w:left="20"/>
              <w:spacing w:after="0" w:line="15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on Form 8-K, filed with the SEC on June 30, 2021).</w:t>
              </w:r>
            </w:hyperlink>
          </w:p>
        </w:tc>
        <w:tc>
          <w:tcPr>
            <w:tcW w:w="582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4"/>
                <w:szCs w:val="24"/>
                <w:color w:val="auto"/>
              </w:rPr>
            </w:pPr>
          </w:p>
        </w:tc>
        <w:tc>
          <w:tcPr>
            <w:tcW w:w="9820" w:type="dxa"/>
            <w:vAlign w:val="bottom"/>
            <w:gridSpan w:val="13"/>
          </w:tcPr>
          <w:p>
            <w:pPr>
              <w:ind w:left="20"/>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French Sub-Plan Under the Perella Weinberg Partners 2021 Omnibus Equity Incentive Plan (incorporated by reference to Exhibit 10.7</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5"/>
          </w:tcPr>
          <w:p>
            <w:pPr>
              <w:ind w:left="20"/>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to the Company’s Current Report on Form 8-K, filed with the SEC on June 30, 2021).</w:t>
              </w:r>
            </w:hyperlink>
          </w:p>
        </w:tc>
        <w:tc>
          <w:tcPr>
            <w:tcW w:w="3480" w:type="dxa"/>
            <w:vAlign w:val="bottom"/>
            <w:tcBorders>
              <w:top w:val="single" w:sz="8" w:color="0000FF"/>
            </w:tcBorders>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1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ectPr>
          <w:pgSz w:w="11900" w:h="16838" w:orient="portrait"/>
          <w:cols w:equalWidth="0" w:num="1">
            <w:col w:w="11240"/>
          </w:cols>
          <w:pgMar w:left="320" w:top="1413"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56"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ind w:right="20" w:firstLine="656"/>
        <w:spacing w:after="0" w:line="282" w:lineRule="auto"/>
        <w:tabs>
          <w:tab w:leader="none" w:pos="925"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8" w:lineRule="exact"/>
        <w:rPr>
          <w:rFonts w:ascii="Times New Roman" w:cs="Times New Roman" w:eastAsia="Times New Roman" w:hAnsi="Times New Roman"/>
          <w:sz w:val="18"/>
          <w:szCs w:val="18"/>
          <w:color w:val="auto"/>
        </w:rPr>
      </w:pPr>
    </w:p>
    <w:p>
      <w:pPr>
        <w:ind w:right="540" w:firstLine="656"/>
        <w:spacing w:after="0" w:line="282" w:lineRule="auto"/>
        <w:tabs>
          <w:tab w:leader="none" w:pos="963"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202" w:lineRule="exact"/>
        <w:rPr>
          <w:sz w:val="20"/>
          <w:szCs w:val="20"/>
          <w:color w:val="auto"/>
        </w:rPr>
      </w:pPr>
    </w:p>
    <w:p>
      <w:pPr>
        <w:ind w:right="360" w:firstLine="332"/>
        <w:spacing w:after="0" w:line="266" w:lineRule="auto"/>
        <w:tabs>
          <w:tab w:leader="none" w:pos="57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right="100" w:firstLine="332"/>
        <w:spacing w:after="0" w:line="282" w:lineRule="auto"/>
        <w:tabs>
          <w:tab w:leader="none" w:pos="57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Times New Roman" w:cs="Times New Roman" w:eastAsia="Times New Roman" w:hAnsi="Times New Roman"/>
          <w:sz w:val="18"/>
          <w:szCs w:val="18"/>
          <w:color w:val="auto"/>
        </w:rPr>
      </w:pPr>
    </w:p>
    <w:p>
      <w:pPr>
        <w:jc w:val="both"/>
        <w:ind w:firstLine="8"/>
        <w:spacing w:after="0" w:line="255" w:lineRule="auto"/>
        <w:tabs>
          <w:tab w:leader="none" w:pos="4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13"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February 7, 2025.</w:t>
      </w: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97"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60"/>
          </w:cols>
          <w:pgMar w:left="320" w:top="1413"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and in the capacities and on the date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BEDNAR</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100" w:type="dxa"/>
            <w:vAlign w:val="bottom"/>
          </w:tcPr>
          <w:p>
            <w:pPr>
              <w:spacing w:after="0"/>
              <w:rPr>
                <w:sz w:val="19"/>
                <w:szCs w:val="19"/>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ALEXANDRA GOTTSCHALK</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169"/>
        </w:trPr>
        <w:tc>
          <w:tcPr>
            <w:tcW w:w="3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Alexandra Gottschalk</w:t>
            </w:r>
          </w:p>
        </w:tc>
        <w:tc>
          <w:tcPr>
            <w:tcW w:w="100" w:type="dxa"/>
            <w:vAlign w:val="bottom"/>
          </w:tcPr>
          <w:p>
            <w:pPr>
              <w:spacing w:after="0"/>
              <w:rPr>
                <w:sz w:val="14"/>
                <w:szCs w:val="14"/>
                <w:color w:val="auto"/>
              </w:rPr>
            </w:pPr>
          </w:p>
        </w:tc>
        <w:tc>
          <w:tcPr>
            <w:tcW w:w="37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640" w:type="dxa"/>
            <w:vAlign w:val="bottom"/>
          </w:tcPr>
          <w:p>
            <w:pPr>
              <w:spacing w:after="0"/>
              <w:rPr>
                <w:sz w:val="14"/>
                <w:szCs w:val="14"/>
                <w:color w:val="auto"/>
              </w:rPr>
            </w:pPr>
          </w:p>
        </w:tc>
      </w:t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640" w:type="dxa"/>
            <w:vAlign w:val="bottom"/>
          </w:tcPr>
          <w:p>
            <w:pPr>
              <w:spacing w:after="0"/>
              <w:rPr>
                <w:sz w:val="20"/>
                <w:szCs w:val="20"/>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A. WEINBERG</w:t>
            </w:r>
          </w:p>
        </w:tc>
        <w:tc>
          <w:tcPr>
            <w:tcW w:w="100" w:type="dxa"/>
            <w:vAlign w:val="bottom"/>
          </w:tcPr>
          <w:p>
            <w:pPr>
              <w:spacing w:after="0"/>
              <w:rPr>
                <w:sz w:val="24"/>
                <w:szCs w:val="24"/>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Chairman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A. Weinberg</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R. PERELLA</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Emeritus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R. Perella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K. STEEL</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Vice Chairman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K. Steel</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DIETRICH BECKER</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COGAN FASCITELLI</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Cogan Fascitelli</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 W. MUGFORD</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Kristin W. Mugford</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JORMA OLLILA</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Jorma Ollila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 C. SHERBURNE</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Jane C. Sherburne</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ectPr>
          <w:pgSz w:w="11900" w:h="16838" w:orient="portrait"/>
          <w:cols w:equalWidth="0" w:num="1">
            <w:col w:w="11240"/>
          </w:cols>
          <w:pgMar w:left="320" w:top="1413" w:right="339" w:bottom="1440" w:gutter="0" w:footer="0" w:header="0"/>
        </w:sectPr>
      </w:pPr>
    </w:p>
    <w:bookmarkStart w:id="7" w:name="page8"/>
    <w:bookmarkEnd w:id="7"/>
    <w:p>
      <w:pPr>
        <w:ind w:left="10433"/>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66" w:lineRule="exact"/>
        <w:rPr>
          <w:sz w:val="20"/>
          <w:szCs w:val="20"/>
          <w:color w:val="auto"/>
        </w:rPr>
      </w:pPr>
    </w:p>
    <w:p>
      <w:pPr>
        <w:ind w:left="533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293"/>
        <w:spacing w:after="0"/>
        <w:rPr>
          <w:sz w:val="20"/>
          <w:szCs w:val="20"/>
          <w:color w:val="auto"/>
        </w:rPr>
      </w:pPr>
      <w:r>
        <w:rPr>
          <w:rFonts w:ascii="Times New Roman" w:cs="Times New Roman" w:eastAsia="Times New Roman" w:hAnsi="Times New Roman"/>
          <w:sz w:val="18"/>
          <w:szCs w:val="18"/>
          <w:color w:val="auto"/>
        </w:rPr>
        <w:t>(Form Type)</w:t>
      </w:r>
    </w:p>
    <w:p>
      <w:pPr>
        <w:spacing w:after="0" w:line="243"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3"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u w:val="single" w:color="auto"/>
          <w:color w:val="auto"/>
        </w:rPr>
        <w:t>Table I: Newl</w:t>
      </w: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b w:val="1"/>
          <w:bCs w:val="1"/>
          <w:u w:val="single" w:color="auto"/>
          <w:color w:val="auto"/>
        </w:rPr>
        <w:t>Re</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istered Securities</w:t>
      </w:r>
    </w:p>
    <w:p>
      <w:pPr>
        <w:spacing w:after="0" w:line="281" w:lineRule="exact"/>
        <w:rPr>
          <w:sz w:val="20"/>
          <w:szCs w:val="20"/>
          <w:color w:val="auto"/>
        </w:rPr>
      </w:pPr>
    </w:p>
    <w:tbl>
      <w:tblPr>
        <w:tblLayout w:type="fixed"/>
        <w:tblInd w:w="83" w:type="dxa"/>
        <w:tblCellMar>
          <w:top w:w="0" w:type="dxa"/>
          <w:left w:w="0" w:type="dxa"/>
          <w:bottom w:w="0" w:type="dxa"/>
          <w:right w:w="0" w:type="dxa"/>
        </w:tblCellMar>
      </w:tblPr>
      <w:tr>
        <w:trPr>
          <w:trHeight w:val="198"/>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Security Class Title</w:t>
            </w:r>
          </w:p>
        </w:tc>
        <w:tc>
          <w:tcPr>
            <w:tcW w:w="11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Fee</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Proposed</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Maximum Aggregate</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Calculation</w:t>
            </w:r>
          </w:p>
        </w:tc>
        <w:tc>
          <w:tcPr>
            <w:tcW w:w="130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Maximum Offering</w:t>
            </w:r>
          </w:p>
        </w:tc>
        <w:tc>
          <w:tcPr>
            <w:tcW w:w="176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Registered</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Price Per Unit</w:t>
            </w:r>
          </w:p>
        </w:tc>
        <w:tc>
          <w:tcPr>
            <w:tcW w:w="17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Offering Price</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vMerge w:val="continue"/>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Class A Common</w:t>
            </w:r>
          </w:p>
        </w:tc>
        <w:tc>
          <w:tcPr>
            <w:tcW w:w="11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Stock, par value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457(a)</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3,481,235</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$24.82</w:t>
            </w:r>
            <w:r>
              <w:rPr>
                <w:rFonts w:ascii="Times New Roman" w:cs="Times New Roman" w:eastAsia="Times New Roman" w:hAnsi="Times New Roman"/>
                <w:sz w:val="23"/>
                <w:szCs w:val="23"/>
                <w:color w:val="auto"/>
                <w:w w:val="94"/>
                <w:vertAlign w:val="superscript"/>
              </w:rPr>
              <w:t>(2)</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$86,404,252.70</w:t>
            </w:r>
            <w:r>
              <w:rPr>
                <w:rFonts w:ascii="Times New Roman" w:cs="Times New Roman" w:eastAsia="Times New Roman" w:hAnsi="Times New Roman"/>
                <w:sz w:val="23"/>
                <w:szCs w:val="23"/>
                <w:color w:val="auto"/>
                <w:w w:val="96"/>
                <w:vertAlign w:val="superscript"/>
              </w:rPr>
              <w:t>(3)</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$13,228.49</w:t>
            </w: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$0.0001 per share</w:t>
            </w:r>
          </w:p>
        </w:tc>
        <w:tc>
          <w:tcPr>
            <w:tcW w:w="11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76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w:t>
            </w:r>
          </w:p>
        </w:tc>
        <w:tc>
          <w:tcPr>
            <w:tcW w:w="11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million dollars</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11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Borders>
              <w:left w:val="single" w:sz="8" w:color="auto"/>
              <w:bottom w:val="single" w:sz="8" w:color="auto"/>
            </w:tcBorders>
          </w:tcPr>
          <w:p>
            <w:pPr>
              <w:spacing w:after="0"/>
              <w:rPr>
                <w:sz w:val="22"/>
                <w:szCs w:val="22"/>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$86,404,252.70</w:t>
            </w:r>
            <w:r>
              <w:rPr>
                <w:rFonts w:ascii="Times New Roman" w:cs="Times New Roman" w:eastAsia="Times New Roman" w:hAnsi="Times New Roman"/>
                <w:sz w:val="23"/>
                <w:szCs w:val="23"/>
                <w:color w:val="auto"/>
                <w:w w:val="96"/>
                <w:vertAlign w:val="superscript"/>
              </w:rPr>
              <w:t>(3)</w:t>
            </w:r>
          </w:p>
        </w:tc>
        <w:tc>
          <w:tcPr>
            <w:tcW w:w="1320" w:type="dxa"/>
            <w:vAlign w:val="bottom"/>
            <w:tcBorders>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$13,228.49</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$13,228.49</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left="73" w:right="20"/>
        <w:spacing w:after="0" w:line="249"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Pursuant to Rule 416 under the Securities Act of 1933, as amended (the “Securities Act”), this registration statement shall also cover an indeterminate number of additional shares of Class A Common Stock of Perella Weinberg Partners (the “Registrant”) that may, with respect to the shares of Class A Common Stock registered hereunder, become issuable under the Registrant’s 2021 Omnibus Incentive Plan by reason of any stock dividend, stock split, recapitalization or other similar transaction effected without the Registrant’s receipt of consideration, which results in an increase in the number of the Registrant’s outstanding shares of Class A Common Stock.</w:t>
      </w:r>
    </w:p>
    <w:p>
      <w:pPr>
        <w:spacing w:after="0" w:line="233" w:lineRule="exact"/>
        <w:rPr>
          <w:sz w:val="20"/>
          <w:szCs w:val="20"/>
          <w:color w:val="auto"/>
        </w:rPr>
      </w:pPr>
    </w:p>
    <w:p>
      <w:pPr>
        <w:ind w:left="73" w:right="20" w:hanging="73"/>
        <w:spacing w:after="0" w:line="287" w:lineRule="auto"/>
        <w:tabs>
          <w:tab w:leader="none" w:pos="15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Estimated solely for the purpose of calculating the registration fee pursuant to Rules 457(c) and (h) under the Securities Act, on the basis of the average of the high and low prices per share of the Class A Common Stock as reported on the Nasdaq Global Select Market on February 3, 2025.</w:t>
      </w:r>
    </w:p>
    <w:p>
      <w:pPr>
        <w:spacing w:after="0" w:line="193" w:lineRule="exact"/>
        <w:rPr>
          <w:rFonts w:ascii="Times New Roman" w:cs="Times New Roman" w:eastAsia="Times New Roman" w:hAnsi="Times New Roman"/>
          <w:sz w:val="20"/>
          <w:szCs w:val="20"/>
          <w:color w:val="auto"/>
          <w:vertAlign w:val="superscript"/>
        </w:rPr>
      </w:pPr>
    </w:p>
    <w:p>
      <w:pPr>
        <w:ind w:left="73" w:right="40" w:hanging="73"/>
        <w:spacing w:after="0" w:line="229" w:lineRule="auto"/>
        <w:tabs>
          <w:tab w:leader="none" w:pos="199"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 457(o) under the Securities Act. Calculated in accordance with Section 6 of the Securities Act and Rule 457 under the Securities Act by multiplying 0.00015310 and the proposed maximum aggregate offering price.</w:t>
      </w:r>
    </w:p>
    <w:p>
      <w:pPr>
        <w:sectPr>
          <w:pgSz w:w="11900" w:h="16838" w:orient="portrait"/>
          <w:cols w:equalWidth="0" w:num="1">
            <w:col w:w="11333"/>
          </w:cols>
          <w:pgMar w:left="247" w:top="104"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SKADDEN, ARPS, SLATE, MEAGHER &amp; FLOM LLP</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ONE MANHATTAN WEST</w:t>
      </w:r>
    </w:p>
    <w:p>
      <w:pPr>
        <w:jc w:val="center"/>
        <w:spacing w:after="0" w:line="236" w:lineRule="auto"/>
        <w:rPr>
          <w:sz w:val="20"/>
          <w:szCs w:val="20"/>
          <w:color w:val="auto"/>
        </w:rPr>
      </w:pPr>
      <w:r>
        <w:rPr>
          <w:rFonts w:ascii="Arial" w:cs="Arial" w:eastAsia="Arial" w:hAnsi="Arial"/>
          <w:sz w:val="20"/>
          <w:szCs w:val="20"/>
          <w:color w:val="auto"/>
        </w:rPr>
        <w:t>NEW YORK, NY 10001</w:t>
      </w:r>
    </w:p>
    <w:p>
      <w:pPr>
        <w:sectPr>
          <w:pgSz w:w="11900" w:h="16838" w:orient="portrait"/>
          <w:cols w:equalWidth="0" w:num="1">
            <w:col w:w="11240"/>
          </w:cols>
          <w:pgMar w:left="320" w:top="122" w:right="339" w:bottom="1440" w:gutter="0" w:footer="0" w:header="0"/>
        </w:sectPr>
      </w:pP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7"/>
          <w:szCs w:val="7"/>
          <w:color w:val="auto"/>
        </w:rPr>
        <w:t>________</w:t>
      </w:r>
    </w:p>
    <w:p>
      <w:pPr>
        <w:spacing w:after="0" w:line="25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TEL: (212) 735-3000</w:t>
      </w:r>
    </w:p>
    <w:p>
      <w:pPr>
        <w:ind w:left="4860"/>
        <w:spacing w:after="0" w:line="231" w:lineRule="auto"/>
        <w:rPr>
          <w:sz w:val="20"/>
          <w:szCs w:val="20"/>
          <w:color w:val="auto"/>
        </w:rPr>
      </w:pPr>
      <w:r>
        <w:rPr>
          <w:rFonts w:ascii="Arial" w:cs="Arial" w:eastAsia="Arial" w:hAnsi="Arial"/>
          <w:sz w:val="16"/>
          <w:szCs w:val="16"/>
          <w:color w:val="auto"/>
        </w:rPr>
        <w:t>FAX: (212) 735-2000</w:t>
      </w:r>
    </w:p>
    <w:p>
      <w:pPr>
        <w:spacing w:after="0" w:line="1" w:lineRule="exact"/>
        <w:rPr>
          <w:sz w:val="20"/>
          <w:szCs w:val="20"/>
          <w:color w:val="auto"/>
        </w:rPr>
      </w:pPr>
    </w:p>
    <w:p>
      <w:pPr>
        <w:jc w:val="right"/>
        <w:ind w:right="2360"/>
        <w:spacing w:after="0"/>
        <w:rPr>
          <w:sz w:val="20"/>
          <w:szCs w:val="20"/>
          <w:color w:val="auto"/>
        </w:rPr>
      </w:pPr>
      <w:r>
        <w:rPr>
          <w:rFonts w:ascii="Times New Roman" w:cs="Times New Roman" w:eastAsia="Times New Roman" w:hAnsi="Times New Roman"/>
          <w:sz w:val="22"/>
          <w:szCs w:val="22"/>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February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223" w:lineRule="exact"/>
        <w:rPr>
          <w:sz w:val="20"/>
          <w:szCs w:val="20"/>
          <w:color w:val="auto"/>
        </w:rPr>
      </w:pPr>
    </w:p>
    <w:p>
      <w:pPr>
        <w:ind w:left="1960"/>
        <w:spacing w:after="0"/>
        <w:tabs>
          <w:tab w:leader="none" w:pos="2500" w:val="left"/>
        </w:tabs>
        <w:rPr>
          <w:sz w:val="20"/>
          <w:szCs w:val="20"/>
          <w:color w:val="auto"/>
        </w:rPr>
      </w:pPr>
      <w:r>
        <w:rPr>
          <w:rFonts w:ascii="Times New Roman" w:cs="Times New Roman" w:eastAsia="Times New Roman" w:hAnsi="Times New Roman"/>
          <w:sz w:val="22"/>
          <w:szCs w:val="22"/>
          <w:color w:val="auto"/>
        </w:rPr>
        <w:t>Re:</w:t>
        <w:tab/>
        <w:t>Perella Weinberg Partners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 w:lineRule="exact"/>
        <w:rPr>
          <w:sz w:val="20"/>
          <w:szCs w:val="20"/>
          <w:color w:val="auto"/>
        </w:rPr>
      </w:pPr>
      <w:r>
        <w:rPr>
          <w:sz w:val="20"/>
          <w:szCs w:val="20"/>
          <w:color w:val="auto"/>
        </w:rPr>
        <w:br w:type="column"/>
      </w:r>
    </w:p>
    <w:p>
      <w:pPr>
        <w:jc w:val="center"/>
        <w:ind w:right="520"/>
        <w:spacing w:after="0" w:line="224" w:lineRule="auto"/>
        <w:rPr>
          <w:sz w:val="20"/>
          <w:szCs w:val="20"/>
          <w:color w:val="auto"/>
        </w:rPr>
      </w:pPr>
      <w:r>
        <w:rPr>
          <w:rFonts w:ascii="Arial" w:cs="Arial" w:eastAsia="Arial" w:hAnsi="Arial"/>
          <w:sz w:val="13"/>
          <w:szCs w:val="13"/>
          <w:color w:val="auto"/>
        </w:rPr>
        <w:t>FIRM/AFFILIATE</w:t>
      </w:r>
    </w:p>
    <w:p>
      <w:pPr>
        <w:jc w:val="center"/>
        <w:ind w:right="520"/>
        <w:spacing w:after="0"/>
        <w:rPr>
          <w:sz w:val="20"/>
          <w:szCs w:val="20"/>
          <w:color w:val="auto"/>
        </w:rPr>
      </w:pPr>
      <w:r>
        <w:rPr>
          <w:rFonts w:ascii="Arial" w:cs="Arial" w:eastAsia="Arial" w:hAnsi="Arial"/>
          <w:sz w:val="13"/>
          <w:szCs w:val="13"/>
          <w:color w:val="auto"/>
        </w:rPr>
        <w:t>OFFICES</w:t>
      </w:r>
    </w:p>
    <w:p>
      <w:pPr>
        <w:ind w:left="360"/>
        <w:spacing w:after="0" w:line="216" w:lineRule="auto"/>
        <w:rPr>
          <w:sz w:val="20"/>
          <w:szCs w:val="20"/>
          <w:color w:val="auto"/>
        </w:rPr>
      </w:pPr>
      <w:r>
        <w:rPr>
          <w:rFonts w:ascii="Arial" w:cs="Arial" w:eastAsia="Arial" w:hAnsi="Arial"/>
          <w:sz w:val="13"/>
          <w:szCs w:val="13"/>
          <w:color w:val="auto"/>
        </w:rPr>
        <w:t>-----------</w:t>
      </w:r>
    </w:p>
    <w:p>
      <w:pPr>
        <w:ind w:left="340"/>
        <w:spacing w:after="0"/>
        <w:rPr>
          <w:sz w:val="20"/>
          <w:szCs w:val="20"/>
          <w:color w:val="auto"/>
        </w:rPr>
      </w:pPr>
      <w:r>
        <w:rPr>
          <w:rFonts w:ascii="Arial" w:cs="Arial" w:eastAsia="Arial" w:hAnsi="Arial"/>
          <w:sz w:val="13"/>
          <w:szCs w:val="13"/>
          <w:color w:val="auto"/>
        </w:rPr>
        <w:t>BOSTON</w:t>
      </w:r>
    </w:p>
    <w:p>
      <w:pPr>
        <w:ind w:left="300"/>
        <w:spacing w:after="0" w:line="216" w:lineRule="auto"/>
        <w:rPr>
          <w:sz w:val="20"/>
          <w:szCs w:val="20"/>
          <w:color w:val="auto"/>
        </w:rPr>
      </w:pPr>
      <w:r>
        <w:rPr>
          <w:rFonts w:ascii="Arial" w:cs="Arial" w:eastAsia="Arial" w:hAnsi="Arial"/>
          <w:sz w:val="13"/>
          <w:szCs w:val="13"/>
          <w:color w:val="auto"/>
        </w:rPr>
        <w:t>CHICAGO</w:t>
      </w:r>
    </w:p>
    <w:p>
      <w:pPr>
        <w:ind w:left="280"/>
        <w:spacing w:after="0"/>
        <w:rPr>
          <w:sz w:val="20"/>
          <w:szCs w:val="20"/>
          <w:color w:val="auto"/>
        </w:rPr>
      </w:pPr>
      <w:r>
        <w:rPr>
          <w:rFonts w:ascii="Arial" w:cs="Arial" w:eastAsia="Arial" w:hAnsi="Arial"/>
          <w:sz w:val="13"/>
          <w:szCs w:val="13"/>
          <w:color w:val="auto"/>
        </w:rPr>
        <w:t>HOUSTON</w:t>
      </w:r>
    </w:p>
    <w:p>
      <w:pPr>
        <w:ind w:left="160"/>
        <w:spacing w:after="0" w:line="216" w:lineRule="auto"/>
        <w:rPr>
          <w:sz w:val="20"/>
          <w:szCs w:val="20"/>
          <w:color w:val="auto"/>
        </w:rPr>
      </w:pPr>
      <w:r>
        <w:rPr>
          <w:rFonts w:ascii="Arial" w:cs="Arial" w:eastAsia="Arial" w:hAnsi="Arial"/>
          <w:sz w:val="13"/>
          <w:szCs w:val="13"/>
          <w:color w:val="auto"/>
        </w:rPr>
        <w:t>LOS ANGELES</w:t>
      </w:r>
    </w:p>
    <w:p>
      <w:pPr>
        <w:ind w:left="260"/>
        <w:spacing w:after="0"/>
        <w:rPr>
          <w:sz w:val="20"/>
          <w:szCs w:val="20"/>
          <w:color w:val="auto"/>
        </w:rPr>
      </w:pPr>
      <w:r>
        <w:rPr>
          <w:rFonts w:ascii="Arial" w:cs="Arial" w:eastAsia="Arial" w:hAnsi="Arial"/>
          <w:sz w:val="13"/>
          <w:szCs w:val="13"/>
          <w:color w:val="auto"/>
        </w:rPr>
        <w:t>PALO ALTO</w:t>
      </w:r>
    </w:p>
    <w:p>
      <w:pPr>
        <w:spacing w:after="0" w:line="234" w:lineRule="auto"/>
        <w:rPr>
          <w:sz w:val="20"/>
          <w:szCs w:val="20"/>
          <w:color w:val="auto"/>
        </w:rPr>
      </w:pPr>
      <w:r>
        <w:rPr>
          <w:rFonts w:ascii="Arial" w:cs="Arial" w:eastAsia="Arial" w:hAnsi="Arial"/>
          <w:sz w:val="12"/>
          <w:szCs w:val="12"/>
          <w:color w:val="auto"/>
        </w:rPr>
        <w:t>WASHINGTON, D.C.</w:t>
      </w:r>
    </w:p>
    <w:p>
      <w:pPr>
        <w:jc w:val="center"/>
        <w:ind w:right="520"/>
        <w:spacing w:after="0"/>
        <w:rPr>
          <w:sz w:val="20"/>
          <w:szCs w:val="20"/>
          <w:color w:val="auto"/>
        </w:rPr>
      </w:pPr>
      <w:r>
        <w:rPr>
          <w:rFonts w:ascii="Arial" w:cs="Arial" w:eastAsia="Arial" w:hAnsi="Arial"/>
          <w:sz w:val="13"/>
          <w:szCs w:val="13"/>
          <w:color w:val="auto"/>
        </w:rPr>
        <w:t>WILMINGTON</w:t>
      </w:r>
    </w:p>
    <w:p>
      <w:pPr>
        <w:ind w:left="360"/>
        <w:spacing w:after="0" w:line="216" w:lineRule="auto"/>
        <w:rPr>
          <w:sz w:val="20"/>
          <w:szCs w:val="20"/>
          <w:color w:val="auto"/>
        </w:rPr>
      </w:pPr>
      <w:r>
        <w:rPr>
          <w:rFonts w:ascii="Arial" w:cs="Arial" w:eastAsia="Arial" w:hAnsi="Arial"/>
          <w:sz w:val="13"/>
          <w:szCs w:val="13"/>
          <w:color w:val="auto"/>
        </w:rPr>
        <w:t>-----------</w:t>
      </w:r>
    </w:p>
    <w:p>
      <w:pPr>
        <w:jc w:val="center"/>
        <w:ind w:right="520"/>
        <w:spacing w:after="0" w:line="217" w:lineRule="auto"/>
        <w:rPr>
          <w:sz w:val="20"/>
          <w:szCs w:val="20"/>
          <w:color w:val="auto"/>
        </w:rPr>
      </w:pPr>
      <w:r>
        <w:rPr>
          <w:rFonts w:ascii="Arial" w:cs="Arial" w:eastAsia="Arial" w:hAnsi="Arial"/>
          <w:sz w:val="13"/>
          <w:szCs w:val="13"/>
          <w:color w:val="auto"/>
        </w:rPr>
        <w:t>ABU DHABI</w:t>
      </w:r>
    </w:p>
    <w:p>
      <w:pPr>
        <w:jc w:val="center"/>
        <w:ind w:right="520"/>
        <w:spacing w:after="0"/>
        <w:rPr>
          <w:sz w:val="20"/>
          <w:szCs w:val="20"/>
          <w:color w:val="auto"/>
        </w:rPr>
      </w:pPr>
      <w:r>
        <w:rPr>
          <w:rFonts w:ascii="Arial" w:cs="Arial" w:eastAsia="Arial" w:hAnsi="Arial"/>
          <w:sz w:val="13"/>
          <w:szCs w:val="13"/>
          <w:color w:val="auto"/>
        </w:rPr>
        <w:t>BEIJING</w:t>
      </w:r>
    </w:p>
    <w:p>
      <w:pPr>
        <w:ind w:left="260"/>
        <w:spacing w:after="0" w:line="216" w:lineRule="auto"/>
        <w:rPr>
          <w:sz w:val="20"/>
          <w:szCs w:val="20"/>
          <w:color w:val="auto"/>
        </w:rPr>
      </w:pPr>
      <w:r>
        <w:rPr>
          <w:rFonts w:ascii="Arial" w:cs="Arial" w:eastAsia="Arial" w:hAnsi="Arial"/>
          <w:sz w:val="13"/>
          <w:szCs w:val="13"/>
          <w:color w:val="auto"/>
        </w:rPr>
        <w:t>BRUSSELS</w:t>
      </w:r>
    </w:p>
    <w:p>
      <w:pPr>
        <w:ind w:left="220"/>
        <w:spacing w:after="0"/>
        <w:rPr>
          <w:sz w:val="20"/>
          <w:szCs w:val="20"/>
          <w:color w:val="auto"/>
        </w:rPr>
      </w:pPr>
      <w:r>
        <w:rPr>
          <w:rFonts w:ascii="Arial" w:cs="Arial" w:eastAsia="Arial" w:hAnsi="Arial"/>
          <w:sz w:val="13"/>
          <w:szCs w:val="13"/>
          <w:color w:val="auto"/>
        </w:rPr>
        <w:t>FRANKFURT</w:t>
      </w:r>
    </w:p>
    <w:p>
      <w:pPr>
        <w:jc w:val="center"/>
        <w:ind w:right="520"/>
        <w:spacing w:after="0" w:line="216" w:lineRule="auto"/>
        <w:rPr>
          <w:sz w:val="20"/>
          <w:szCs w:val="20"/>
          <w:color w:val="auto"/>
        </w:rPr>
      </w:pPr>
      <w:r>
        <w:rPr>
          <w:rFonts w:ascii="Arial" w:cs="Arial" w:eastAsia="Arial" w:hAnsi="Arial"/>
          <w:sz w:val="13"/>
          <w:szCs w:val="13"/>
          <w:color w:val="auto"/>
        </w:rPr>
        <w:t>HONG KONG</w:t>
      </w:r>
    </w:p>
    <w:p>
      <w:pPr>
        <w:jc w:val="center"/>
        <w:ind w:right="520"/>
        <w:spacing w:after="0"/>
        <w:rPr>
          <w:sz w:val="20"/>
          <w:szCs w:val="20"/>
          <w:color w:val="auto"/>
        </w:rPr>
      </w:pPr>
      <w:r>
        <w:rPr>
          <w:rFonts w:ascii="Arial" w:cs="Arial" w:eastAsia="Arial" w:hAnsi="Arial"/>
          <w:sz w:val="13"/>
          <w:szCs w:val="13"/>
          <w:color w:val="auto"/>
        </w:rPr>
        <w:t>LONDON</w:t>
      </w:r>
    </w:p>
    <w:p>
      <w:pPr>
        <w:jc w:val="center"/>
        <w:ind w:right="520"/>
        <w:spacing w:after="0" w:line="216" w:lineRule="auto"/>
        <w:rPr>
          <w:sz w:val="20"/>
          <w:szCs w:val="20"/>
          <w:color w:val="auto"/>
        </w:rPr>
      </w:pPr>
      <w:r>
        <w:rPr>
          <w:rFonts w:ascii="Arial" w:cs="Arial" w:eastAsia="Arial" w:hAnsi="Arial"/>
          <w:sz w:val="13"/>
          <w:szCs w:val="13"/>
          <w:color w:val="auto"/>
        </w:rPr>
        <w:t>MUNICH</w:t>
      </w:r>
    </w:p>
    <w:p>
      <w:pPr>
        <w:jc w:val="center"/>
        <w:ind w:right="520"/>
        <w:spacing w:after="0"/>
        <w:rPr>
          <w:sz w:val="20"/>
          <w:szCs w:val="20"/>
          <w:color w:val="auto"/>
        </w:rPr>
      </w:pPr>
      <w:r>
        <w:rPr>
          <w:rFonts w:ascii="Arial" w:cs="Arial" w:eastAsia="Arial" w:hAnsi="Arial"/>
          <w:sz w:val="13"/>
          <w:szCs w:val="13"/>
          <w:color w:val="auto"/>
        </w:rPr>
        <w:t>PARIS</w:t>
      </w:r>
    </w:p>
    <w:p>
      <w:pPr>
        <w:jc w:val="center"/>
        <w:ind w:right="520"/>
        <w:spacing w:after="0" w:line="216" w:lineRule="auto"/>
        <w:rPr>
          <w:sz w:val="20"/>
          <w:szCs w:val="20"/>
          <w:color w:val="auto"/>
        </w:rPr>
      </w:pPr>
      <w:r>
        <w:rPr>
          <w:rFonts w:ascii="Arial" w:cs="Arial" w:eastAsia="Arial" w:hAnsi="Arial"/>
          <w:sz w:val="13"/>
          <w:szCs w:val="13"/>
          <w:color w:val="auto"/>
        </w:rPr>
        <w:t>SÃO PAULO</w:t>
      </w:r>
    </w:p>
    <w:p>
      <w:pPr>
        <w:jc w:val="center"/>
        <w:ind w:right="520"/>
        <w:spacing w:after="0"/>
        <w:rPr>
          <w:sz w:val="20"/>
          <w:szCs w:val="20"/>
          <w:color w:val="auto"/>
        </w:rPr>
      </w:pPr>
      <w:r>
        <w:rPr>
          <w:rFonts w:ascii="Arial" w:cs="Arial" w:eastAsia="Arial" w:hAnsi="Arial"/>
          <w:sz w:val="13"/>
          <w:szCs w:val="13"/>
          <w:color w:val="auto"/>
        </w:rPr>
        <w:t>SEOUL</w:t>
      </w:r>
    </w:p>
    <w:p>
      <w:pPr>
        <w:jc w:val="center"/>
        <w:ind w:right="520"/>
        <w:spacing w:after="0" w:line="216" w:lineRule="auto"/>
        <w:rPr>
          <w:sz w:val="20"/>
          <w:szCs w:val="20"/>
          <w:color w:val="auto"/>
        </w:rPr>
      </w:pPr>
      <w:r>
        <w:rPr>
          <w:rFonts w:ascii="Arial" w:cs="Arial" w:eastAsia="Arial" w:hAnsi="Arial"/>
          <w:sz w:val="13"/>
          <w:szCs w:val="13"/>
          <w:color w:val="auto"/>
        </w:rPr>
        <w:t>SINGAPORE</w:t>
      </w:r>
    </w:p>
    <w:p>
      <w:pPr>
        <w:jc w:val="center"/>
        <w:ind w:right="520"/>
        <w:spacing w:after="0" w:line="217" w:lineRule="auto"/>
        <w:rPr>
          <w:sz w:val="20"/>
          <w:szCs w:val="20"/>
          <w:color w:val="auto"/>
        </w:rPr>
      </w:pPr>
      <w:r>
        <w:rPr>
          <w:rFonts w:ascii="Arial" w:cs="Arial" w:eastAsia="Arial" w:hAnsi="Arial"/>
          <w:sz w:val="13"/>
          <w:szCs w:val="13"/>
          <w:color w:val="auto"/>
        </w:rPr>
        <w:t>TOKYO</w:t>
      </w:r>
    </w:p>
    <w:p>
      <w:pPr>
        <w:jc w:val="center"/>
        <w:ind w:right="520"/>
        <w:spacing w:after="0"/>
        <w:rPr>
          <w:sz w:val="20"/>
          <w:szCs w:val="20"/>
          <w:color w:val="auto"/>
        </w:rPr>
      </w:pPr>
      <w:r>
        <w:rPr>
          <w:rFonts w:ascii="Arial" w:cs="Arial" w:eastAsia="Arial" w:hAnsi="Arial"/>
          <w:sz w:val="13"/>
          <w:szCs w:val="13"/>
          <w:color w:val="auto"/>
        </w:rPr>
        <w:t>TORONTO</w:t>
      </w:r>
    </w:p>
    <w:p>
      <w:pPr>
        <w:spacing w:after="0" w:line="2563" w:lineRule="exact"/>
        <w:rPr>
          <w:sz w:val="20"/>
          <w:szCs w:val="20"/>
          <w:color w:val="auto"/>
        </w:rPr>
      </w:pPr>
    </w:p>
    <w:p>
      <w:pPr>
        <w:sectPr>
          <w:pgSz w:w="11900" w:h="16838" w:orient="portrait"/>
          <w:cols w:equalWidth="0" w:num="2">
            <w:col w:w="8800" w:space="720"/>
            <w:col w:w="1720"/>
          </w:cols>
          <w:pgMar w:left="320" w:top="122" w:right="339" w:bottom="1440" w:gutter="0" w:footer="0" w:header="0"/>
          <w:type w:val="continuous"/>
        </w:sectPr>
      </w:pPr>
    </w:p>
    <w:p>
      <w:pPr>
        <w:spacing w:after="0" w:line="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acted as special United States counsel to Perella Weinberg Partners,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connection with the Company’s Registration Statement on Form S-8 (together with the exhibits thereto, the “Registration Statement”) to be filed on the date hereof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Securities Act of 1933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of 3,481,235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Company’s Class A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available for future issuance under the Perella Weinberg Partners 2021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opinion is being furnished in accordance with the requirements of Item 601(b)(5) of Regulation S-K of the General Rules and Regulations of the Commission promulgated under the Securities Act (the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2"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rendering the opinion stated herein, we have examined the following:</w:t>
      </w:r>
    </w:p>
    <w:p>
      <w:pPr>
        <w:spacing w:after="0" w:line="233"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in the form to be filed with the Commission on the date hereof;</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Alexandra Gottschalk, Chief Financial Officer, dated the date hereof (the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9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Certificate of Incorporation, as in effect as of December 28, 2020, certified by the Secretary of State of the State of Delaware as of February 7, 2025, and certified pursuant to the Officer’s Certificate;</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Restated Certificate of Incorporation, as amended (the “</w:t>
      </w:r>
      <w:r>
        <w:rPr>
          <w:rFonts w:ascii="Times New Roman" w:cs="Times New Roman" w:eastAsia="Times New Roman" w:hAnsi="Times New Roman"/>
          <w:sz w:val="22"/>
          <w:szCs w:val="22"/>
          <w:u w:val="single" w:color="auto"/>
          <w:color w:val="auto"/>
        </w:rPr>
        <w:t>Restated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Incorporation</w:t>
      </w:r>
      <w:r>
        <w:rPr>
          <w:rFonts w:ascii="Times New Roman" w:cs="Times New Roman" w:eastAsia="Times New Roman" w:hAnsi="Times New Roman"/>
          <w:sz w:val="22"/>
          <w:szCs w:val="22"/>
          <w:color w:val="auto"/>
        </w:rPr>
        <w:t>”), as currently in effect, certified by the Secretary of State of the State of Delaware as of February 7, 2025, and certified pursuant to the Officer’s Certificate;</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94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Bylaws, as amended and in effect as of December 28, 2020, and certified pursuant to the Officer’s Certificate;</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96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Amended and Restated Bylaws (the “</w:t>
      </w:r>
      <w:r>
        <w:rPr>
          <w:rFonts w:ascii="Times New Roman" w:cs="Times New Roman" w:eastAsia="Times New Roman" w:hAnsi="Times New Roman"/>
          <w:sz w:val="22"/>
          <w:szCs w:val="22"/>
          <w:u w:val="single" w:color="auto"/>
          <w:color w:val="auto"/>
        </w:rPr>
        <w:t>Amended and Restated Bylaws</w:t>
      </w:r>
      <w:r>
        <w:rPr>
          <w:rFonts w:ascii="Times New Roman" w:cs="Times New Roman" w:eastAsia="Times New Roman" w:hAnsi="Times New Roman"/>
          <w:sz w:val="22"/>
          <w:szCs w:val="22"/>
          <w:color w:val="auto"/>
        </w:rPr>
        <w:t>”), as amended and in effect as of the date hereof, and certified pursuant to the Officer’s Certificate; and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95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certain resolutions of the Board of Directors of the Company relating to the approval of the Plan and certain related matters and certified pursuant to the Officer’s Certificate.</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Officer’s Certificate.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w:t>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have relied upon statements and representations of officers and other representatives of the Company and others and of public officials, including the facts and conclusions set forth in the Company’s Restated Certificate of Incorporation and the Officer’s Certificate.</w:t>
      </w:r>
    </w:p>
    <w:p>
      <w:pPr>
        <w:spacing w:after="0" w:line="16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Company’s issuance of the Shares does not and will not (a) except to the extent expressly stated in the opinions contained herein, violate any statute to which the Company or such issuance is subject, or (b) constitute a violation of, or a breach under, or require the consent or approval of any other person under, any agreement or instrument binding on the Company (except that we do not make this assumption with respect to the Restated Certificate of Incorporation and the Amended and Restated Bylaws although we have assumed compliance with any covenant, restriction or provision with respect to financial ratios or tests or any aspect of the financial condition or results of operations of the Company contained in such instruments) and that the Company will continue to have sufficient authorized shares of Common Stock, and (iv) the Company’s authorized capital stock is as set forth in the Restated Certificate of Incorporation and we have relied solely on the certified copy thereof issued by the Secretary of State of the State of Delaware and have not made any other inquiries or investigations.</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79" w:lineRule="exact"/>
        <w:rPr>
          <w:sz w:val="20"/>
          <w:szCs w:val="20"/>
          <w:color w:val="auto"/>
        </w:rPr>
      </w:pPr>
    </w:p>
    <w:p>
      <w:pPr>
        <w:jc w:val="right"/>
        <w:ind w:right="33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22"/>
          <w:szCs w:val="22"/>
          <w:color w:val="auto"/>
        </w:rPr>
        <w:t>/s/ Skadden, Arps, Slate, Meagher &amp; Flom LLP</w:t>
      </w:r>
    </w:p>
    <w:p>
      <w:pPr>
        <w:sectPr>
          <w:pgSz w:w="11900" w:h="16838" w:orient="portrait"/>
          <w:cols w:equalWidth="0" w:num="1">
            <w:col w:w="11240"/>
          </w:cols>
          <w:pgMar w:left="320" w:top="11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the Perella Weinberg Partners 2021 Omnibus Incentive Plan of our report dated February 23, 2024, with respect to the consolidated financial statements of Perella Weinberg Partners included in its Annual Report (Form 10-K) for the year ended December 31, 2023, filed with the Securities and Exchange Commission.</w:t>
      </w:r>
    </w:p>
    <w:p>
      <w:pPr>
        <w:spacing w:after="0" w:line="22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7, 2025</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7" Type="http://schemas.openxmlformats.org/officeDocument/2006/relationships/image" Target="media/image8.png"/><Relationship Id="rId15" Type="http://schemas.openxmlformats.org/officeDocument/2006/relationships/hyperlink" Target="https://www.sec.gov/ix?doc=/Archives/edgar/data/1777835/000177783524000031/pwp-20231231.htm" TargetMode="External"/><Relationship Id="rId16" Type="http://schemas.openxmlformats.org/officeDocument/2006/relationships/hyperlink" Target="https://www.sec.gov/ix?doc=/Archives/edgar/data/1777835/000177783524000105/pwp-20240331.htm" TargetMode="External"/><Relationship Id="rId17" Type="http://schemas.openxmlformats.org/officeDocument/2006/relationships/hyperlink" Target="https://www.sec.gov/ix?doc=/Archives/edgar/data/1777835/000177783524000140/pwp-20240630.htm" TargetMode="External"/><Relationship Id="rId18" Type="http://schemas.openxmlformats.org/officeDocument/2006/relationships/hyperlink" Target="https://www.sec.gov/ix?doc=/Archives/edgar/data/1777835/000177783524000187/pwp-20240930.htm" TargetMode="External"/><Relationship Id="rId19" Type="http://schemas.openxmlformats.org/officeDocument/2006/relationships/hyperlink" Target="https://www.sec.gov/ix?doc=/Archives/edgar/data/0001777835/000177783524000161/pwp-20240906.htm" TargetMode="External"/><Relationship Id="rId20" Type="http://schemas.openxmlformats.org/officeDocument/2006/relationships/hyperlink" Target="https://www.sec.gov/ix?doc=/Archives/edgar/data/0001777835/000177783524000194/pwp-20241118.htm" TargetMode="External"/><Relationship Id="rId21" Type="http://schemas.openxmlformats.org/officeDocument/2006/relationships/hyperlink" Target="https://www.sec.gov/Archives/edgar/data/1777835/000177783524000031/ex-42xdescriptionofsecurit.htm" TargetMode="External"/><Relationship Id="rId22" Type="http://schemas.openxmlformats.org/officeDocument/2006/relationships/hyperlink" Target="https://www.sec.gov/Archives/edgar/data/1777835/000162828022000893/exhibit31-sx1a1.htm" TargetMode="External"/><Relationship Id="rId23" Type="http://schemas.openxmlformats.org/officeDocument/2006/relationships/hyperlink" Target="https://www.sec.gov/Archives/edgar/data/1777835/000177783524000140/pwpq2202410-qexx31.htm" TargetMode="External"/><Relationship Id="rId24" Type="http://schemas.openxmlformats.org/officeDocument/2006/relationships/hyperlink" Target="https://www.sec.gov/Archives/edgar/data/1777835/000119312521204696/d119701dex32.htm" TargetMode="External"/><Relationship Id="rId25" Type="http://schemas.openxmlformats.org/officeDocument/2006/relationships/hyperlink" Target="https://www.sec.gov/Archives/edgar/data/1777835/000119312521204696/d119701dex106.htm" TargetMode="External"/><Relationship Id="rId26" Type="http://schemas.openxmlformats.org/officeDocument/2006/relationships/hyperlink" Target="https://www.sec.gov/Archives/edgar/data/1777835/000119312521204696/d119701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2025-02-07T16:29:58Z</dcterms:created>
  <dcterms:modified xsi:type="dcterms:W3CDTF">2025-02-07T16:29:58Z</dcterms:modified>
</cp:coreProperties>
</file>