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6, 2026</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6, 2026, Perella Weinberg Partners (the “Company”) issued a press release announcing its financial results for the full year and fourth quarter ended December 31, 2025.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February 6, 2026</w:t>
            </w:r>
          </w:p>
        </w:tc>
        <w:tc>
          <w:tcPr>
            <w:tcW w:w="54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6, 2026</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27"/>
          <w:szCs w:val="27"/>
          <w:color w:val="auto"/>
        </w:rPr>
        <w:t>Perella Weinberg Reports Full Year and Fourth Quarter 2025 Results</w:t>
      </w:r>
    </w:p>
    <w:p>
      <w:pPr>
        <w:spacing w:after="0" w:line="34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Full Year</w:t>
      </w:r>
    </w:p>
    <w:p>
      <w:pPr>
        <w:spacing w:after="0" w:line="123"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Revenues of $751 Million, Down 14% From a Record 2024</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GAAP Pre-Tax Income of $52 Million, Adjusted Pre-Tax Income of $82 Million</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GAAP Diluted EPS of $0.47, Adjusted EPS of $0.68</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Fourth Quarter</w:t>
      </w:r>
    </w:p>
    <w:p>
      <w:pPr>
        <w:spacing w:after="0" w:line="110"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Revenues of $219 Million, Down 3% From a Year Ago and Up 33% From Last Quarter</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GAAP Pre-Tax Income of $22 Million, Adjusted Pre-Tax Income of $29 Million</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GAAP Diluted EPS of $0.10, Adjusted EPS of $0.17</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2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Added Twelve Partners and Eleven Managing Directors in 2025</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Two Partners Added in 2026 Year-To-Date</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Acquired Devon Park Advisors, Establishing Secondaries Advisory Capability</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23"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$256 Million of Cash and No Debt</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Retired More Than Six Million Shares and Share Equivalents through Purchase, Exchange and Net Settlement in 2025</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Returned $163 Million in Aggregate to Equity Holders in 2025</w:t>
      </w:r>
    </w:p>
    <w:p>
      <w:pPr>
        <w:spacing w:after="0" w:line="121"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40" w:right="140"/>
        <w:spacing w:after="0" w:line="318" w:lineRule="auto"/>
        <w:rPr>
          <w:sz w:val="20"/>
          <w:szCs w:val="20"/>
          <w:color w:val="auto"/>
        </w:rPr>
      </w:pPr>
      <w:r>
        <w:rPr>
          <w:rFonts w:ascii="Arial" w:cs="Arial" w:eastAsia="Arial" w:hAnsi="Arial"/>
          <w:sz w:val="20"/>
          <w:szCs w:val="20"/>
          <w:color w:val="auto"/>
        </w:rPr>
        <w:t>“2025 marked the third highest revenue year in our Firm’s 20-year history, demonstrating the strength and focus of our platform. Our strategic investments in talent over the last twelve months were the highest in our history and position us to capitalize on what we see as broadly favorable conditions for M&amp;A as well as for financing and capital solutions. Our pipeline entering 2026 stands at record levels and momentum continues to build across our business,”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320"/>
        <w:spacing w:after="0" w:line="344" w:lineRule="auto"/>
        <w:rPr>
          <w:sz w:val="20"/>
          <w:szCs w:val="20"/>
          <w:color w:val="auto"/>
        </w:rPr>
      </w:pPr>
      <w:r>
        <w:rPr>
          <w:rFonts w:ascii="Arial" w:cs="Arial" w:eastAsia="Arial" w:hAnsi="Arial"/>
          <w:sz w:val="20"/>
          <w:szCs w:val="20"/>
          <w:b w:val="1"/>
          <w:bCs w:val="1"/>
          <w:color w:val="auto"/>
        </w:rPr>
        <w:t xml:space="preserve">NEW YORK, NY, February 6, 2026 </w:t>
      </w:r>
      <w:r>
        <w:rPr>
          <w:rFonts w:ascii="Arial" w:cs="Arial" w:eastAsia="Arial" w:hAnsi="Arial"/>
          <w:sz w:val="20"/>
          <w:szCs w:val="20"/>
          <w:color w:val="auto"/>
        </w:rPr>
        <w:t>– Perella Weinberg Partners (the “Firm,” “Perella Weinberg,” or “PWP”) (NASDAQ:PWP)</w:t>
      </w:r>
      <w:r>
        <w:rPr>
          <w:rFonts w:ascii="Arial" w:cs="Arial" w:eastAsia="Arial" w:hAnsi="Arial"/>
          <w:sz w:val="20"/>
          <w:szCs w:val="20"/>
          <w:b w:val="1"/>
          <w:bCs w:val="1"/>
          <w:color w:val="auto"/>
        </w:rPr>
        <w:t xml:space="preserve"> </w:t>
      </w:r>
      <w:r>
        <w:rPr>
          <w:rFonts w:ascii="Arial" w:cs="Arial" w:eastAsia="Arial" w:hAnsi="Arial"/>
          <w:sz w:val="20"/>
          <w:szCs w:val="20"/>
          <w:color w:val="auto"/>
        </w:rPr>
        <w:t>today reported financial results for the full year and fourth quarter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Revenues</w:t>
      </w:r>
    </w:p>
    <w:p>
      <w:pPr>
        <w:spacing w:after="0" w:line="31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the twelve months ended December 31, 2025, revenues were $750.9 million, a decrease of 14% from a record $878.0 million for the twelve months ended December 31, 2024, driven by fewer closings in M&amp;A partially offset by increased contribution from financing and capital solutions. For the fourth quarter of 2025, revenues were $219.2 million, a decrease of 3% from $225.7 million reported in the fourth quarter of 2024, due to a decrease in large restructuring fees in the current period compared to last year which offset the impact of increased contribution from M&amp;A in the current year period.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gridSpan w:val="8"/>
          </w:tcPr>
          <w:p>
            <w:pPr>
              <w:ind w:left="440"/>
              <w:spacing w:after="0"/>
              <w:rPr>
                <w:sz w:val="20"/>
                <w:szCs w:val="20"/>
                <w:color w:val="auto"/>
              </w:rPr>
            </w:pPr>
            <w:r>
              <w:rPr>
                <w:rFonts w:ascii="Arial" w:cs="Arial" w:eastAsia="Arial" w:hAnsi="Arial"/>
                <w:sz w:val="18"/>
                <w:szCs w:val="18"/>
                <w:b w:val="1"/>
                <w:bCs w:val="1"/>
                <w:color w:val="503C64"/>
              </w:rPr>
              <w:t>Three Months Ended December 31,</w:t>
            </w:r>
          </w:p>
        </w:tc>
        <w:tc>
          <w:tcPr>
            <w:tcW w:w="240" w:type="dxa"/>
            <w:vAlign w:val="bottom"/>
          </w:tcPr>
          <w:p>
            <w:pPr>
              <w:spacing w:after="0"/>
              <w:rPr>
                <w:sz w:val="20"/>
                <w:szCs w:val="20"/>
                <w:color w:val="auto"/>
              </w:rPr>
            </w:pPr>
          </w:p>
        </w:tc>
        <w:tc>
          <w:tcPr>
            <w:tcW w:w="4180" w:type="dxa"/>
            <w:vAlign w:val="bottom"/>
            <w:gridSpan w:val="7"/>
          </w:tcPr>
          <w:p>
            <w:pPr>
              <w:jc w:val="right"/>
              <w:ind w:right="574"/>
              <w:spacing w:after="0"/>
              <w:rPr>
                <w:sz w:val="20"/>
                <w:szCs w:val="20"/>
                <w:color w:val="auto"/>
              </w:rPr>
            </w:pPr>
            <w:r>
              <w:rPr>
                <w:rFonts w:ascii="Arial" w:cs="Arial" w:eastAsia="Arial" w:hAnsi="Arial"/>
                <w:sz w:val="18"/>
                <w:szCs w:val="18"/>
                <w:b w:val="1"/>
                <w:bCs w:val="1"/>
                <w:color w:val="503C64"/>
              </w:rPr>
              <w:t>Twelve Months Ended December 31,</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14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940" w:type="dxa"/>
            <w:vAlign w:val="bottom"/>
            <w:tcBorders>
              <w:top w:val="single" w:sz="8" w:color="B6B6B6"/>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02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780" w:type="dxa"/>
            <w:vAlign w:val="bottom"/>
            <w:tcBorders>
              <w:top w:val="single" w:sz="8" w:color="B6B6B6"/>
              <w:bottom w:val="single" w:sz="8" w:color="B6B6B6"/>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18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940" w:type="dxa"/>
            <w:vAlign w:val="bottom"/>
            <w:tcBorders>
              <w:top w:val="single" w:sz="8" w:color="B6B6B6"/>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02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800" w:type="dxa"/>
            <w:vAlign w:val="bottom"/>
            <w:tcBorders>
              <w:top w:val="single" w:sz="8" w:color="B6B6B6"/>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00" w:type="dxa"/>
            <w:vAlign w:val="bottom"/>
            <w:vMerge w:val="restart"/>
          </w:tcPr>
          <w:p>
            <w:pPr>
              <w:jc w:val="center"/>
              <w:ind w:right="45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503C64"/>
              </w:rPr>
              <w:t>GAAP</w:t>
            </w:r>
          </w:p>
        </w:tc>
        <w:tc>
          <w:tcPr>
            <w:tcW w:w="2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2300" w:type="dxa"/>
            <w:vAlign w:val="bottom"/>
            <w:vMerge w:val="continue"/>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1940" w:type="dxa"/>
            <w:vAlign w:val="bottom"/>
            <w:tcBorders>
              <w:top w:val="single" w:sz="8" w:color="B6B6B6"/>
            </w:tcBorders>
            <w:gridSpan w:val="3"/>
          </w:tcPr>
          <w:p>
            <w:pPr>
              <w:jc w:val="right"/>
              <w:ind w:right="393"/>
              <w:spacing w:after="0"/>
              <w:rPr>
                <w:sz w:val="20"/>
                <w:szCs w:val="20"/>
                <w:color w:val="auto"/>
              </w:rPr>
            </w:pPr>
            <w:r>
              <w:rPr>
                <w:rFonts w:ascii="Arial" w:cs="Arial" w:eastAsia="Arial" w:hAnsi="Arial"/>
                <w:sz w:val="14"/>
                <w:szCs w:val="14"/>
                <w:b w:val="1"/>
                <w:bCs w:val="1"/>
                <w:color w:val="503C64"/>
              </w:rPr>
              <w:t>(Dollars in Millions)</w:t>
            </w:r>
          </w:p>
        </w:tc>
        <w:tc>
          <w:tcPr>
            <w:tcW w:w="260" w:type="dxa"/>
            <w:vAlign w:val="bottom"/>
            <w:tcBorders>
              <w:top w:val="single" w:sz="8" w:color="B6B6B6"/>
            </w:tcBorders>
          </w:tcPr>
          <w:p>
            <w:pPr>
              <w:spacing w:after="0"/>
              <w:rPr>
                <w:sz w:val="17"/>
                <w:szCs w:val="17"/>
                <w:color w:val="auto"/>
              </w:rPr>
            </w:pPr>
          </w:p>
        </w:tc>
        <w:tc>
          <w:tcPr>
            <w:tcW w:w="780" w:type="dxa"/>
            <w:vAlign w:val="bottom"/>
            <w:tcBorders>
              <w:top w:val="single" w:sz="8" w:color="B6B6B6"/>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92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1940" w:type="dxa"/>
            <w:vAlign w:val="bottom"/>
            <w:tcBorders>
              <w:top w:val="single" w:sz="8" w:color="B6B6B6"/>
            </w:tcBorders>
            <w:gridSpan w:val="3"/>
          </w:tcPr>
          <w:p>
            <w:pPr>
              <w:jc w:val="right"/>
              <w:ind w:right="393"/>
              <w:spacing w:after="0"/>
              <w:rPr>
                <w:sz w:val="20"/>
                <w:szCs w:val="20"/>
                <w:color w:val="auto"/>
              </w:rPr>
            </w:pPr>
            <w:r>
              <w:rPr>
                <w:rFonts w:ascii="Arial" w:cs="Arial" w:eastAsia="Arial" w:hAnsi="Arial"/>
                <w:sz w:val="14"/>
                <w:szCs w:val="14"/>
                <w:b w:val="1"/>
                <w:bCs w:val="1"/>
                <w:color w:val="503C64"/>
              </w:rPr>
              <w:t>(Dollars in Millions)</w:t>
            </w:r>
          </w:p>
        </w:tc>
        <w:tc>
          <w:tcPr>
            <w:tcW w:w="260" w:type="dxa"/>
            <w:vAlign w:val="bottom"/>
            <w:tcBorders>
              <w:top w:val="single" w:sz="8" w:color="B6B6B6"/>
            </w:tcBorders>
          </w:tcPr>
          <w:p>
            <w:pPr>
              <w:spacing w:after="0"/>
              <w:rPr>
                <w:sz w:val="17"/>
                <w:szCs w:val="17"/>
                <w:color w:val="auto"/>
              </w:rPr>
            </w:pPr>
          </w:p>
        </w:tc>
        <w:tc>
          <w:tcPr>
            <w:tcW w:w="800" w:type="dxa"/>
            <w:vAlign w:val="bottom"/>
            <w:tcBorders>
              <w:top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120"/>
              <w:spacing w:after="0" w:line="181" w:lineRule="exact"/>
              <w:rPr>
                <w:sz w:val="20"/>
                <w:szCs w:val="20"/>
                <w:color w:val="auto"/>
              </w:rPr>
            </w:pPr>
            <w:r>
              <w:rPr>
                <w:rFonts w:ascii="Arial" w:cs="Arial" w:eastAsia="Arial" w:hAnsi="Arial"/>
                <w:sz w:val="18"/>
                <w:szCs w:val="18"/>
                <w:color w:val="auto"/>
              </w:rPr>
              <w:t>Total compensation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161.5</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155.6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156.1</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4"/>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535.4</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511.9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784.2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Arial" w:cs="Arial" w:eastAsia="Arial" w:hAnsi="Arial"/>
                <w:sz w:val="18"/>
                <w:szCs w:val="18"/>
                <w:color w:val="auto"/>
              </w:rPr>
              <w:t>benefits</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300" w:type="dxa"/>
            <w:vAlign w:val="bottom"/>
          </w:tcPr>
          <w:p>
            <w:pPr>
              <w:jc w:val="center"/>
              <w:ind w:right="4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71%</w:t>
            </w:r>
          </w:p>
        </w:tc>
        <w:tc>
          <w:tcPr>
            <w:tcW w:w="2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69%</w:t>
            </w:r>
          </w:p>
        </w:tc>
        <w:tc>
          <w:tcPr>
            <w:tcW w:w="26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i w:val="1"/>
                <w:iCs w:val="1"/>
                <w:color w:val="auto"/>
              </w:rPr>
              <w:t>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71%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2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89%</w:t>
            </w:r>
          </w:p>
        </w:tc>
        <w:tc>
          <w:tcPr>
            <w:tcW w:w="2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181"/>
        </w:trPr>
        <w:tc>
          <w:tcPr>
            <w:tcW w:w="2300" w:type="dxa"/>
            <w:vAlign w:val="bottom"/>
          </w:tcPr>
          <w:p>
            <w:pPr>
              <w:jc w:val="center"/>
              <w:ind w:right="450"/>
              <w:spacing w:after="0" w:line="181" w:lineRule="exact"/>
              <w:rPr>
                <w:sz w:val="20"/>
                <w:szCs w:val="20"/>
                <w:color w:val="auto"/>
              </w:rPr>
            </w:pPr>
            <w:r>
              <w:rPr>
                <w:rFonts w:ascii="Arial" w:cs="Arial" w:eastAsia="Arial" w:hAnsi="Arial"/>
                <w:sz w:val="18"/>
                <w:szCs w:val="18"/>
                <w:color w:val="auto"/>
              </w:rPr>
              <w:t>Non-compensation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39.2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36.8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48.2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4"/>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167.5</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159.3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172.3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ind w:right="4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2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21%</w:t>
            </w:r>
          </w:p>
        </w:tc>
        <w:tc>
          <w:tcPr>
            <w:tcW w:w="2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i w:val="1"/>
                <w:iCs w:val="1"/>
                <w:color w:val="auto"/>
              </w:rPr>
              <w:t>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21%</w:t>
            </w:r>
          </w:p>
        </w:tc>
        <w:tc>
          <w:tcPr>
            <w:tcW w:w="2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20%</w:t>
            </w:r>
          </w:p>
        </w:tc>
        <w:tc>
          <w:tcPr>
            <w:tcW w:w="2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Twelve Months Ended</w:t>
      </w:r>
    </w:p>
    <w:p>
      <w:pPr>
        <w:spacing w:after="0" w:line="31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$535.4 million for the twelve months ended December 31, 2025, compared to $784.2 million for the prior year period. The prior year period included the impact of the one-time accelerated vesting of certain partnership unit awards (the “Vesting Acceleration”) as well as incremental equity-based compensation expense tied to transaction-related incentive unit awards which began to vest in the third quarter of 2024. Adjusted total compensation and benefits were $511.9 million for the twelve months ended December 31, 2025, compared to $589.7 million for the same period a year ago. The decrease reflects lower bonus accruals driven by lower revenues, partially offset by a higher compensation margin.</w:t>
      </w:r>
    </w:p>
    <w:p>
      <w:pPr>
        <w:spacing w:after="0" w:line="209"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non-compensation expenses were $167.5 million for the twelve months ended December 31, 2025, compared to $172.3 million for the prior year period. Adjusted non-compensation expenses were $159.3 million for the twelve months ended December 31, 2025, compared to $162.4 million for the same period a year ago. The decrease in non-compensation expenses was largely driven by lower general, administrative and other expenses and lower professional fees, partially offset by higher travel and technology costs.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Three Months Ended</w:t>
      </w:r>
    </w:p>
    <w:p>
      <w:pPr>
        <w:spacing w:after="0" w:line="200" w:lineRule="exact"/>
        <w:rPr>
          <w:sz w:val="20"/>
          <w:szCs w:val="20"/>
          <w:color w:val="auto"/>
        </w:rPr>
      </w:pPr>
    </w:p>
    <w:p>
      <w:pPr>
        <w:spacing w:after="0" w:line="205"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GAAP total compensation and benefits were $161.5 million for the fourth quarter of 2025, compared to $156.1 million for the fourth quarter of 2024. Adjusted total compensation and benefits were $155.6 million for the fourth quarter of 2025, compared to $146.0 million for the same period a year ago. The increase reflects a higher compensation margin that was partially offset by lower bonus accruals associated with lower revenues.</w:t>
      </w:r>
    </w:p>
    <w:p>
      <w:pPr>
        <w:spacing w:after="0" w:line="204"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GAAP non-compensation expenses were $39.2 million for the fourth quarter of 2025, compared to $48.2 million for the fourth quarter of 2024. Adjusted non-compensation expenses were $36.8 million for the fourth quarter of 2025, compared to $46.3 million for the same period a year ago. The decrease in non-compensation expenses was largely driven by lower professional fees primarily related to litigation spend and senior advisor fees and lower general, administrative and other expenses.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As of December 31, 2025, Perella Weinberg Partners owned 75.1% of the operating partnership (“PWP OpCo”) and is subject to U.S. federal and state corporate income tax on its allocable share of earnings. Income earned by PWP OpCo is subject to certain state, local, and foreign income taxes. The GAAP effective tax rate for the twelve months ended December 31, 2025 was 7%, which included a tax benefit from restricted stock units (“RSUs”) that vested at share prices in excess of their grant prices.</w:t>
      </w:r>
    </w:p>
    <w:p>
      <w:pPr>
        <w:spacing w:after="0" w:line="18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purposes of calculating adjusted if-converted net income, we present our results as if all partnership units had been converted to shares of Class A common stock and as if all of our adjusted results were subject to U.S. corporate income tax. For the twelve months ended December 31, 2025, the adjusted if-converted effective tax rate was 16%. Excluding the RSU tax benefit, the adjusted if-converted effective tax rate would have been 32%.</w:t>
      </w:r>
    </w:p>
    <w:p>
      <w:pPr>
        <w:spacing w:after="0" w:line="200" w:lineRule="exact"/>
        <w:rPr>
          <w:sz w:val="20"/>
          <w:szCs w:val="20"/>
          <w:color w:val="auto"/>
        </w:rPr>
      </w:pPr>
    </w:p>
    <w:p>
      <w:pPr>
        <w:spacing w:after="0" w:line="300"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4"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December 31, 2025, we had $255.9 million of cash with no outstanding indebtedness and an undrawn revolving credit facility.</w:t>
      </w:r>
    </w:p>
    <w:p>
      <w:pPr>
        <w:spacing w:after="0" w:line="18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During the twelve months ended December 31, 2025, we returned $163.4 million in aggregate to our equity holders through: (i) the net settlement of 3,400,987 share equivalents at an average price per share of $22.96; (ii) the settlement of unit exchanges of 1,270,086 PWP OpCo units for cash at $22.65 per unit and the repurchase of 1,829,337 shares at an average price per share of $18.40 in open market transactions pursuant to PWP’s Class A common stock repurchase program; and (iii) the payment of aggregate dividends of $22.9 million to Class A common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2025, there were 66.7 million shares of Class A common stock and 22.1 million partnership units outstanding.</w:t>
      </w:r>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March 9, 2026 to Class A common stockholders of record on February 17, 2026.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Conference Call and Webcast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Management will host a webcast and conference call on Friday, February 6, 2026 at 9:00 am ET to discuss Perella Weinberg’s financial results for the full year and fourth quarter ended December 31, 2025.</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Domestic: (800) 245-3047</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International: (203) 518-9765</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Conference ID: PWPQ425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spacing w:after="0" w:line="259" w:lineRule="auto"/>
        <w:rPr>
          <w:rFonts w:ascii="Arial" w:cs="Arial" w:eastAsia="Arial" w:hAnsi="Arial"/>
          <w:sz w:val="20"/>
          <w:szCs w:val="20"/>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February 13, 2026. To access the replay, dial (800) 839-6798 (Domestic) or (402) 220-6055 (International). The replay can also be accessed on the Investors section of the Company’s website at https://investors.pwpartners.com/.</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February 6, 2026,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Los Angeles, San Francisco, Paris, Chicago, Munich, Palm Beach, Denver, Calgary, and Greenwich. The financial information of Perella Weinberg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27, 2025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Three Months Ended</w:t>
            </w:r>
          </w:p>
        </w:tc>
        <w:tc>
          <w:tcPr>
            <w:tcW w:w="140" w:type="dxa"/>
            <w:vAlign w:val="bottom"/>
          </w:tcPr>
          <w:p>
            <w:pPr>
              <w:spacing w:after="0"/>
              <w:rPr>
                <w:sz w:val="16"/>
                <w:szCs w:val="16"/>
                <w:color w:val="auto"/>
              </w:rPr>
            </w:pPr>
          </w:p>
        </w:tc>
        <w:tc>
          <w:tcPr>
            <w:tcW w:w="22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503C64"/>
              </w:rPr>
              <w:t>Twelve Months Ended</w:t>
            </w:r>
          </w:p>
        </w:tc>
      </w:tr>
      <w:tr>
        <w:trPr>
          <w:trHeight w:val="223"/>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w w:val="99"/>
              </w:rPr>
              <w:t>December 31,</w:t>
            </w:r>
          </w:p>
        </w:tc>
        <w:tc>
          <w:tcPr>
            <w:tcW w:w="140" w:type="dxa"/>
            <w:vAlign w:val="bottom"/>
          </w:tcPr>
          <w:p>
            <w:pPr>
              <w:spacing w:after="0"/>
              <w:rPr>
                <w:sz w:val="19"/>
                <w:szCs w:val="19"/>
                <w:color w:val="auto"/>
              </w:rPr>
            </w:pPr>
          </w:p>
        </w:tc>
        <w:tc>
          <w:tcPr>
            <w:tcW w:w="226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503C64"/>
              </w:rPr>
              <w:t>December 31,</w:t>
            </w: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r>
      <w:tr>
        <w:trPr>
          <w:trHeight w:val="195"/>
        </w:trPr>
        <w:tc>
          <w:tcPr>
            <w:tcW w:w="606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14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10"/>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219,160</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225,672</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750,903</w:t>
            </w:r>
          </w:p>
        </w:tc>
        <w:tc>
          <w:tcPr>
            <w:tcW w:w="2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878,039</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133,567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133,298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425,594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525,941</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27,886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109,759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258,296</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161,453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156,064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535,353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784,237</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8,148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43,456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49,262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9,890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38,004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35,721</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5,637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24,533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24,325</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22,719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19,823</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17,996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22,824</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20,832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20,379</w:t>
            </w:r>
          </w:p>
        </w:tc>
      </w:tr>
      <w:tr>
        <w:trPr>
          <w:trHeight w:val="217"/>
        </w:trPr>
        <w:tc>
          <w:tcPr>
            <w:tcW w:w="60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200,633</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204,303</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702,893</w:t>
            </w:r>
          </w:p>
        </w:tc>
        <w:tc>
          <w:tcPr>
            <w:tcW w:w="26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956,571</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18,527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48,010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(78,532)</w:t>
            </w: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10,277</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10,277</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21,780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51,515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(68,255)</w:t>
            </w:r>
          </w:p>
        </w:tc>
      </w:tr>
      <w:tr>
        <w:trPr>
          <w:trHeight w:val="216"/>
        </w:trPr>
        <w:tc>
          <w:tcPr>
            <w:tcW w:w="60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7,983</w:t>
            </w:r>
          </w:p>
        </w:tc>
        <w:tc>
          <w:tcPr>
            <w:tcW w:w="3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(4,871)</w:t>
            </w:r>
          </w:p>
        </w:tc>
        <w:tc>
          <w:tcPr>
            <w:tcW w:w="80" w:type="dxa"/>
            <w:vAlign w:val="bottom"/>
            <w:tcBorders>
              <w:bottom w:val="single" w:sz="8" w:color="B6B6B6"/>
            </w:tcBorders>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3,512</w:t>
            </w:r>
          </w:p>
        </w:tc>
        <w:tc>
          <w:tcPr>
            <w:tcW w:w="26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21,089</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13,797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48,003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(89,344)</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4,401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12,526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(24,616)</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9,396</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20,774</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35,477</w:t>
            </w:r>
          </w:p>
        </w:tc>
        <w:tc>
          <w:tcPr>
            <w:tcW w:w="2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(64,728)</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040" w:type="dxa"/>
            <w:vAlign w:val="bottom"/>
            <w:shd w:val="clear" w:color="auto" w:fill="E3E1E9"/>
          </w:tcPr>
          <w:p>
            <w:pPr>
              <w:spacing w:after="0"/>
              <w:rPr>
                <w:sz w:val="18"/>
                <w:szCs w:val="18"/>
                <w:color w:val="auto"/>
              </w:rPr>
            </w:pPr>
          </w:p>
        </w:tc>
        <w:tc>
          <w:tcPr>
            <w:tcW w:w="26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0.14</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0.36</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0.55</w:t>
            </w:r>
          </w:p>
        </w:tc>
        <w:tc>
          <w:tcPr>
            <w:tcW w:w="2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(1.22)</w:t>
            </w: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0.10</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0.30</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0.47</w:t>
            </w:r>
          </w:p>
        </w:tc>
        <w:tc>
          <w:tcPr>
            <w:tcW w:w="2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(1.22)</w:t>
            </w:r>
          </w:p>
        </w:tc>
      </w:tr>
      <w:tr>
        <w:trPr>
          <w:trHeight w:val="218"/>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040" w:type="dxa"/>
            <w:vAlign w:val="bottom"/>
            <w:shd w:val="clear" w:color="auto" w:fill="E3E1E9"/>
          </w:tcPr>
          <w:p>
            <w:pPr>
              <w:spacing w:after="0"/>
              <w:rPr>
                <w:sz w:val="18"/>
                <w:szCs w:val="18"/>
                <w:color w:val="auto"/>
              </w:rPr>
            </w:pPr>
          </w:p>
        </w:tc>
        <w:tc>
          <w:tcPr>
            <w:tcW w:w="26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67,490,766</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58,023,204</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0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64,208,733</w:t>
            </w:r>
          </w:p>
        </w:tc>
        <w:tc>
          <w:tcPr>
            <w:tcW w:w="26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53,187,995</w:t>
            </w:r>
          </w:p>
        </w:tc>
      </w:tr>
      <w:tr>
        <w:trPr>
          <w:trHeight w:val="217"/>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101,422,566</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73,093,466</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0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100,848,937</w:t>
            </w:r>
          </w:p>
        </w:tc>
        <w:tc>
          <w:tcPr>
            <w:tcW w:w="26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53,187,995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12"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160" w:type="dxa"/>
            <w:vAlign w:val="bottom"/>
            <w:gridSpan w:val="3"/>
          </w:tcPr>
          <w:p>
            <w:pPr>
              <w:jc w:val="right"/>
              <w:ind w:right="288"/>
              <w:spacing w:after="0"/>
              <w:rPr>
                <w:sz w:val="20"/>
                <w:szCs w:val="20"/>
                <w:color w:val="auto"/>
              </w:rPr>
            </w:pPr>
            <w:r>
              <w:rPr>
                <w:rFonts w:ascii="Arial" w:cs="Arial" w:eastAsia="Arial" w:hAnsi="Arial"/>
                <w:sz w:val="16"/>
                <w:szCs w:val="16"/>
                <w:b w:val="1"/>
                <w:bCs w:val="1"/>
                <w:color w:val="503C64"/>
              </w:rPr>
              <w:t>Twelve Months Ended</w:t>
            </w:r>
          </w:p>
        </w:tc>
      </w:tr>
      <w:tr>
        <w:trPr>
          <w:trHeight w:val="223"/>
        </w:trPr>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503C64"/>
              </w:rPr>
              <w:t>December 31,</w:t>
            </w:r>
          </w:p>
        </w:tc>
        <w:tc>
          <w:tcPr>
            <w:tcW w:w="220" w:type="dxa"/>
            <w:vAlign w:val="bottom"/>
          </w:tcPr>
          <w:p>
            <w:pPr>
              <w:spacing w:after="0"/>
              <w:rPr>
                <w:sz w:val="19"/>
                <w:szCs w:val="19"/>
                <w:color w:val="auto"/>
              </w:rPr>
            </w:pPr>
          </w:p>
        </w:tc>
        <w:tc>
          <w:tcPr>
            <w:tcW w:w="2160" w:type="dxa"/>
            <w:vAlign w:val="bottom"/>
            <w:gridSpan w:val="3"/>
          </w:tcPr>
          <w:p>
            <w:pPr>
              <w:jc w:val="right"/>
              <w:ind w:right="588"/>
              <w:spacing w:after="0"/>
              <w:rPr>
                <w:sz w:val="20"/>
                <w:szCs w:val="20"/>
                <w:color w:val="auto"/>
              </w:rPr>
            </w:pPr>
            <w:r>
              <w:rPr>
                <w:rFonts w:ascii="Arial" w:cs="Arial" w:eastAsia="Arial" w:hAnsi="Arial"/>
                <w:sz w:val="16"/>
                <w:szCs w:val="16"/>
                <w:b w:val="1"/>
                <w:bCs w:val="1"/>
                <w:color w:val="503C64"/>
              </w:rPr>
              <w:t>December 31,</w:t>
            </w:r>
          </w:p>
        </w:tc>
      </w:tr>
      <w:tr>
        <w:trPr>
          <w:trHeight w:val="21"/>
        </w:trPr>
        <w:tc>
          <w:tcPr>
            <w:tcW w:w="61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r>
      <w:tr>
        <w:trPr>
          <w:trHeight w:val="195"/>
        </w:trPr>
        <w:tc>
          <w:tcPr>
            <w:tcW w:w="618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r>
        <w:trPr>
          <w:trHeight w:val="19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161,453</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156,064</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535,353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784,237</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(20,813)</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(47,609)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(3,249)</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(4)</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(2,689)</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(2,689)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155,583</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145,982</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511,851</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589,665</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39,180</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48,239</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167,540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172,334</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(7,189)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(286)</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(1,066)</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(3,340)</w:t>
            </w:r>
          </w:p>
        </w:tc>
      </w:tr>
      <w:tr>
        <w:trPr>
          <w:trHeight w:val="196"/>
        </w:trPr>
        <w:tc>
          <w:tcPr>
            <w:tcW w:w="618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(7)</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36,840</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46,308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159,285</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162,414</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18,527</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21,369</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48,010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(78,532)</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20,813</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47,609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2,689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7,189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1,066</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3,340</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26,737</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33,382</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79,767</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125,960</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21,780</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27,787</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51,515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(68,255)</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20,813</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47,609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2,689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2"/>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7,189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1,066</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3,340</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(1,299)</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(1,250)</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264</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28,691</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39,838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82,022</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136,501</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7,983</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(4,871)</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3,512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21,089</w:t>
            </w:r>
          </w:p>
        </w:tc>
      </w:tr>
      <w:tr>
        <w:trPr>
          <w:trHeight w:val="204"/>
        </w:trPr>
        <w:tc>
          <w:tcPr>
            <w:tcW w:w="618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(831)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18,725</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6,581</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11,375</w:t>
            </w:r>
          </w:p>
        </w:tc>
      </w:tr>
      <w:tr>
        <w:trPr>
          <w:trHeight w:val="192"/>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7,152</w:t>
            </w:r>
          </w:p>
        </w:tc>
        <w:tc>
          <w:tcPr>
            <w:tcW w:w="80" w:type="dxa"/>
            <w:vAlign w:val="bottom"/>
            <w:tcBorders>
              <w:bottom w:val="single" w:sz="8" w:color="B6B6B6"/>
            </w:tcBorders>
            <w:shd w:val="clear" w:color="auto" w:fill="E3E1E9"/>
          </w:tcPr>
          <w:p>
            <w:pPr>
              <w:spacing w:after="0"/>
              <w:rPr>
                <w:sz w:val="16"/>
                <w:szCs w:val="16"/>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13,854</w:t>
            </w:r>
          </w:p>
        </w:tc>
        <w:tc>
          <w:tcPr>
            <w:tcW w:w="80" w:type="dxa"/>
            <w:vAlign w:val="bottom"/>
            <w:shd w:val="clear" w:color="auto" w:fill="E3E1E9"/>
          </w:tcPr>
          <w:p>
            <w:pPr>
              <w:spacing w:after="0"/>
              <w:rPr>
                <w:sz w:val="16"/>
                <w:szCs w:val="16"/>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10,093</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32,464</w:t>
            </w:r>
          </w:p>
        </w:tc>
      </w:tr>
      <w:tr>
        <w:trPr>
          <w:trHeight w:val="239"/>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13,797</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32,658</w:t>
            </w:r>
          </w:p>
        </w:tc>
        <w:tc>
          <w:tcPr>
            <w:tcW w:w="8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48,003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(89,344)</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20,813</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47,609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2,689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7,189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1,066</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3,340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264</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831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(18,725)</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(6,581)</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(11,375)</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21,539</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25,984</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71,929</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104,037</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503C64"/>
              </w:rPr>
              <w:t>Three Months Ended</w:t>
            </w:r>
          </w:p>
        </w:tc>
        <w:tc>
          <w:tcPr>
            <w:tcW w:w="180" w:type="dxa"/>
            <w:vAlign w:val="bottom"/>
          </w:tcPr>
          <w:p>
            <w:pPr>
              <w:spacing w:after="0"/>
              <w:rPr>
                <w:sz w:val="16"/>
                <w:szCs w:val="16"/>
                <w:color w:val="auto"/>
              </w:rPr>
            </w:pPr>
          </w:p>
        </w:tc>
        <w:tc>
          <w:tcPr>
            <w:tcW w:w="2400" w:type="dxa"/>
            <w:vAlign w:val="bottom"/>
            <w:gridSpan w:val="3"/>
          </w:tcPr>
          <w:p>
            <w:pPr>
              <w:jc w:val="right"/>
              <w:ind w:right="388"/>
              <w:spacing w:after="0"/>
              <w:rPr>
                <w:sz w:val="20"/>
                <w:szCs w:val="20"/>
                <w:color w:val="auto"/>
              </w:rPr>
            </w:pPr>
            <w:r>
              <w:rPr>
                <w:rFonts w:ascii="Arial" w:cs="Arial" w:eastAsia="Arial" w:hAnsi="Arial"/>
                <w:sz w:val="16"/>
                <w:szCs w:val="16"/>
                <w:b w:val="1"/>
                <w:bCs w:val="1"/>
                <w:color w:val="503C64"/>
              </w:rPr>
              <w:t>Twelve Months Ended</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503C64"/>
              </w:rPr>
              <w:t>December 31,</w:t>
            </w:r>
          </w:p>
        </w:tc>
        <w:tc>
          <w:tcPr>
            <w:tcW w:w="180" w:type="dxa"/>
            <w:vAlign w:val="bottom"/>
          </w:tcPr>
          <w:p>
            <w:pPr>
              <w:spacing w:after="0"/>
              <w:rPr>
                <w:sz w:val="19"/>
                <w:szCs w:val="19"/>
                <w:color w:val="auto"/>
              </w:rPr>
            </w:pPr>
          </w:p>
        </w:tc>
        <w:tc>
          <w:tcPr>
            <w:tcW w:w="2400" w:type="dxa"/>
            <w:vAlign w:val="bottom"/>
            <w:gridSpan w:val="3"/>
          </w:tcPr>
          <w:p>
            <w:pPr>
              <w:jc w:val="right"/>
              <w:ind w:right="708"/>
              <w:spacing w:after="0"/>
              <w:rPr>
                <w:sz w:val="20"/>
                <w:szCs w:val="20"/>
                <w:color w:val="auto"/>
              </w:rPr>
            </w:pPr>
            <w:r>
              <w:rPr>
                <w:rFonts w:ascii="Arial" w:cs="Arial" w:eastAsia="Arial" w:hAnsi="Arial"/>
                <w:sz w:val="16"/>
                <w:szCs w:val="16"/>
                <w:b w:val="1"/>
                <w:bCs w:val="1"/>
                <w:color w:val="503C64"/>
              </w:rPr>
              <w:t>December 31,</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60" w:type="dxa"/>
            <w:vAlign w:val="bottom"/>
            <w:tcBorders>
              <w:bottom w:val="single" w:sz="8" w:color="B6B6B6"/>
            </w:tcBorders>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447"/>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21,539</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25,984</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71,929</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104,037</w:t>
            </w:r>
          </w:p>
        </w:tc>
        <w:tc>
          <w:tcPr>
            <w:tcW w:w="0" w:type="dxa"/>
            <w:vAlign w:val="bottom"/>
          </w:tcPr>
          <w:p>
            <w:pPr>
              <w:spacing w:after="0"/>
              <w:rPr>
                <w:sz w:val="1"/>
                <w:szCs w:val="1"/>
                <w:color w:val="auto"/>
              </w:rPr>
            </w:pPr>
          </w:p>
        </w:tc>
      </w:tr>
      <w:tr>
        <w:trPr>
          <w:trHeight w:val="194"/>
        </w:trPr>
        <w:tc>
          <w:tcPr>
            <w:tcW w:w="5760" w:type="dxa"/>
            <w:vAlign w:val="bottom"/>
          </w:tcPr>
          <w:p>
            <w:pPr>
              <w:ind w:left="20"/>
              <w:spacing w:after="0"/>
              <w:rPr>
                <w:sz w:val="20"/>
                <w:szCs w:val="20"/>
                <w:color w:val="auto"/>
              </w:rPr>
            </w:pPr>
            <w:r>
              <w:rPr>
                <w:rFonts w:ascii="Arial" w:cs="Arial" w:eastAsia="Arial" w:hAnsi="Arial"/>
                <w:sz w:val="14"/>
                <w:szCs w:val="14"/>
                <w:color w:val="auto"/>
              </w:rPr>
              <w:t>Less: Adjusted income tax expense</w:t>
            </w:r>
          </w:p>
        </w:tc>
        <w:tc>
          <w:tcPr>
            <w:tcW w:w="180" w:type="dxa"/>
            <w:vAlign w:val="bottom"/>
          </w:tcPr>
          <w:p>
            <w:pPr>
              <w:spacing w:after="0"/>
              <w:rPr>
                <w:sz w:val="16"/>
                <w:szCs w:val="16"/>
                <w:color w:val="auto"/>
              </w:rPr>
            </w:pPr>
          </w:p>
        </w:tc>
        <w:tc>
          <w:tcPr>
            <w:tcW w:w="1120" w:type="dxa"/>
            <w:vAlign w:val="bottom"/>
          </w:tcPr>
          <w:p>
            <w:pPr>
              <w:jc w:val="right"/>
              <w:ind w:right="127"/>
              <w:spacing w:after="0"/>
              <w:rPr>
                <w:sz w:val="20"/>
                <w:szCs w:val="20"/>
                <w:color w:val="auto"/>
              </w:rPr>
            </w:pPr>
            <w:r>
              <w:rPr>
                <w:rFonts w:ascii="Arial" w:cs="Arial" w:eastAsia="Arial" w:hAnsi="Arial"/>
                <w:sz w:val="14"/>
                <w:szCs w:val="14"/>
                <w:color w:val="auto"/>
              </w:rPr>
              <w:t>(7,152)</w:t>
            </w:r>
          </w:p>
        </w:tc>
        <w:tc>
          <w:tcPr>
            <w:tcW w:w="22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(13,854)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7"/>
              <w:spacing w:after="0"/>
              <w:rPr>
                <w:sz w:val="20"/>
                <w:szCs w:val="20"/>
                <w:color w:val="auto"/>
              </w:rPr>
            </w:pPr>
            <w:r>
              <w:rPr>
                <w:rFonts w:ascii="Arial" w:cs="Arial" w:eastAsia="Arial" w:hAnsi="Arial"/>
                <w:sz w:val="14"/>
                <w:szCs w:val="14"/>
                <w:color w:val="auto"/>
              </w:rPr>
              <w:t>(10,093)</w:t>
            </w:r>
          </w:p>
        </w:tc>
        <w:tc>
          <w:tcPr>
            <w:tcW w:w="26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(32,464)</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(10)</w:t>
            </w:r>
          </w:p>
        </w:tc>
        <w:tc>
          <w:tcPr>
            <w:tcW w:w="18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11,564</w:t>
            </w:r>
          </w:p>
        </w:tc>
        <w:tc>
          <w:tcPr>
            <w:tcW w:w="2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13,422</w:t>
            </w:r>
          </w:p>
        </w:tc>
        <w:tc>
          <w:tcPr>
            <w:tcW w:w="80" w:type="dxa"/>
            <w:vAlign w:val="bottom"/>
            <w:tcBorders>
              <w:bottom w:val="single" w:sz="8" w:color="B6B6B6"/>
            </w:tcBorders>
          </w:tcPr>
          <w:p>
            <w:pPr>
              <w:spacing w:after="0"/>
              <w:rPr>
                <w:sz w:val="18"/>
                <w:szCs w:val="18"/>
                <w:color w:val="auto"/>
              </w:rPr>
            </w:pPr>
          </w:p>
        </w:tc>
        <w:tc>
          <w:tcPr>
            <w:tcW w:w="18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13,470</w:t>
            </w:r>
          </w:p>
        </w:tc>
        <w:tc>
          <w:tcPr>
            <w:tcW w:w="26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41,345</w:t>
            </w:r>
          </w:p>
        </w:tc>
        <w:tc>
          <w:tcPr>
            <w:tcW w:w="0" w:type="dxa"/>
            <w:vAlign w:val="bottom"/>
          </w:tcPr>
          <w:p>
            <w:pPr>
              <w:spacing w:after="0"/>
              <w:rPr>
                <w:sz w:val="1"/>
                <w:szCs w:val="1"/>
                <w:color w:val="auto"/>
              </w:rPr>
            </w:pPr>
          </w:p>
        </w:tc>
      </w:tr>
      <w:tr>
        <w:trPr>
          <w:trHeight w:val="196"/>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17,127</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26,416</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68,552</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95,156</w:t>
            </w:r>
          </w:p>
        </w:tc>
        <w:tc>
          <w:tcPr>
            <w:tcW w:w="0" w:type="dxa"/>
            <w:vAlign w:val="bottom"/>
          </w:tcPr>
          <w:p>
            <w:pPr>
              <w:spacing w:after="0"/>
              <w:rPr>
                <w:sz w:val="1"/>
                <w:szCs w:val="1"/>
                <w:color w:val="auto"/>
              </w:rPr>
            </w:pPr>
          </w:p>
        </w:tc>
      </w:tr>
      <w:tr>
        <w:trPr>
          <w:trHeight w:val="356"/>
        </w:trPr>
        <w:tc>
          <w:tcPr>
            <w:tcW w:w="576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outstanding—GAAP</w:t>
            </w:r>
          </w:p>
        </w:tc>
        <w:tc>
          <w:tcPr>
            <w:tcW w:w="180" w:type="dxa"/>
            <w:vAlign w:val="bottom"/>
          </w:tcPr>
          <w:p>
            <w:pPr>
              <w:spacing w:after="0"/>
              <w:rPr>
                <w:sz w:val="24"/>
                <w:szCs w:val="24"/>
                <w:color w:val="auto"/>
              </w:rPr>
            </w:pPr>
          </w:p>
        </w:tc>
        <w:tc>
          <w:tcPr>
            <w:tcW w:w="1120" w:type="dxa"/>
            <w:vAlign w:val="bottom"/>
          </w:tcPr>
          <w:p>
            <w:pPr>
              <w:jc w:val="right"/>
              <w:ind w:right="167"/>
              <w:spacing w:after="0"/>
              <w:rPr>
                <w:sz w:val="20"/>
                <w:szCs w:val="20"/>
                <w:color w:val="auto"/>
              </w:rPr>
            </w:pPr>
            <w:r>
              <w:rPr>
                <w:rFonts w:ascii="Arial" w:cs="Arial" w:eastAsia="Arial" w:hAnsi="Arial"/>
                <w:sz w:val="14"/>
                <w:szCs w:val="14"/>
                <w:color w:val="auto"/>
              </w:rPr>
              <w:t>101,422,566</w:t>
            </w:r>
          </w:p>
        </w:tc>
        <w:tc>
          <w:tcPr>
            <w:tcW w:w="2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73,093,466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100,848,937</w:t>
            </w:r>
          </w:p>
        </w:tc>
        <w:tc>
          <w:tcPr>
            <w:tcW w:w="26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53,187,995</w:t>
            </w:r>
          </w:p>
        </w:tc>
        <w:tc>
          <w:tcPr>
            <w:tcW w:w="0" w:type="dxa"/>
            <w:vAlign w:val="bottom"/>
          </w:tcPr>
          <w:p>
            <w:pPr>
              <w:spacing w:after="0"/>
              <w:rPr>
                <w:sz w:val="1"/>
                <w:szCs w:val="1"/>
                <w:color w:val="auto"/>
              </w:rPr>
            </w:pPr>
          </w:p>
        </w:tc>
      </w:tr>
      <w:tr>
        <w:trPr>
          <w:trHeight w:val="158"/>
        </w:trPr>
        <w:tc>
          <w:tcPr>
            <w:tcW w:w="5760" w:type="dxa"/>
            <w:vAlign w:val="bottom"/>
          </w:tcPr>
          <w:p>
            <w:pPr>
              <w:ind w:left="20"/>
              <w:spacing w:after="0" w:line="159" w:lineRule="exact"/>
              <w:rPr>
                <w:sz w:val="20"/>
                <w:szCs w:val="20"/>
                <w:color w:val="auto"/>
              </w:rPr>
            </w:pPr>
            <w:r>
              <w:rPr>
                <w:rFonts w:ascii="Arial" w:cs="Arial" w:eastAsia="Arial" w:hAnsi="Arial"/>
                <w:sz w:val="14"/>
                <w:szCs w:val="14"/>
                <w:color w:val="auto"/>
              </w:rPr>
              <w:t>Weighted average number of incremental shares from assumed vesting of RSUs and</w:t>
            </w:r>
          </w:p>
        </w:tc>
        <w:tc>
          <w:tcPr>
            <w:tcW w:w="180" w:type="dxa"/>
            <w:vAlign w:val="bottom"/>
          </w:tcPr>
          <w:p>
            <w:pPr>
              <w:spacing w:after="0"/>
              <w:rPr>
                <w:sz w:val="13"/>
                <w:szCs w:val="13"/>
                <w:color w:val="auto"/>
              </w:rPr>
            </w:pPr>
          </w:p>
        </w:tc>
        <w:tc>
          <w:tcPr>
            <w:tcW w:w="1120" w:type="dxa"/>
            <w:vAlign w:val="bottom"/>
            <w:vMerge w:val="restart"/>
          </w:tcPr>
          <w:p>
            <w:pPr>
              <w:jc w:val="right"/>
              <w:ind w:right="1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00" w:type="dxa"/>
            <w:vAlign w:val="bottom"/>
            <w:vMerge w:val="restart"/>
          </w:tcPr>
          <w:p>
            <w:pPr>
              <w:jc w:val="right"/>
              <w:ind w:right="14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10,941,161</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(11)</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(12)</w:t>
            </w:r>
          </w:p>
        </w:tc>
        <w:tc>
          <w:tcPr>
            <w:tcW w:w="18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29,403,257</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34,924,483</w:t>
            </w:r>
          </w:p>
        </w:tc>
        <w:tc>
          <w:tcPr>
            <w:tcW w:w="0" w:type="dxa"/>
            <w:vAlign w:val="bottom"/>
          </w:tcPr>
          <w:p>
            <w:pPr>
              <w:spacing w:after="0"/>
              <w:rPr>
                <w:sz w:val="1"/>
                <w:szCs w:val="1"/>
                <w:color w:val="auto"/>
              </w:rPr>
            </w:pPr>
          </w:p>
        </w:tc>
      </w:tr>
      <w:tr>
        <w:trPr>
          <w:trHeight w:val="196"/>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180" w:type="dxa"/>
            <w:vAlign w:val="bottom"/>
            <w:shd w:val="clear" w:color="auto" w:fill="E3E1E9"/>
          </w:tcPr>
          <w:p>
            <w:pPr>
              <w:spacing w:after="0"/>
              <w:rPr>
                <w:sz w:val="17"/>
                <w:szCs w:val="17"/>
                <w:color w:val="auto"/>
              </w:rPr>
            </w:pP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101,422,566</w:t>
            </w:r>
          </w:p>
        </w:tc>
        <w:tc>
          <w:tcPr>
            <w:tcW w:w="22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102,496,723</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spacing w:after="0"/>
              <w:rPr>
                <w:sz w:val="17"/>
                <w:szCs w:val="17"/>
                <w:color w:val="auto"/>
              </w:rPr>
            </w:pP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100,848,937</w:t>
            </w:r>
          </w:p>
        </w:tc>
        <w:tc>
          <w:tcPr>
            <w:tcW w:w="260" w:type="dxa"/>
            <w:vAlign w:val="bottom"/>
            <w:shd w:val="clear" w:color="auto" w:fill="E3E1E9"/>
          </w:tcPr>
          <w:p>
            <w:pPr>
              <w:spacing w:after="0"/>
              <w:rPr>
                <w:sz w:val="17"/>
                <w:szCs w:val="17"/>
                <w:color w:val="auto"/>
              </w:rPr>
            </w:pP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99,053,639</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0.17</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0.26</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0.68</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369"/>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(13)</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8.5 %</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6.4 %</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rPr>
                <w:sz w:val="20"/>
                <w:szCs w:val="20"/>
                <w:color w:val="auto"/>
              </w:rPr>
            </w:pPr>
            <w:r>
              <w:rPr>
                <w:rFonts w:ascii="Arial" w:cs="Arial" w:eastAsia="Arial" w:hAnsi="Arial"/>
                <w:sz w:val="14"/>
                <w:szCs w:val="14"/>
                <w:color w:val="auto"/>
              </w:rPr>
              <w:t>Adjusted operating income margin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20" w:lineRule="auto"/>
        <w:tabs>
          <w:tab w:leader="none" w:pos="4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awards granted by PWP Professional Partners LP (the “Professional Partners Awards”), which were subject to the Vesting Acceleration in the second quarter of 2024. The vesting of these awards did not economically dilute PWP shareholders’ interests relative to the interests of other investors in PWP OpCo.</w:t>
      </w:r>
    </w:p>
    <w:p>
      <w:pPr>
        <w:spacing w:after="0" w:line="109" w:lineRule="exact"/>
        <w:rPr>
          <w:rFonts w:ascii="Arial" w:cs="Arial" w:eastAsia="Arial" w:hAnsi="Arial"/>
          <w:sz w:val="20"/>
          <w:szCs w:val="20"/>
          <w:color w:val="auto"/>
        </w:rPr>
      </w:pPr>
    </w:p>
    <w:p>
      <w:pPr>
        <w:jc w:val="both"/>
        <w:ind w:left="500" w:hanging="492"/>
        <w:spacing w:after="0" w:line="318" w:lineRule="auto"/>
        <w:tabs>
          <w:tab w:leader="none" w:pos="495" w:val="left"/>
        </w:tabs>
        <w:numPr>
          <w:ilvl w:val="0"/>
          <w:numId w:val="15"/>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a business combination that closed on June 24, 2021 (the “2021 Business Combination”), as well as employment taxes for these RSUs, PSUs, and certain Professional Partners Awards. These expenses were outside of PWP’s normal and recurring bonus and compensation processes.</w:t>
      </w: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9" w:lineRule="auto"/>
        <w:tabs>
          <w:tab w:leader="none" w:pos="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2" w:right="339" w:bottom="1440" w:gutter="0" w:footer="0" w:header="0"/>
        </w:sectPr>
      </w:pPr>
    </w:p>
    <w:bookmarkStart w:id="13" w:name="page14"/>
    <w:bookmarkEnd w:id="1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ind w:left="500" w:hanging="492"/>
        <w:spacing w:after="0" w:line="316"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13" w:lineRule="exact"/>
        <w:rPr>
          <w:rFonts w:ascii="Arial" w:cs="Arial" w:eastAsia="Arial" w:hAnsi="Arial"/>
          <w:sz w:val="20"/>
          <w:szCs w:val="20"/>
          <w:color w:val="auto"/>
        </w:rPr>
      </w:pPr>
    </w:p>
    <w:p>
      <w:pPr>
        <w:jc w:val="both"/>
        <w:ind w:left="500" w:right="20" w:hanging="492"/>
        <w:spacing w:after="0" w:line="326"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Acquisition related incentives includes retention bonus payments and equity-based compensation for RSUs granted in conjunction with the acquisition of Devon Park Advisors (“Devon Park”), as well as associated employment taxes. These expenses were outside of PWP’s normal and recurring bonus and compensation processes.</w:t>
      </w:r>
    </w:p>
    <w:p>
      <w:pPr>
        <w:spacing w:after="0" w:line="88"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adjustment reflects the amortization of intangible assets associated with the Tudor, Pickering, Holt &amp; Co., LLC (TPH) and Devon Park business combinations. This adjustment was previously referred to as “TPH business combination related expenses” in previous releases.</w:t>
      </w:r>
    </w:p>
    <w:p>
      <w:pPr>
        <w:spacing w:after="0" w:line="102" w:lineRule="exact"/>
        <w:rPr>
          <w:rFonts w:ascii="Arial" w:cs="Arial" w:eastAsia="Arial" w:hAnsi="Arial"/>
          <w:sz w:val="20"/>
          <w:szCs w:val="20"/>
          <w:color w:val="auto"/>
        </w:rPr>
      </w:pPr>
    </w:p>
    <w:p>
      <w:pPr>
        <w:jc w:val="both"/>
        <w:ind w:left="500" w:right="100" w:hanging="492"/>
        <w:spacing w:after="0" w:line="320"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Business combination transaction costs that were expensed associated with (i) the 2021 Business Combination, including equity-based vesting for transaction-related RSUs issued to non-employees and costs incurred related to the partnership restructuring that was contemplated during the implementation of the up-C structure at the time of the 2021 Business Combination and (ii) the acquisition of Devon Park.</w:t>
      </w:r>
    </w:p>
    <w:p>
      <w:pPr>
        <w:spacing w:after="0" w:line="109"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73" w:lineRule="exact"/>
        <w:rPr>
          <w:rFonts w:ascii="Arial" w:cs="Arial" w:eastAsia="Arial" w:hAnsi="Arial"/>
          <w:sz w:val="20"/>
          <w:szCs w:val="20"/>
          <w:color w:val="auto"/>
        </w:rPr>
      </w:pPr>
    </w:p>
    <w:p>
      <w:pPr>
        <w:jc w:val="both"/>
        <w:ind w:left="500" w:hanging="492"/>
        <w:spacing w:after="0" w:line="318"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Includes the amortization of debt discounts and issuance costs for all periods presented and minimal charges related to the Vesting Acceleration for the twelve months ended December 31, 2024. For the three and twelve months ended December 31, 2025, it includes (i) the fair value adjustments to the liability-classified contingent consideration recognized in the Devon Park acquisition and (ii) a reclassification of the earnings impact of adjustments to the tax receivable agreement (TRA) liability from non-operating income (expenses) to adjusted income tax expense.</w:t>
      </w:r>
    </w:p>
    <w:p>
      <w:pPr>
        <w:spacing w:after="0" w:line="109"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adjusted income tax expense represents the Company’s calculated tax expense on adjusted non-GAAP results. It excludes the impact on income taxes of certain transaction-related items and other items not reflected in our adjusted non-GAAP results. It periodically includes the tax impact related to the reclassification of TRA liability adjustments. It does not represent the cash that the Company expects to pay for taxes in the current periods.</w:t>
      </w:r>
    </w:p>
    <w:p>
      <w:pPr>
        <w:spacing w:after="0" w:line="109" w:lineRule="exact"/>
        <w:rPr>
          <w:rFonts w:ascii="Arial" w:cs="Arial" w:eastAsia="Arial" w:hAnsi="Arial"/>
          <w:sz w:val="20"/>
          <w:szCs w:val="20"/>
          <w:color w:val="auto"/>
        </w:rPr>
      </w:pPr>
    </w:p>
    <w:p>
      <w:pPr>
        <w:jc w:val="both"/>
        <w:ind w:left="500" w:hanging="492"/>
        <w:spacing w:after="0" w:line="326" w:lineRule="auto"/>
        <w:tabs>
          <w:tab w:leader="none" w:pos="497"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if-converted income tax expense represents the Company's calculated tax expense on adjusted non-GAAP results assuming the exchange of all PWP OpCo units for PWP Class A common stock, resulting in all of the Company’s results for the period being subject to corporate-level tax.</w:t>
      </w:r>
    </w:p>
    <w:p>
      <w:pPr>
        <w:spacing w:after="0" w:line="88" w:lineRule="exact"/>
        <w:rPr>
          <w:rFonts w:ascii="Arial" w:cs="Arial" w:eastAsia="Arial" w:hAnsi="Arial"/>
          <w:sz w:val="20"/>
          <w:szCs w:val="20"/>
          <w:color w:val="auto"/>
        </w:rPr>
      </w:pPr>
    </w:p>
    <w:p>
      <w:pPr>
        <w:ind w:left="480" w:hanging="472"/>
        <w:spacing w:after="0"/>
        <w:tabs>
          <w:tab w:leader="none" w:pos="4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Represents the dilutive impact under the treasury stock method of unvested RSUs and PSUs.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ind w:left="492" w:hanging="492"/>
        <w:spacing w:after="0"/>
        <w:tabs>
          <w:tab w:leader="none" w:pos="492"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the dilutive impact assuming the conversion of all PWP OpCo units to shares of Class A common stock.</w:t>
      </w:r>
    </w:p>
    <w:p>
      <w:pPr>
        <w:spacing w:after="0" w:line="215" w:lineRule="exact"/>
        <w:rPr>
          <w:rFonts w:ascii="Arial" w:cs="Arial" w:eastAsia="Arial" w:hAnsi="Arial"/>
          <w:sz w:val="20"/>
          <w:szCs w:val="20"/>
          <w:color w:val="auto"/>
        </w:rPr>
      </w:pPr>
    </w:p>
    <w:p>
      <w:pPr>
        <w:ind w:left="492" w:hanging="492"/>
        <w:spacing w:after="0"/>
        <w:tabs>
          <w:tab w:leader="none" w:pos="492"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8" w:firstLine="8"/>
        <w:spacing w:after="0" w:line="259" w:lineRule="auto"/>
        <w:tabs>
          <w:tab w:leader="none" w:pos="88"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32"/>
          </w:cols>
          <w:pgMar w:left="328" w:top="1440" w:right="3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80" w:type="dxa"/>
            <w:vAlign w:val="bottom"/>
            <w:tcBorders>
              <w:bottom w:val="single" w:sz="8" w:color="B6B6B6"/>
            </w:tcBorders>
            <w:gridSpan w:val="4"/>
          </w:tcPr>
          <w:p>
            <w:pPr>
              <w:jc w:val="right"/>
              <w:ind w:right="48"/>
              <w:spacing w:after="0"/>
              <w:rPr>
                <w:sz w:val="20"/>
                <w:szCs w:val="20"/>
                <w:color w:val="auto"/>
              </w:rPr>
            </w:pPr>
            <w:r>
              <w:rPr>
                <w:rFonts w:ascii="Arial" w:cs="Arial" w:eastAsia="Arial" w:hAnsi="Arial"/>
                <w:sz w:val="14"/>
                <w:szCs w:val="14"/>
                <w:b w:val="1"/>
                <w:bCs w:val="1"/>
                <w:color w:val="503C64"/>
              </w:rPr>
              <w:t>Three Months Ended December 31, 2025</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8,148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(86)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8,062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9,890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9,890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5,637</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6,328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6,328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3,422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3,422</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5,755</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(2,254)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20"/>
                <w:szCs w:val="20"/>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3,501</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39,180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(2,340)</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36,840</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80" w:type="dxa"/>
            <w:vAlign w:val="bottom"/>
            <w:tcBorders>
              <w:bottom w:val="single" w:sz="8" w:color="B6B6B6"/>
            </w:tcBorders>
            <w:gridSpan w:val="4"/>
          </w:tcPr>
          <w:p>
            <w:pPr>
              <w:jc w:val="right"/>
              <w:ind w:right="48"/>
              <w:spacing w:after="0"/>
              <w:rPr>
                <w:sz w:val="20"/>
                <w:szCs w:val="20"/>
                <w:color w:val="auto"/>
              </w:rPr>
            </w:pPr>
            <w:r>
              <w:rPr>
                <w:rFonts w:ascii="Arial" w:cs="Arial" w:eastAsia="Arial" w:hAnsi="Arial"/>
                <w:sz w:val="14"/>
                <w:szCs w:val="14"/>
                <w:b w:val="1"/>
                <w:bCs w:val="1"/>
                <w:color w:val="503C64"/>
              </w:rPr>
              <w:t>Three Months Ended December 31, 2024</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17,092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(286) </w:t>
            </w:r>
            <w:r>
              <w:rPr>
                <w:rFonts w:ascii="Arial" w:cs="Arial" w:eastAsia="Arial" w:hAnsi="Arial"/>
                <w:sz w:val="12"/>
                <w:szCs w:val="12"/>
                <w:color w:val="auto"/>
              </w:rPr>
              <w:t>(3)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16,806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8,972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8,972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6,018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6,018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6,041</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6,041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5,055</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5,055</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5,061</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(4)</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3,416</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48,239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(1,931)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46,308</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3880" w:type="dxa"/>
            <w:vAlign w:val="bottom"/>
            <w:tcBorders>
              <w:bottom w:val="single" w:sz="8" w:color="B6B6B6"/>
            </w:tcBorders>
            <w:gridSpan w:val="4"/>
          </w:tcPr>
          <w:p>
            <w:pPr>
              <w:jc w:val="center"/>
              <w:ind w:left="768"/>
              <w:spacing w:after="0"/>
              <w:rPr>
                <w:sz w:val="20"/>
                <w:szCs w:val="20"/>
                <w:color w:val="auto"/>
              </w:rPr>
            </w:pPr>
            <w:r>
              <w:rPr>
                <w:rFonts w:ascii="Arial" w:cs="Arial" w:eastAsia="Arial" w:hAnsi="Arial"/>
                <w:sz w:val="14"/>
                <w:szCs w:val="14"/>
                <w:b w:val="1"/>
                <w:bCs w:val="1"/>
                <w:color w:val="503C64"/>
              </w:rPr>
              <w:t>Twelve Months Ended December 31, 2025</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648"/>
              <w:spacing w:after="0"/>
              <w:rPr>
                <w:sz w:val="20"/>
                <w:szCs w:val="20"/>
                <w:color w:val="auto"/>
              </w:rPr>
            </w:pPr>
            <w:r>
              <w:rPr>
                <w:rFonts w:ascii="Arial" w:cs="Arial" w:eastAsia="Arial" w:hAnsi="Arial"/>
                <w:sz w:val="14"/>
                <w:szCs w:val="14"/>
                <w:b w:val="1"/>
                <w:bCs w:val="1"/>
                <w:color w:val="503C64"/>
              </w:rPr>
              <w:t>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43,456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(1,066) </w:t>
            </w:r>
            <w:r>
              <w:rPr>
                <w:rFonts w:ascii="Arial" w:cs="Arial" w:eastAsia="Arial" w:hAnsi="Arial"/>
                <w:sz w:val="12"/>
                <w:szCs w:val="12"/>
                <w:color w:val="auto"/>
              </w:rPr>
              <w:t>(1)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42,390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38,004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38,004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24,533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24,533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22,719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22,719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17,996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17,996</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20,832</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(7,189)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13,643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167,540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(8,255)</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159,285</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00" w:type="dxa"/>
            <w:vAlign w:val="bottom"/>
            <w:tcBorders>
              <w:bottom w:val="single" w:sz="8" w:color="B6B6B6"/>
            </w:tcBorders>
          </w:tcPr>
          <w:p>
            <w:pPr>
              <w:spacing w:after="0"/>
              <w:rPr>
                <w:sz w:val="17"/>
                <w:szCs w:val="17"/>
                <w:color w:val="auto"/>
              </w:rPr>
            </w:pPr>
          </w:p>
        </w:tc>
        <w:tc>
          <w:tcPr>
            <w:tcW w:w="3240" w:type="dxa"/>
            <w:vAlign w:val="bottom"/>
            <w:tcBorders>
              <w:bottom w:val="single" w:sz="8" w:color="B6B6B6"/>
            </w:tcBorders>
            <w:gridSpan w:val="4"/>
          </w:tcPr>
          <w:p>
            <w:pPr>
              <w:jc w:val="center"/>
              <w:ind w:left="128"/>
              <w:spacing w:after="0"/>
              <w:rPr>
                <w:sz w:val="20"/>
                <w:szCs w:val="20"/>
                <w:color w:val="auto"/>
              </w:rPr>
            </w:pPr>
            <w:r>
              <w:rPr>
                <w:rFonts w:ascii="Arial" w:cs="Arial" w:eastAsia="Arial" w:hAnsi="Arial"/>
                <w:sz w:val="14"/>
                <w:szCs w:val="14"/>
                <w:b w:val="1"/>
                <w:bCs w:val="1"/>
                <w:color w:val="503C64"/>
              </w:rPr>
              <w:t>Twelve Months Ended December 31, 2024</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4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49,262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(3,340) </w:t>
            </w:r>
            <w:r>
              <w:rPr>
                <w:rFonts w:ascii="Arial" w:cs="Arial" w:eastAsia="Arial" w:hAnsi="Arial"/>
                <w:sz w:val="12"/>
                <w:szCs w:val="12"/>
                <w:color w:val="auto"/>
              </w:rPr>
              <w:t>(3)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45,922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35,721</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35,721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24,325</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24,325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19,823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19,823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22,824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22,824</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B6B6B6"/>
            </w:tcBorders>
          </w:tcPr>
          <w:p>
            <w:pPr>
              <w:spacing w:after="0"/>
              <w:rPr>
                <w:sz w:val="17"/>
                <w:szCs w:val="17"/>
                <w:color w:val="auto"/>
              </w:rPr>
            </w:pPr>
          </w:p>
        </w:tc>
        <w:tc>
          <w:tcPr>
            <w:tcW w:w="7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20,379</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(6,580) </w:t>
            </w:r>
            <w:r>
              <w:rPr>
                <w:rFonts w:ascii="Arial" w:cs="Arial" w:eastAsia="Arial" w:hAnsi="Arial"/>
                <w:sz w:val="12"/>
                <w:szCs w:val="12"/>
                <w:color w:val="auto"/>
              </w:rPr>
              <w:t>(4)</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13,799</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172,334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(9,920)</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162,414</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transaction and integration costs associated with the Devon Park acquisition.</w:t>
      </w:r>
    </w:p>
    <w:p>
      <w:pPr>
        <w:spacing w:after="0" w:line="15"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and Devon Park business combinations.</w:t>
      </w:r>
    </w:p>
    <w:p>
      <w:pPr>
        <w:spacing w:after="0" w:line="14"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2021 Business Combination.</w:t>
      </w:r>
    </w:p>
    <w:p>
      <w:pPr>
        <w:spacing w:after="0" w:line="14"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3"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2"/>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2026-02-06T07:47:50Z</dcterms:created>
  <dcterms:modified xsi:type="dcterms:W3CDTF">2026-02-06T07:47:50Z</dcterms:modified>
</cp:coreProperties>
</file>