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 2024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2024, Perella Weinberg Partners (the “Company”) issued a press release announcing its financial results for the fiscal quarter ended March 31, 2024.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May 3, 2024</w:t>
            </w:r>
          </w:p>
        </w:tc>
        <w:tc>
          <w:tcPr>
            <w:tcW w:w="57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7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First Quarter 2024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First Quarter</w:t>
      </w:r>
    </w:p>
    <w:p>
      <w:pPr>
        <w:spacing w:after="0" w:line="19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$102 Million, Down 22%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Pre-Tax Loss of $(18) Million, GAAP Pre-Tax Loss of $(51)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$(0.10); GAAP Diluted EPS of $(0.91)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Strong Balance Sheet with $157 Million of Cash and No Debt</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Repurchased Approximately 2 Million Share Equivalents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Returned $32 Million in Total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40" w:right="140"/>
        <w:spacing w:after="0" w:line="320" w:lineRule="auto"/>
        <w:rPr>
          <w:sz w:val="20"/>
          <w:szCs w:val="20"/>
          <w:color w:val="auto"/>
        </w:rPr>
      </w:pPr>
      <w:r>
        <w:rPr>
          <w:rFonts w:ascii="Arial" w:cs="Arial" w:eastAsia="Arial" w:hAnsi="Arial"/>
          <w:sz w:val="20"/>
          <w:szCs w:val="20"/>
          <w:color w:val="auto"/>
        </w:rPr>
        <w:t>“Momentum continued across our businesses during the quarter. We advised on three of the fifteen announced transactions year-to-date valued over $10 billion and our announced and pending transaction revenue backlog today is at a record high. We remain focused on executing our clear and simple strategy to scale our business as we continue to advise our clients on their most pressing strategic and financial priorities,”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480"/>
        <w:spacing w:after="0" w:line="344" w:lineRule="auto"/>
        <w:rPr>
          <w:sz w:val="20"/>
          <w:szCs w:val="20"/>
          <w:color w:val="auto"/>
        </w:rPr>
      </w:pPr>
      <w:r>
        <w:rPr>
          <w:rFonts w:ascii="Arial" w:cs="Arial" w:eastAsia="Arial" w:hAnsi="Arial"/>
          <w:sz w:val="20"/>
          <w:szCs w:val="20"/>
          <w:b w:val="1"/>
          <w:bCs w:val="1"/>
          <w:color w:val="auto"/>
        </w:rPr>
        <w:t xml:space="preserve">NEW YORK, NY, May 3, 2024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first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99"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For the first quarter of 2024, revenues were $102.1 million, a decrease of 22% from $131.4 million for the first quarter of 2023. Revenues attributed to financing and capital solutions were relatively flat year-over-year, while mergers and acquisition revenues were down, primarily due to elongated transaction closing timelines in the current period.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45"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240" w:type="dxa"/>
            <w:vAlign w:val="bottom"/>
            <w:tcBorders>
              <w:bottom w:val="single" w:sz="8" w:color="B6B6B6"/>
            </w:tcBorders>
          </w:tcPr>
          <w:p>
            <w:pPr>
              <w:spacing w:after="0"/>
              <w:rPr>
                <w:sz w:val="20"/>
                <w:szCs w:val="20"/>
                <w:color w:val="auto"/>
              </w:rPr>
            </w:pPr>
          </w:p>
        </w:tc>
        <w:tc>
          <w:tcPr>
            <w:tcW w:w="720" w:type="dxa"/>
            <w:vAlign w:val="bottom"/>
            <w:tcBorders>
              <w:bottom w:val="single" w:sz="8" w:color="B6B6B6"/>
            </w:tcBorders>
          </w:tcPr>
          <w:p>
            <w:pPr>
              <w:spacing w:after="0"/>
              <w:rPr>
                <w:sz w:val="20"/>
                <w:szCs w:val="20"/>
                <w:color w:val="auto"/>
              </w:rPr>
            </w:pPr>
          </w:p>
        </w:tc>
        <w:tc>
          <w:tcPr>
            <w:tcW w:w="2980" w:type="dxa"/>
            <w:vAlign w:val="bottom"/>
            <w:tcBorders>
              <w:bottom w:val="single" w:sz="8" w:color="B6B6B6"/>
            </w:tcBorders>
            <w:gridSpan w:val="5"/>
          </w:tcPr>
          <w:p>
            <w:pPr>
              <w:jc w:val="right"/>
              <w:ind w:right="70"/>
              <w:spacing w:after="0"/>
              <w:rPr>
                <w:sz w:val="20"/>
                <w:szCs w:val="20"/>
                <w:color w:val="auto"/>
              </w:rPr>
            </w:pPr>
            <w:r>
              <w:rPr>
                <w:rFonts w:ascii="Arial" w:cs="Arial" w:eastAsia="Arial" w:hAnsi="Arial"/>
                <w:sz w:val="18"/>
                <w:szCs w:val="18"/>
                <w:b w:val="1"/>
                <w:bCs w:val="1"/>
                <w:color w:val="503C64"/>
              </w:rPr>
              <w:t>Three Months Ended March 31,</w:t>
            </w:r>
          </w:p>
        </w:tc>
        <w:tc>
          <w:tcPr>
            <w:tcW w:w="9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8"/>
                <w:szCs w:val="18"/>
                <w:b w:val="1"/>
                <w:bCs w:val="1"/>
                <w:color w:val="503C64"/>
              </w:rPr>
              <w:t>2024</w:t>
            </w:r>
          </w:p>
        </w:tc>
        <w:tc>
          <w:tcPr>
            <w:tcW w:w="960" w:type="dxa"/>
            <w:vAlign w:val="bottom"/>
            <w:tcBorders>
              <w:bottom w:val="single" w:sz="8" w:color="B6B6B6"/>
            </w:tcBorders>
          </w:tcPr>
          <w:p>
            <w:pPr>
              <w:spacing w:after="0"/>
              <w:rPr>
                <w:sz w:val="19"/>
                <w:szCs w:val="19"/>
                <w:color w:val="auto"/>
              </w:rPr>
            </w:pPr>
          </w:p>
        </w:tc>
        <w:tc>
          <w:tcPr>
            <w:tcW w:w="300" w:type="dxa"/>
            <w:vAlign w:val="bottom"/>
            <w:tcBorders>
              <w:bottom w:val="single" w:sz="8" w:color="B6B6B6"/>
            </w:tcBorders>
          </w:tcPr>
          <w:p>
            <w:pPr>
              <w:spacing w:after="0"/>
              <w:rPr>
                <w:sz w:val="19"/>
                <w:szCs w:val="19"/>
                <w:color w:val="auto"/>
              </w:rPr>
            </w:pPr>
          </w:p>
        </w:tc>
        <w:tc>
          <w:tcPr>
            <w:tcW w:w="12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2023</w:t>
            </w:r>
          </w:p>
        </w:tc>
        <w:tc>
          <w:tcPr>
            <w:tcW w:w="9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400" w:type="dxa"/>
            <w:vAlign w:val="bottom"/>
            <w:vMerge w:val="restart"/>
          </w:tcPr>
          <w:p>
            <w:pPr>
              <w:jc w:val="center"/>
              <w:ind w:right="35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jc w:val="right"/>
              <w:ind w:right="94"/>
              <w:spacing w:after="0"/>
              <w:rPr>
                <w:sz w:val="20"/>
                <w:szCs w:val="20"/>
                <w:color w:val="auto"/>
              </w:rPr>
            </w:pPr>
            <w:r>
              <w:rPr>
                <w:rFonts w:ascii="Arial" w:cs="Arial" w:eastAsia="Arial" w:hAnsi="Arial"/>
                <w:sz w:val="14"/>
                <w:szCs w:val="14"/>
                <w:b w:val="1"/>
                <w:bCs w:val="1"/>
                <w:color w:val="503C64"/>
              </w:rPr>
              <w:t>GAAP</w:t>
            </w:r>
          </w:p>
        </w:tc>
        <w:tc>
          <w:tcPr>
            <w:tcW w:w="5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3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3"/>
              <w:spacing w:after="0"/>
              <w:rPr>
                <w:sz w:val="20"/>
                <w:szCs w:val="20"/>
                <w:color w:val="auto"/>
              </w:rPr>
            </w:pPr>
            <w:r>
              <w:rPr>
                <w:rFonts w:ascii="Arial" w:cs="Arial" w:eastAsia="Arial" w:hAnsi="Arial"/>
                <w:sz w:val="14"/>
                <w:szCs w:val="14"/>
                <w:b w:val="1"/>
                <w:bCs w:val="1"/>
                <w:color w:val="503C64"/>
              </w:rPr>
              <w:t>GAAP</w:t>
            </w:r>
          </w:p>
        </w:tc>
        <w:tc>
          <w:tcPr>
            <w:tcW w:w="26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17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5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2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0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86.1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117.6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7"/>
        </w:trPr>
        <w:tc>
          <w:tcPr>
            <w:tcW w:w="5400" w:type="dxa"/>
            <w:vAlign w:val="bottom"/>
          </w:tcPr>
          <w:p>
            <w:pPr>
              <w:jc w:val="center"/>
              <w:ind w:right="357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113 %</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65 %</w:t>
            </w:r>
          </w:p>
        </w:tc>
        <w:tc>
          <w:tcPr>
            <w:tcW w:w="0" w:type="dxa"/>
            <w:vAlign w:val="bottom"/>
          </w:tcPr>
          <w:p>
            <w:pPr>
              <w:spacing w:after="0"/>
              <w:rPr>
                <w:sz w:val="1"/>
                <w:szCs w:val="1"/>
                <w:color w:val="auto"/>
              </w:rPr>
            </w:pPr>
          </w:p>
        </w:tc>
      </w:tr>
      <w:tr>
        <w:trPr>
          <w:trHeight w:val="232"/>
        </w:trPr>
        <w:tc>
          <w:tcPr>
            <w:tcW w:w="540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37.0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36.5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7"/>
        </w:trPr>
        <w:tc>
          <w:tcPr>
            <w:tcW w:w="5400" w:type="dxa"/>
            <w:vAlign w:val="bottom"/>
          </w:tcPr>
          <w:p>
            <w:pPr>
              <w:jc w:val="center"/>
              <w:ind w:right="357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39 %</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28 %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total compensation and benefits were $115.4 million for the first quarter of 2024, compared to $117.6 million for the first quarter of 2023. Adjusted total compensation and benefits were $86.1 million for the first quarter of 2024, compared to $85.4 million for the same period a year ago. The higher compensation margin seen on both a GAAP and adjusted basis was driven by a year-over-year increase in equity amortization expense related to the phase-in of our annual equity awards, partially offset by a lower bonus accrual compared to last year, combined with the impact of a lower revenue quarter.</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non-compensation expenses were $40.3 million for the first quarter of 2024, compared to $36.5 million for the first quarter of 2023. Adjusted non-compensation expenses were $37.0 million for the first quarter of 2024, compared to $34.5 million for the same period a year ago. The increase in both GAAP non-compensation expenses and adjusted non-compensation expenses was largely driven by an increase in legal spend as well as depreciation expense tied to our New York and London office renovation and relocation, partially offset by lower rent and occupancy costs associated with the end of overlapping rent periods and a decline in some general, administrative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8"/>
        <w:spacing w:after="0" w:line="259"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56.7% of the operating partnership (PWP Holdings LP)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(loss), we have presented our results as if all partnership units had been converted to shares of Class A Common Stock, and as if all of our adjusted results for the period were subject to U.S. corporate income tax. For the three months ended March 31, 2024, the adjusted if-converted tax benefit of $8.9 million included a benefit of $2.9 million from the vesting of restricted stock units at a share price higher than the grant price. Excluding the RSU tax benefit, the adjusted effective tax rate for the period would have been 32%.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March 31, 2024, PWP had $156.7 million of cash with no outstanding indebtedness and an undrawn revolving credit facility.</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During the three months ended March 31, 2024, PWP returned $32.2 million in aggregate to our equity holders through (i) the net settlement of 1,872,154 share equivalents to satisfy statutory tax withholding obligations at an average price per share of $13.12 for $24.5 million, (ii) the payment of $2.9 million in distributions to limited partners and (iii) the payment of dividends of $4.8 million on Class A common stock.</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During the three months ended March 31, 2024, PWP made $11.1 million of cash payments related to the business realignment initiative undertaken in 2023.</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June 10, 2024 to Class A common stockholders of record on 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May 3, 2024 at 9:00 am ET to discuss Perella Weinberg’s financial results for the first quarter ended March 31, 2024.</w:t>
      </w:r>
    </w:p>
    <w:p>
      <w:pPr>
        <w:spacing w:after="0" w:line="290" w:lineRule="exact"/>
        <w:rPr>
          <w:sz w:val="20"/>
          <w:szCs w:val="20"/>
          <w:color w:val="auto"/>
        </w:rPr>
      </w:pPr>
    </w:p>
    <w:p>
      <w:pPr>
        <w:ind w:right="20"/>
        <w:spacing w:after="0" w:line="342" w:lineRule="auto"/>
        <w:rPr>
          <w:sz w:val="20"/>
          <w:szCs w:val="20"/>
          <w:color w:val="auto"/>
        </w:rPr>
      </w:pPr>
      <w:r>
        <w:rPr>
          <w:rFonts w:ascii="Arial" w:cs="Arial" w:eastAsia="Arial" w:hAnsi="Arial"/>
          <w:sz w:val="20"/>
          <w:szCs w:val="20"/>
          <w:color w:val="auto"/>
        </w:rPr>
        <w:t>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Domestic: (800) 343-4136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International: (203) 518-9848</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Conference ID: PWPQ124</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May 10, 2024. To access the replay, dial (800) 925-9527 (Domestic) or (402) 220-5388 (International). The replay can also be accessed on the Investors section of PWP’s website at https://investors.pwpartners.com/.</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May 3, 2024,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more than 650 employees, Perella Weinberg currently maintains offices in New York, London, Houston, San Francisco, Paris, Los Angeles, Chicago, Calgary, Denver, and Munich. The financial information of PWP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2"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23, 2024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Borders>
              <w:bottom w:val="single" w:sz="8" w:color="B6B6B6"/>
            </w:tcBorders>
          </w:tcPr>
          <w:p>
            <w:pPr>
              <w:spacing w:after="0"/>
              <w:rPr>
                <w:sz w:val="18"/>
                <w:szCs w:val="18"/>
                <w:color w:val="auto"/>
              </w:rPr>
            </w:pPr>
          </w:p>
        </w:tc>
        <w:tc>
          <w:tcPr>
            <w:tcW w:w="80" w:type="dxa"/>
            <w:vAlign w:val="bottom"/>
            <w:tcBorders>
              <w:bottom w:val="single" w:sz="8" w:color="B6B6B6"/>
            </w:tcBorders>
          </w:tcPr>
          <w:p>
            <w:pPr>
              <w:spacing w:after="0"/>
              <w:rPr>
                <w:sz w:val="18"/>
                <w:szCs w:val="18"/>
                <w:color w:val="auto"/>
              </w:rPr>
            </w:pPr>
          </w:p>
        </w:tc>
        <w:tc>
          <w:tcPr>
            <w:tcW w:w="120" w:type="dxa"/>
            <w:vAlign w:val="bottom"/>
            <w:tcBorders>
              <w:top w:val="single" w:sz="8" w:color="B6B6B6"/>
              <w:bottom w:val="single" w:sz="8" w:color="B6B6B6"/>
            </w:tcBorders>
          </w:tcPr>
          <w:p>
            <w:pPr>
              <w:spacing w:after="0"/>
              <w:rPr>
                <w:sz w:val="18"/>
                <w:szCs w:val="18"/>
                <w:color w:val="auto"/>
              </w:rPr>
            </w:pPr>
          </w:p>
        </w:tc>
        <w:tc>
          <w:tcPr>
            <w:tcW w:w="1080" w:type="dxa"/>
            <w:vAlign w:val="bottom"/>
            <w:tcBorders>
              <w:top w:val="single" w:sz="8" w:color="B6B6B6"/>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B6B6B6"/>
              <w:bottom w:val="single" w:sz="8" w:color="B6B6B6"/>
            </w:tcBorders>
          </w:tcPr>
          <w:p>
            <w:pPr>
              <w:spacing w:after="0"/>
              <w:rPr>
                <w:sz w:val="18"/>
                <w:szCs w:val="18"/>
                <w:color w:val="auto"/>
              </w:rPr>
            </w:pPr>
          </w:p>
        </w:tc>
        <w:tc>
          <w:tcPr>
            <w:tcW w:w="960" w:type="dxa"/>
            <w:vAlign w:val="bottom"/>
            <w:tcBorders>
              <w:top w:val="single" w:sz="8" w:color="B6B6B6"/>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r>
      <w:tr>
        <w:trPr>
          <w:trHeight w:val="211"/>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102,127</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131,426</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87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68,590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69,963</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46,807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47,671</w:t>
            </w:r>
          </w:p>
        </w:tc>
      </w:tr>
      <w:tr>
        <w:trPr>
          <w:trHeight w:val="216"/>
        </w:trPr>
        <w:tc>
          <w:tcPr>
            <w:tcW w:w="87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115,397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117,634</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11,060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7,553</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8,772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8,512</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7,414</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4,585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4,774</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4,519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5,394</w:t>
            </w:r>
          </w:p>
        </w:tc>
      </w:tr>
      <w:tr>
        <w:trPr>
          <w:trHeight w:val="217"/>
        </w:trPr>
        <w:tc>
          <w:tcPr>
            <w:tcW w:w="87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5,080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2,835</w:t>
            </w:r>
          </w:p>
        </w:tc>
      </w:tr>
      <w:tr>
        <w:trPr>
          <w:trHeight w:val="217"/>
        </w:trPr>
        <w:tc>
          <w:tcPr>
            <w:tcW w:w="87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155,690</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154,116</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(53,563)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(22,690)</w:t>
            </w:r>
          </w:p>
        </w:tc>
      </w:tr>
      <w:tr>
        <w:trPr>
          <w:trHeight w:val="216"/>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876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6"/>
        </w:trPr>
        <w:tc>
          <w:tcPr>
            <w:tcW w:w="87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2,657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87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2,657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7"/>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(50,906)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(22,134)</w:t>
            </w:r>
          </w:p>
        </w:tc>
      </w:tr>
      <w:tr>
        <w:trPr>
          <w:trHeight w:val="216"/>
        </w:trPr>
        <w:tc>
          <w:tcPr>
            <w:tcW w:w="87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19,094</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5,286</w:t>
            </w:r>
          </w:p>
        </w:tc>
      </w:tr>
      <w:tr>
        <w:trPr>
          <w:trHeight w:val="210"/>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(27,420)</w:t>
            </w:r>
          </w:p>
        </w:tc>
      </w:tr>
      <w:tr>
        <w:trPr>
          <w:trHeight w:val="217"/>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(34,156)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(22,297)</w:t>
            </w:r>
          </w:p>
        </w:tc>
      </w:tr>
      <w:tr>
        <w:trPr>
          <w:trHeight w:val="216"/>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(35,844)</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(5,123)</w:t>
            </w:r>
          </w:p>
        </w:tc>
      </w:tr>
      <w:tr>
        <w:trPr>
          <w:trHeight w:val="216"/>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(0.73)</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(0.12)</w:t>
            </w: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(0.91)</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(0.37)</w:t>
            </w:r>
          </w:p>
        </w:tc>
      </w:tr>
      <w:tr>
        <w:trPr>
          <w:trHeight w:val="218"/>
        </w:trPr>
        <w:tc>
          <w:tcPr>
            <w:tcW w:w="87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49,200,283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42,317,827</w:t>
            </w:r>
          </w:p>
        </w:tc>
      </w:tr>
      <w:tr>
        <w:trPr>
          <w:trHeight w:val="217"/>
        </w:trPr>
        <w:tc>
          <w:tcPr>
            <w:tcW w:w="87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90,519,358</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86,611,018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2" w:right="3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352" w:type="dxa"/>
        <w:tblCellMar>
          <w:top w:w="0" w:type="dxa"/>
          <w:left w:w="0" w:type="dxa"/>
          <w:bottom w:w="0" w:type="dxa"/>
          <w:right w:w="0" w:type="dxa"/>
        </w:tblCellMar>
      </w:tblPr>
      <w:tr>
        <w:trPr>
          <w:trHeight w:val="215"/>
        </w:trPr>
        <w:tc>
          <w:tcPr>
            <w:tcW w:w="8140" w:type="dxa"/>
            <w:vAlign w:val="bottom"/>
            <w:tcBorders>
              <w:bottom w:val="single" w:sz="8" w:color="B6B6B6"/>
            </w:tcBorders>
          </w:tcPr>
          <w:p>
            <w:pPr>
              <w:spacing w:after="0"/>
              <w:rPr>
                <w:sz w:val="18"/>
                <w:szCs w:val="18"/>
                <w:color w:val="auto"/>
              </w:rPr>
            </w:pPr>
          </w:p>
        </w:tc>
        <w:tc>
          <w:tcPr>
            <w:tcW w:w="220" w:type="dxa"/>
            <w:vAlign w:val="bottom"/>
            <w:tcBorders>
              <w:top w:val="single" w:sz="8" w:color="B6B6B6"/>
              <w:bottom w:val="single" w:sz="8" w:color="B6B6B6"/>
            </w:tcBorders>
          </w:tcPr>
          <w:p>
            <w:pPr>
              <w:spacing w:after="0"/>
              <w:rPr>
                <w:sz w:val="18"/>
                <w:szCs w:val="18"/>
                <w:color w:val="auto"/>
              </w:rPr>
            </w:pPr>
          </w:p>
        </w:tc>
        <w:tc>
          <w:tcPr>
            <w:tcW w:w="960" w:type="dxa"/>
            <w:vAlign w:val="bottom"/>
            <w:tcBorders>
              <w:top w:val="single" w:sz="8" w:color="B6B6B6"/>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B6B6B6"/>
              <w:bottom w:val="single" w:sz="8" w:color="B6B6B6"/>
            </w:tcBorders>
          </w:tcPr>
          <w:p>
            <w:pPr>
              <w:spacing w:after="0"/>
              <w:rPr>
                <w:sz w:val="18"/>
                <w:szCs w:val="18"/>
                <w:color w:val="auto"/>
              </w:rPr>
            </w:pPr>
          </w:p>
        </w:tc>
        <w:tc>
          <w:tcPr>
            <w:tcW w:w="900" w:type="dxa"/>
            <w:vAlign w:val="bottom"/>
            <w:tcBorders>
              <w:top w:val="single" w:sz="8" w:color="B6B6B6"/>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auto"/>
              </w:rPr>
              <w:t>2023</w:t>
            </w:r>
          </w:p>
        </w:tc>
      </w:tr>
      <w:tr>
        <w:trPr>
          <w:trHeight w:val="19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115,397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117,634</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(20,334)</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(11,892)</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86,123</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85,408</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40,293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36,482</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(1,622)</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814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(6)</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37,026</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34,512</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(53,563)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(22,690)</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20,334</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11,892</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1,622</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(21,022)</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11,506</w:t>
            </w:r>
          </w:p>
        </w:tc>
      </w:tr>
      <w:tr>
        <w:trPr>
          <w:trHeight w:val="25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(50,906)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(22,134)</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20,334</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11,892</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2"/>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(18,328)</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12,099</w:t>
            </w:r>
          </w:p>
        </w:tc>
      </w:tr>
      <w:tr>
        <w:trPr>
          <w:trHeight w:val="25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19,094</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5,286</w:t>
            </w:r>
          </w:p>
        </w:tc>
      </w:tr>
      <w:tr>
        <w:trPr>
          <w:trHeight w:val="204"/>
        </w:trPr>
        <w:tc>
          <w:tcPr>
            <w:tcW w:w="814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(24,327)</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(3,078)</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(5,233)</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2,208</w:t>
            </w:r>
          </w:p>
        </w:tc>
      </w:tr>
      <w:tr>
        <w:trPr>
          <w:trHeight w:val="25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(27,420)</w:t>
            </w: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20,334</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11,892</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1"/>
        </w:trPr>
        <w:tc>
          <w:tcPr>
            <w:tcW w:w="814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24,327</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3,078</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(13,095)</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9,891</w:t>
            </w:r>
          </w:p>
        </w:tc>
      </w:tr>
      <w:tr>
        <w:trPr>
          <w:trHeight w:val="195"/>
        </w:trPr>
        <w:tc>
          <w:tcPr>
            <w:tcW w:w="814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2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5,233</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(2,208)</w:t>
            </w:r>
          </w:p>
        </w:tc>
      </w:tr>
      <w:tr>
        <w:trPr>
          <w:trHeight w:val="210"/>
        </w:trPr>
        <w:tc>
          <w:tcPr>
            <w:tcW w:w="81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tax impact</w:t>
            </w:r>
            <w:r>
              <w:rPr>
                <w:rFonts w:ascii="Arial" w:cs="Arial" w:eastAsia="Arial" w:hAnsi="Arial"/>
                <w:sz w:val="18"/>
                <w:szCs w:val="18"/>
                <w:color w:val="auto"/>
                <w:vertAlign w:val="superscript"/>
              </w:rPr>
              <w:t>(9)</w:t>
            </w:r>
          </w:p>
        </w:tc>
        <w:tc>
          <w:tcPr>
            <w:tcW w:w="22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(8,879)</w:t>
            </w:r>
          </w:p>
        </w:tc>
        <w:tc>
          <w:tcPr>
            <w:tcW w:w="300" w:type="dxa"/>
            <w:vAlign w:val="bottom"/>
            <w:tcBorders>
              <w:bottom w:val="single" w:sz="8" w:color="B6B6B6"/>
            </w:tcBorders>
          </w:tcPr>
          <w:p>
            <w:pPr>
              <w:spacing w:after="0"/>
              <w:rPr>
                <w:sz w:val="18"/>
                <w:szCs w:val="18"/>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3,785</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(9,449)</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8,314</w:t>
            </w:r>
          </w:p>
        </w:tc>
      </w:tr>
      <w:tr>
        <w:trPr>
          <w:trHeight w:val="356"/>
        </w:trPr>
        <w:tc>
          <w:tcPr>
            <w:tcW w:w="814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90,519,358</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86,611,018</w:t>
            </w:r>
          </w:p>
        </w:tc>
      </w:tr>
      <w:tr>
        <w:trPr>
          <w:trHeight w:val="210"/>
        </w:trPr>
        <w:tc>
          <w:tcPr>
            <w:tcW w:w="81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Weighted average number of incremental shares from assumed vesting of RSUs and PSUs</w:t>
            </w:r>
            <w:r>
              <w:rPr>
                <w:rFonts w:ascii="Arial" w:cs="Arial" w:eastAsia="Arial" w:hAnsi="Arial"/>
                <w:sz w:val="18"/>
                <w:szCs w:val="18"/>
                <w:color w:val="auto"/>
                <w:vertAlign w:val="superscript"/>
              </w:rPr>
              <w:t>(10)</w:t>
            </w:r>
          </w:p>
        </w:tc>
        <w:tc>
          <w:tcPr>
            <w:tcW w:w="22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8"/>
                <w:szCs w:val="18"/>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1,727,070</w:t>
            </w:r>
          </w:p>
        </w:tc>
      </w:tr>
      <w:tr>
        <w:trPr>
          <w:trHeight w:val="196"/>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20" w:type="dxa"/>
            <w:vAlign w:val="bottom"/>
            <w:shd w:val="clear" w:color="auto" w:fill="E3E1E9"/>
          </w:tcPr>
          <w:p>
            <w:pPr>
              <w:spacing w:after="0"/>
              <w:rPr>
                <w:sz w:val="17"/>
                <w:szCs w:val="17"/>
                <w:color w:val="auto"/>
              </w:rPr>
            </w:pP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90,519,358</w:t>
            </w:r>
          </w:p>
        </w:tc>
        <w:tc>
          <w:tcPr>
            <w:tcW w:w="300" w:type="dxa"/>
            <w:vAlign w:val="bottom"/>
            <w:shd w:val="clear" w:color="auto" w:fill="E3E1E9"/>
          </w:tcPr>
          <w:p>
            <w:pPr>
              <w:spacing w:after="0"/>
              <w:rPr>
                <w:sz w:val="17"/>
                <w:szCs w:val="17"/>
                <w:color w:val="auto"/>
              </w:rPr>
            </w:pP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88,338,088</w:t>
            </w:r>
          </w:p>
        </w:tc>
      </w:tr>
      <w:tr>
        <w:trPr>
          <w:trHeight w:val="162"/>
        </w:trPr>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814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 per Class A share—diluted, if-converted</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4"/>
                <w:szCs w:val="14"/>
                <w:color w:val="auto"/>
              </w:rPr>
              <w:t>(0.10)</w:t>
            </w:r>
          </w:p>
        </w:tc>
        <w:tc>
          <w:tcPr>
            <w:tcW w:w="3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0.09</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480" w:type="dxa"/>
        <w:tblCellMar>
          <w:top w:w="0" w:type="dxa"/>
          <w:left w:w="0" w:type="dxa"/>
          <w:bottom w:w="0" w:type="dxa"/>
          <w:right w:w="0" w:type="dxa"/>
        </w:tblCellMar>
      </w:tblPr>
      <w:tr>
        <w:trPr>
          <w:trHeight w:val="215"/>
        </w:trPr>
        <w:tc>
          <w:tcPr>
            <w:tcW w:w="7700" w:type="dxa"/>
            <w:vAlign w:val="bottom"/>
            <w:tcBorders>
              <w:bottom w:val="single" w:sz="8" w:color="B6B6B6"/>
            </w:tcBorders>
          </w:tcPr>
          <w:p>
            <w:pPr>
              <w:spacing w:after="0"/>
              <w:rPr>
                <w:sz w:val="18"/>
                <w:szCs w:val="18"/>
                <w:color w:val="auto"/>
              </w:rPr>
            </w:pPr>
          </w:p>
        </w:tc>
        <w:tc>
          <w:tcPr>
            <w:tcW w:w="1520" w:type="dxa"/>
            <w:vAlign w:val="bottom"/>
            <w:tcBorders>
              <w:top w:val="single" w:sz="8" w:color="B6B6B6"/>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top w:val="single" w:sz="8" w:color="B6B6B6"/>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(11)</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0"/>
        </w:trPr>
        <w:tc>
          <w:tcPr>
            <w:tcW w:w="770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(52.4)%</w:t>
            </w:r>
          </w:p>
        </w:tc>
        <w:tc>
          <w:tcPr>
            <w:tcW w:w="106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(20.6)%</w:t>
            </w:r>
          </w:p>
        </w:tc>
        <w:tc>
          <w:tcPr>
            <w:tcW w:w="1060" w:type="dxa"/>
            <w:vAlign w:val="bottom"/>
          </w:tcPr>
          <w:p>
            <w:pPr>
              <w:jc w:val="right"/>
              <w:spacing w:after="0"/>
              <w:rPr>
                <w:sz w:val="20"/>
                <w:szCs w:val="20"/>
                <w:color w:val="auto"/>
              </w:rPr>
            </w:pPr>
            <w:r>
              <w:rPr>
                <w:rFonts w:ascii="Arial" w:cs="Arial" w:eastAsia="Arial" w:hAnsi="Arial"/>
                <w:sz w:val="14"/>
                <w:szCs w:val="14"/>
                <w:color w:val="auto"/>
              </w:rPr>
              <w:t>8.8 %</w:t>
            </w: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113 %</w:t>
            </w:r>
          </w:p>
        </w:tc>
        <w:tc>
          <w:tcPr>
            <w:tcW w:w="1060" w:type="dxa"/>
            <w:vAlign w:val="bottom"/>
          </w:tcPr>
          <w:p>
            <w:pPr>
              <w:jc w:val="right"/>
              <w:spacing w:after="0"/>
              <w:rPr>
                <w:sz w:val="20"/>
                <w:szCs w:val="20"/>
                <w:color w:val="auto"/>
              </w:rPr>
            </w:pPr>
            <w:r>
              <w:rPr>
                <w:rFonts w:ascii="Arial" w:cs="Arial" w:eastAsia="Arial" w:hAnsi="Arial"/>
                <w:sz w:val="14"/>
                <w:szCs w:val="14"/>
                <w:color w:val="auto"/>
              </w:rPr>
              <w:t>90 %</w:t>
            </w: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84 %</w:t>
            </w:r>
          </w:p>
        </w:tc>
        <w:tc>
          <w:tcPr>
            <w:tcW w:w="1060" w:type="dxa"/>
            <w:vAlign w:val="bottom"/>
          </w:tcPr>
          <w:p>
            <w:pPr>
              <w:jc w:val="right"/>
              <w:spacing w:after="0"/>
              <w:rPr>
                <w:sz w:val="20"/>
                <w:szCs w:val="20"/>
                <w:color w:val="auto"/>
              </w:rPr>
            </w:pPr>
            <w:r>
              <w:rPr>
                <w:rFonts w:ascii="Arial" w:cs="Arial" w:eastAsia="Arial" w:hAnsi="Arial"/>
                <w:sz w:val="14"/>
                <w:szCs w:val="14"/>
                <w:color w:val="auto"/>
              </w:rPr>
              <w:t>65 %</w:t>
            </w: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(38)%</w:t>
            </w: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48 %</w:t>
            </w:r>
          </w:p>
        </w:tc>
        <w:tc>
          <w:tcPr>
            <w:tcW w:w="1060" w:type="dxa"/>
            <w:vAlign w:val="bottom"/>
          </w:tcPr>
          <w:p>
            <w:pPr>
              <w:jc w:val="right"/>
              <w:spacing w:after="0"/>
              <w:rPr>
                <w:sz w:val="20"/>
                <w:szCs w:val="20"/>
                <w:color w:val="auto"/>
              </w:rPr>
            </w:pPr>
            <w:r>
              <w:rPr>
                <w:rFonts w:ascii="Arial" w:cs="Arial" w:eastAsia="Arial" w:hAnsi="Arial"/>
                <w:sz w:val="14"/>
                <w:szCs w:val="14"/>
                <w:color w:val="auto"/>
              </w:rPr>
              <w:t>31 %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15" w:lineRule="auto"/>
        <w:tabs>
          <w:tab w:leader="none" w:pos="495" w:val="left"/>
        </w:tabs>
        <w:numPr>
          <w:ilvl w:val="0"/>
          <w:numId w:val="13"/>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Holdings LP (“PWP OpCo”) includes amortization of legacy awards granted to certain partners prior to the business combination that closed on June 24, 2021 (the “Business Combination”) and amortization of PWP Professional Partners LP (together with its successors and assigns, as applicable, “Professional Partners”) alignment capital units and value capital units awards. The vesting of these awards does not dilute PWP shareholders relative to Professional Partners as Professional Partners’ interest in PWP OpCo does not change as a result of granting those equity awards to its working partners. The legacy awards were fully amortized as of September 30, 2023.</w:t>
      </w:r>
    </w:p>
    <w:p>
      <w:pPr>
        <w:spacing w:after="0" w:line="114"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3"/>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02" w:lineRule="exact"/>
        <w:rPr>
          <w:rFonts w:ascii="Arial" w:cs="Arial" w:eastAsia="Arial" w:hAnsi="Arial"/>
          <w:sz w:val="20"/>
          <w:szCs w:val="20"/>
          <w:color w:val="auto"/>
        </w:rPr>
      </w:pPr>
    </w:p>
    <w:p>
      <w:pPr>
        <w:jc w:val="both"/>
        <w:ind w:left="500" w:hanging="492"/>
        <w:spacing w:after="0" w:line="316" w:lineRule="auto"/>
        <w:tabs>
          <w:tab w:leader="none" w:pos="495" w:val="left"/>
        </w:tabs>
        <w:numPr>
          <w:ilvl w:val="0"/>
          <w:numId w:val="13"/>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include separation and transition benefits and the accelerated amortization (net of forfeitures) of certain equity-based awards. For the three months ended March 31, 2024, such amortization includes $0.3 million for certain Professional Partners Awards, and $0.1 million for certain transaction-related RSUs, which are excluded from Equity-based compensation not dilutive to investors in PWP or PWP OpCo and Public company transaction related incentives, respectively.</w:t>
      </w:r>
    </w:p>
    <w:p>
      <w:pPr>
        <w:spacing w:after="0" w:line="100"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3"/>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200" w:lineRule="exact"/>
        <w:rPr>
          <w:sz w:val="20"/>
          <w:szCs w:val="20"/>
          <w:color w:val="auto"/>
        </w:rPr>
      </w:pPr>
    </w:p>
    <w:p>
      <w:pPr>
        <w:spacing w:after="0" w:line="306"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2" w:right="339" w:bottom="1440" w:gutter="0" w:footer="0" w:header="0"/>
        </w:sectPr>
      </w:pPr>
    </w:p>
    <w:bookmarkStart w:id="12" w:name="page13"/>
    <w:bookmarkEnd w:id="12"/>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right="120" w:hanging="492"/>
        <w:spacing w:after="0" w:line="326"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102"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73" w:lineRule="exact"/>
        <w:rPr>
          <w:rFonts w:ascii="Arial" w:cs="Arial" w:eastAsia="Arial" w:hAnsi="Arial"/>
          <w:sz w:val="20"/>
          <w:szCs w:val="20"/>
          <w:color w:val="auto"/>
        </w:rPr>
      </w:pPr>
    </w:p>
    <w:p>
      <w:pPr>
        <w:ind w:left="500" w:hanging="492"/>
        <w:spacing w:after="0"/>
        <w:tabs>
          <w:tab w:leader="none" w:pos="5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w:t>
      </w:r>
    </w:p>
    <w:p>
      <w:pPr>
        <w:spacing w:after="0" w:line="215"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adjusted income tax expense (benefit) represents the Company’s calculated tax expense (benefit)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9"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if-converted tax expense (benefit) represents the Company's calculated tax expense (benefit) on adjusted non-GAAP results assuming the exchange of all partnership units for PWP Class A common stock, resulting in all of the Company’s results for the period being subject to corporate-level tax.</w:t>
      </w:r>
    </w:p>
    <w:p>
      <w:pPr>
        <w:spacing w:after="0" w:line="88" w:lineRule="exact"/>
        <w:rPr>
          <w:rFonts w:ascii="Arial" w:cs="Arial" w:eastAsia="Arial" w:hAnsi="Arial"/>
          <w:sz w:val="20"/>
          <w:szCs w:val="20"/>
          <w:color w:val="auto"/>
        </w:rPr>
      </w:pPr>
    </w:p>
    <w:p>
      <w:pPr>
        <w:jc w:val="both"/>
        <w:ind w:left="500" w:hanging="492"/>
        <w:spacing w:after="0" w:line="320" w:lineRule="auto"/>
        <w:tabs>
          <w:tab w:leader="none" w:pos="497" w:val="left"/>
        </w:tabs>
        <w:numPr>
          <w:ilvl w:val="0"/>
          <w:numId w:val="15"/>
        </w:numPr>
        <w:rPr>
          <w:rFonts w:ascii="Arial" w:cs="Arial" w:eastAsia="Arial" w:hAnsi="Arial"/>
          <w:sz w:val="20"/>
          <w:szCs w:val="20"/>
          <w:color w:val="auto"/>
        </w:rPr>
      </w:pPr>
      <w:r>
        <w:rPr>
          <w:rFonts w:ascii="Arial" w:cs="Arial" w:eastAsia="Arial" w:hAnsi="Arial"/>
          <w:sz w:val="20"/>
          <w:szCs w:val="20"/>
          <w:color w:val="auto"/>
        </w:rPr>
        <w:t>Assumed vesting of RSUs and performance restricted stock units (“PSUs”) as calculated using the treasury stock method and to the extent dilutive to Adjusted net income (loss) per Class A share—diluted, if-converted. For the three months ended March 31, 2024, 5,278,079 shares from the assumed vesting of RSUs and PSUs were deemed antidilutive and excluded from the calculation.</w:t>
      </w:r>
    </w:p>
    <w:p>
      <w:pPr>
        <w:spacing w:after="0" w:line="109" w:lineRule="exact"/>
        <w:rPr>
          <w:rFonts w:ascii="Arial" w:cs="Arial" w:eastAsia="Arial" w:hAnsi="Arial"/>
          <w:sz w:val="20"/>
          <w:szCs w:val="20"/>
          <w:color w:val="auto"/>
        </w:rPr>
      </w:pPr>
    </w:p>
    <w:p>
      <w:pPr>
        <w:ind w:left="480" w:hanging="472"/>
        <w:spacing w:after="0"/>
        <w:tabs>
          <w:tab w:leader="none" w:pos="4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8"/>
        <w:spacing w:after="0" w:line="259" w:lineRule="auto"/>
        <w:tabs>
          <w:tab w:leader="none" w:pos="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spacing w:after="0"/>
              <w:rPr>
                <w:sz w:val="17"/>
                <w:szCs w:val="17"/>
                <w:color w:val="auto"/>
              </w:rPr>
            </w:pPr>
          </w:p>
        </w:tc>
        <w:tc>
          <w:tcPr>
            <w:tcW w:w="260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b w:val="1"/>
                <w:bCs w:val="1"/>
                <w:color w:val="503C64"/>
              </w:rPr>
              <w:t>Three Months Ended March 31, 2024</w:t>
            </w:r>
          </w:p>
        </w:tc>
        <w:tc>
          <w:tcPr>
            <w:tcW w:w="3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spacing w:after="0"/>
              <w:rPr>
                <w:sz w:val="17"/>
                <w:szCs w:val="17"/>
                <w:color w:val="auto"/>
              </w:rPr>
            </w:pPr>
          </w:p>
        </w:tc>
      </w:tr>
      <w:tr>
        <w:trPr>
          <w:trHeight w:val="196"/>
        </w:trPr>
        <w:tc>
          <w:tcPr>
            <w:tcW w:w="47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spacing w:after="0"/>
              <w:rPr>
                <w:sz w:val="17"/>
                <w:szCs w:val="17"/>
                <w:color w:val="auto"/>
              </w:rPr>
            </w:pPr>
          </w:p>
        </w:tc>
        <w:tc>
          <w:tcPr>
            <w:tcW w:w="2080" w:type="dxa"/>
            <w:vAlign w:val="bottom"/>
            <w:tcBorders>
              <w:bottom w:val="single" w:sz="8" w:color="B6B6B6"/>
            </w:tcBorders>
          </w:tcPr>
          <w:p>
            <w:pPr>
              <w:jc w:val="right"/>
              <w:ind w:right="100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11,060</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80" w:type="dxa"/>
            <w:vAlign w:val="bottom"/>
          </w:tcPr>
          <w:p>
            <w:pPr>
              <w:jc w:val="center"/>
              <w:ind w:left="228"/>
              <w:spacing w:after="0"/>
              <w:rPr>
                <w:sz w:val="20"/>
                <w:szCs w:val="20"/>
                <w:color w:val="auto"/>
              </w:rPr>
            </w:pPr>
            <w:r>
              <w:rPr>
                <w:rFonts w:ascii="Arial" w:cs="Arial" w:eastAsia="Arial" w:hAnsi="Arial"/>
                <w:sz w:val="14"/>
                <w:szCs w:val="14"/>
                <w:color w:val="auto"/>
              </w:rPr>
              <w:t xml:space="preserve">(1,622) </w:t>
            </w:r>
            <w:r>
              <w:rPr>
                <w:rFonts w:ascii="Arial" w:cs="Arial" w:eastAsia="Arial" w:hAnsi="Arial"/>
                <w:sz w:val="12"/>
                <w:szCs w:val="12"/>
                <w:color w:val="auto"/>
              </w:rPr>
              <w:t>(1)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9,438</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8,772</w:t>
            </w:r>
          </w:p>
        </w:tc>
        <w:tc>
          <w:tcPr>
            <w:tcW w:w="520" w:type="dxa"/>
            <w:vAlign w:val="bottom"/>
          </w:tcPr>
          <w:p>
            <w:pPr>
              <w:spacing w:after="0"/>
              <w:rPr>
                <w:sz w:val="17"/>
                <w:szCs w:val="17"/>
                <w:color w:val="auto"/>
              </w:rPr>
            </w:pPr>
          </w:p>
        </w:tc>
        <w:tc>
          <w:tcPr>
            <w:tcW w:w="20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8,772</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6,277</w:t>
            </w:r>
          </w:p>
        </w:tc>
        <w:tc>
          <w:tcPr>
            <w:tcW w:w="520" w:type="dxa"/>
            <w:vAlign w:val="bottom"/>
          </w:tcPr>
          <w:p>
            <w:pPr>
              <w:spacing w:after="0"/>
              <w:rPr>
                <w:sz w:val="17"/>
                <w:szCs w:val="17"/>
                <w:color w:val="auto"/>
              </w:rPr>
            </w:pPr>
          </w:p>
        </w:tc>
        <w:tc>
          <w:tcPr>
            <w:tcW w:w="20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6,277</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4,585</w:t>
            </w:r>
          </w:p>
        </w:tc>
        <w:tc>
          <w:tcPr>
            <w:tcW w:w="520" w:type="dxa"/>
            <w:vAlign w:val="bottom"/>
          </w:tcPr>
          <w:p>
            <w:pPr>
              <w:spacing w:after="0"/>
              <w:rPr>
                <w:sz w:val="17"/>
                <w:szCs w:val="17"/>
                <w:color w:val="auto"/>
              </w:rPr>
            </w:pPr>
          </w:p>
        </w:tc>
        <w:tc>
          <w:tcPr>
            <w:tcW w:w="20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4,585</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4,519</w:t>
            </w:r>
          </w:p>
        </w:tc>
        <w:tc>
          <w:tcPr>
            <w:tcW w:w="520" w:type="dxa"/>
            <w:vAlign w:val="bottom"/>
          </w:tcPr>
          <w:p>
            <w:pPr>
              <w:spacing w:after="0"/>
              <w:rPr>
                <w:sz w:val="17"/>
                <w:szCs w:val="17"/>
                <w:color w:val="auto"/>
              </w:rPr>
            </w:pPr>
          </w:p>
        </w:tc>
        <w:tc>
          <w:tcPr>
            <w:tcW w:w="20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4,519</w:t>
            </w:r>
          </w:p>
        </w:tc>
      </w:tr>
      <w:tr>
        <w:trPr>
          <w:trHeight w:val="234"/>
        </w:trPr>
        <w:tc>
          <w:tcPr>
            <w:tcW w:w="47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20"/>
                <w:szCs w:val="20"/>
                <w:color w:val="auto"/>
              </w:rPr>
            </w:pPr>
          </w:p>
        </w:tc>
        <w:tc>
          <w:tcPr>
            <w:tcW w:w="5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5,080</w:t>
            </w:r>
          </w:p>
        </w:tc>
        <w:tc>
          <w:tcPr>
            <w:tcW w:w="520" w:type="dxa"/>
            <w:vAlign w:val="bottom"/>
            <w:tcBorders>
              <w:bottom w:val="single" w:sz="8" w:color="B6B6B6"/>
            </w:tcBorders>
          </w:tcPr>
          <w:p>
            <w:pPr>
              <w:spacing w:after="0"/>
              <w:rPr>
                <w:sz w:val="20"/>
                <w:szCs w:val="20"/>
                <w:color w:val="auto"/>
              </w:rPr>
            </w:pPr>
          </w:p>
        </w:tc>
        <w:tc>
          <w:tcPr>
            <w:tcW w:w="208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00" w:type="dxa"/>
            <w:vAlign w:val="bottom"/>
            <w:tcBorders>
              <w:bottom w:val="single" w:sz="8" w:color="B6B6B6"/>
            </w:tcBorders>
          </w:tcPr>
          <w:p>
            <w:pPr>
              <w:spacing w:after="0"/>
              <w:rPr>
                <w:sz w:val="20"/>
                <w:szCs w:val="20"/>
                <w:color w:val="auto"/>
              </w:rPr>
            </w:pP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3,435</w:t>
            </w:r>
          </w:p>
        </w:tc>
      </w:tr>
      <w:tr>
        <w:trPr>
          <w:trHeight w:val="198"/>
        </w:trPr>
        <w:tc>
          <w:tcPr>
            <w:tcW w:w="470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40,293</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688"/>
              <w:spacing w:after="0"/>
              <w:rPr>
                <w:sz w:val="20"/>
                <w:szCs w:val="20"/>
                <w:color w:val="auto"/>
              </w:rPr>
            </w:pPr>
            <w:r>
              <w:rPr>
                <w:rFonts w:ascii="Arial" w:cs="Arial" w:eastAsia="Arial" w:hAnsi="Arial"/>
                <w:sz w:val="14"/>
                <w:szCs w:val="14"/>
                <w:color w:val="auto"/>
              </w:rPr>
              <w:t>(3,267)</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37,026</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spacing w:after="0"/>
              <w:rPr>
                <w:sz w:val="17"/>
                <w:szCs w:val="17"/>
                <w:color w:val="auto"/>
              </w:rPr>
            </w:pPr>
          </w:p>
        </w:tc>
        <w:tc>
          <w:tcPr>
            <w:tcW w:w="260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b w:val="1"/>
                <w:bCs w:val="1"/>
                <w:color w:val="503C64"/>
              </w:rPr>
              <w:t>Three Months Ended March 31, 2023</w:t>
            </w:r>
          </w:p>
        </w:tc>
        <w:tc>
          <w:tcPr>
            <w:tcW w:w="3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spacing w:after="0"/>
              <w:rPr>
                <w:sz w:val="17"/>
                <w:szCs w:val="17"/>
                <w:color w:val="auto"/>
              </w:rPr>
            </w:pPr>
          </w:p>
        </w:tc>
      </w:tr>
      <w:tr>
        <w:trPr>
          <w:trHeight w:val="196"/>
        </w:trPr>
        <w:tc>
          <w:tcPr>
            <w:tcW w:w="47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spacing w:after="0"/>
              <w:rPr>
                <w:sz w:val="17"/>
                <w:szCs w:val="17"/>
                <w:color w:val="auto"/>
              </w:rPr>
            </w:pPr>
          </w:p>
        </w:tc>
        <w:tc>
          <w:tcPr>
            <w:tcW w:w="2080" w:type="dxa"/>
            <w:vAlign w:val="bottom"/>
            <w:tcBorders>
              <w:bottom w:val="single" w:sz="8" w:color="B6B6B6"/>
            </w:tcBorders>
          </w:tcPr>
          <w:p>
            <w:pPr>
              <w:jc w:val="right"/>
              <w:ind w:right="100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7,553</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488"/>
              <w:spacing w:after="0"/>
              <w:rPr>
                <w:sz w:val="20"/>
                <w:szCs w:val="20"/>
                <w:color w:val="auto"/>
              </w:rPr>
            </w:pPr>
            <w:r>
              <w:rPr>
                <w:rFonts w:ascii="Arial" w:cs="Arial" w:eastAsia="Arial" w:hAnsi="Arial"/>
                <w:sz w:val="14"/>
                <w:szCs w:val="14"/>
                <w:color w:val="auto"/>
              </w:rPr>
              <w:t xml:space="preserve">(325) </w:t>
            </w:r>
            <w:r>
              <w:rPr>
                <w:rFonts w:ascii="Arial" w:cs="Arial" w:eastAsia="Arial" w:hAnsi="Arial"/>
                <w:sz w:val="12"/>
                <w:szCs w:val="12"/>
                <w:color w:val="auto"/>
              </w:rPr>
              <w:t>(1)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7,228</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8,512</w:t>
            </w:r>
          </w:p>
        </w:tc>
        <w:tc>
          <w:tcPr>
            <w:tcW w:w="520" w:type="dxa"/>
            <w:vAlign w:val="bottom"/>
          </w:tcPr>
          <w:p>
            <w:pPr>
              <w:spacing w:after="0"/>
              <w:rPr>
                <w:sz w:val="17"/>
                <w:szCs w:val="17"/>
                <w:color w:val="auto"/>
              </w:rPr>
            </w:pPr>
          </w:p>
        </w:tc>
        <w:tc>
          <w:tcPr>
            <w:tcW w:w="20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8,512</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7,414</w:t>
            </w:r>
          </w:p>
        </w:tc>
        <w:tc>
          <w:tcPr>
            <w:tcW w:w="520" w:type="dxa"/>
            <w:vAlign w:val="bottom"/>
          </w:tcPr>
          <w:p>
            <w:pPr>
              <w:spacing w:after="0"/>
              <w:rPr>
                <w:sz w:val="17"/>
                <w:szCs w:val="17"/>
                <w:color w:val="auto"/>
              </w:rPr>
            </w:pPr>
          </w:p>
        </w:tc>
        <w:tc>
          <w:tcPr>
            <w:tcW w:w="20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7,414</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4,774</w:t>
            </w:r>
          </w:p>
        </w:tc>
        <w:tc>
          <w:tcPr>
            <w:tcW w:w="520" w:type="dxa"/>
            <w:vAlign w:val="bottom"/>
          </w:tcPr>
          <w:p>
            <w:pPr>
              <w:spacing w:after="0"/>
              <w:rPr>
                <w:sz w:val="17"/>
                <w:szCs w:val="17"/>
                <w:color w:val="auto"/>
              </w:rPr>
            </w:pPr>
          </w:p>
        </w:tc>
        <w:tc>
          <w:tcPr>
            <w:tcW w:w="20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4,774</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5,394</w:t>
            </w:r>
          </w:p>
        </w:tc>
        <w:tc>
          <w:tcPr>
            <w:tcW w:w="520" w:type="dxa"/>
            <w:vAlign w:val="bottom"/>
          </w:tcPr>
          <w:p>
            <w:pPr>
              <w:spacing w:after="0"/>
              <w:rPr>
                <w:sz w:val="17"/>
                <w:szCs w:val="17"/>
                <w:color w:val="auto"/>
              </w:rPr>
            </w:pPr>
          </w:p>
        </w:tc>
        <w:tc>
          <w:tcPr>
            <w:tcW w:w="20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5,394</w:t>
            </w:r>
          </w:p>
        </w:tc>
      </w:tr>
      <w:tr>
        <w:trPr>
          <w:trHeight w:val="207"/>
        </w:trPr>
        <w:tc>
          <w:tcPr>
            <w:tcW w:w="47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2,835</w:t>
            </w:r>
          </w:p>
        </w:tc>
        <w:tc>
          <w:tcPr>
            <w:tcW w:w="520" w:type="dxa"/>
            <w:vAlign w:val="bottom"/>
            <w:tcBorders>
              <w:bottom w:val="single" w:sz="8" w:color="B6B6B6"/>
            </w:tcBorders>
          </w:tcPr>
          <w:p>
            <w:pPr>
              <w:spacing w:after="0"/>
              <w:rPr>
                <w:sz w:val="17"/>
                <w:szCs w:val="17"/>
                <w:color w:val="auto"/>
              </w:rPr>
            </w:pPr>
          </w:p>
        </w:tc>
        <w:tc>
          <w:tcPr>
            <w:tcW w:w="208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1,190</w:t>
            </w:r>
          </w:p>
        </w:tc>
      </w:tr>
      <w:tr>
        <w:trPr>
          <w:trHeight w:val="198"/>
        </w:trPr>
        <w:tc>
          <w:tcPr>
            <w:tcW w:w="470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36,482</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688"/>
              <w:spacing w:after="0"/>
              <w:rPr>
                <w:sz w:val="20"/>
                <w:szCs w:val="20"/>
                <w:color w:val="auto"/>
              </w:rPr>
            </w:pPr>
            <w:r>
              <w:rPr>
                <w:rFonts w:ascii="Arial" w:cs="Arial" w:eastAsia="Arial" w:hAnsi="Arial"/>
                <w:sz w:val="14"/>
                <w:szCs w:val="14"/>
                <w:color w:val="auto"/>
              </w:rPr>
              <w:t>(1,970)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34,512</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hanging="382"/>
        <w:spacing w:after="0"/>
        <w:tabs>
          <w:tab w:leader="none" w:pos="8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5"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2024-05-03T07:10:16Z</dcterms:created>
  <dcterms:modified xsi:type="dcterms:W3CDTF">2024-05-03T07:10:16Z</dcterms:modified>
</cp:coreProperties>
</file>