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4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-222885</wp:posOffset>
            </wp:positionV>
            <wp:extent cx="125095" cy="1250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" cy="125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180" w:type="dxa"/>
            <w:vAlign w:val="bottom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300"/>
              <w:spacing w:after="0" w:line="1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5196205</wp:posOffset>
            </wp:positionH>
            <wp:positionV relativeFrom="paragraph">
              <wp:posOffset>-599440</wp:posOffset>
            </wp:positionV>
            <wp:extent cx="56515" cy="6127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2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3910965</wp:posOffset>
            </wp:positionH>
            <wp:positionV relativeFrom="paragraph">
              <wp:posOffset>-599440</wp:posOffset>
            </wp:positionV>
            <wp:extent cx="56515" cy="6127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2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-1714500</wp:posOffset>
            </wp:positionH>
            <wp:positionV relativeFrom="paragraph">
              <wp:posOffset>17780</wp:posOffset>
            </wp:positionV>
            <wp:extent cx="6999605" cy="45231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9605" cy="4523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60" w:space="520"/>
            <w:col w:w="84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PWP Professional Partners LP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spacing w:after="0" w:line="99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Perella Weinberg Partners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PWP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767 FIFTH AVENUE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06/24/2021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NEW YORK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NY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10153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3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8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gridSpan w:val="8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8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0" w:type="dxa"/>
            <w:vAlign w:val="bottom"/>
            <w:gridSpan w:val="1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5. Number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5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2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26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Class B-1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Class 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7"/>
              </w:rPr>
              <w:t>45,608.84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ind w:right="162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06/24/2021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45,608,840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45,608,840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PWP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Holdings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6"/>
              </w:rPr>
              <w:t>Class A</w:t>
            </w: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45,608,840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LP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ind w:right="162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06/24/2021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45,608,840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45,608,840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Stock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-2119630</wp:posOffset>
            </wp:positionV>
            <wp:extent cx="28575" cy="2125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 w:right="260" w:hanging="4"/>
        <w:spacing w:after="0" w:line="246" w:lineRule="auto"/>
        <w:tabs>
          <w:tab w:leader="none" w:pos="16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Concurrently with an exchange of PWP Holdings LP Common Units (which represent Class A partnership units of PWP Holdings LP) ("PWP OpCo Units") for shares of Class A common stock ("Class A Shares") or cash by a PWP Holdings LP unitholder ("Unitholder") who also holds shares of Class B-1 common stock ("Class B-1 Shares"), such Unitholder will be required to surrender to the Issuer a number of Class B-1 Shares equal to the number of PWP OpCo Units exchanged, and such Class B-1 Shares will be converted into Class A Shares or, at the option of the Issuer, for an equivalent amount of cash, which will be delivered to such Unitholder at a conversion rate of 0.001 Class A Share for one Class B-1 Share.</w:t>
      </w:r>
    </w:p>
    <w:p>
      <w:pPr>
        <w:spacing w:after="0" w:line="26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480" w:hanging="4"/>
        <w:spacing w:after="0" w:line="267" w:lineRule="auto"/>
        <w:tabs>
          <w:tab w:leader="none" w:pos="16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Subject to certain lock-up periods, PWP OpCo Units, upon the surrender of an equal number of Class B-1 Shares, may be exchanged for Class A Shares on a one-for-one basis or, at the option of the Issuer, for an equivalent amount of cash. PWP OpCo Units do not expire.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40" w:right="180"/>
        <w:spacing w:after="0" w:line="31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008000"/>
        </w:rPr>
        <w:t>Solely for purposes of Section 16 of the Securities Exchange Act of 1934, as amended, the Reporting Person may be deemed a director by deputization with respect to the Issuer by virtue of the Reporting Person's right to designate a majority of the Issuer's board of directors, subject to certain conditions, pursuant to the Stockholder's Agreement, dated June 24, 2021, by and between the Issuer and the Reporting Person.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14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/s/ Mark Polemeni, as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7"/>
              </w:rPr>
              <w:t>06/28/2021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Authorized Person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40" w:right="3920" w:hanging="4"/>
        <w:spacing w:after="0" w:line="320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7861" TargetMode="External"/><Relationship Id="rId13" Type="http://schemas.openxmlformats.org/officeDocument/2006/relationships/hyperlink" Target="http://www.sec.gov/cgi-bin/browse-edgar?action=getcompany&amp;CIK=00017778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2021-06-28T20:24:24Z</dcterms:created>
  <dcterms:modified xsi:type="dcterms:W3CDTF">2021-06-28T20:24:24Z</dcterms:modified>
</cp:coreProperties>
</file>