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February 25,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84-1770732</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767 Fifth Avenue</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New York, New York</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10153</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Perella Weinberg Partners 2021 Omnibus Incentive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Vladimir Shendelman,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10153</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Joseph A. Coco,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Michael J. Schwartz,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Blair T. Thetford,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Manhattan West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This registration statement on Form S-8 (this “Registration Statement”) is being filed for the purpose of registering 10,364,127 shares of Class A Common Stock, par value $0.0001 per share, of Perella Weinberg Partners (the “Company”) that may be issued and sold pursuant to the Perella Weinberg Partners 2021 Omnibus Incentive Plan (the “Incentive Plan”).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 “Securities Act”). These documents are not being filed with the Securities and Exchange Commission (the “SEC”) as a part of this registration statement in accordance with Rule 428(b) and the Note to Part I of Form S-8.</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spacing w:after="0" w:line="71" w:lineRule="exact"/>
        <w:rPr>
          <w:sz w:val="20"/>
          <w:szCs w:val="20"/>
          <w:color w:val="auto"/>
        </w:rPr>
      </w:pPr>
    </w:p>
    <w:p>
      <w:pPr>
        <w:ind w:left="960" w:right="18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prospectus relating to the Registration Statement on </w:t>
      </w:r>
      <w:hyperlink r:id="rId18">
        <w:r>
          <w:rPr>
            <w:rFonts w:ascii="Arial" w:cs="Arial" w:eastAsia="Arial" w:hAnsi="Arial"/>
            <w:sz w:val="18"/>
            <w:szCs w:val="18"/>
            <w:u w:val="single" w:color="auto"/>
            <w:color w:val="0000EE"/>
          </w:rPr>
          <w:t>Form S-1</w:t>
        </w:r>
      </w:hyperlink>
      <w:r>
        <w:rPr>
          <w:rFonts w:ascii="Arial" w:cs="Arial" w:eastAsia="Arial" w:hAnsi="Arial"/>
          <w:sz w:val="18"/>
          <w:szCs w:val="18"/>
          <w:color w:val="auto"/>
        </w:rPr>
        <w:t>, as amended (File No. 333-261785), filed with the SEC under Rule 424(b) under the Securities Act on January 20, 2022, which contains the audited financial statements of the Company for the latest fiscal year for which such statements have been filed;</w:t>
      </w:r>
    </w:p>
    <w:p>
      <w:pPr>
        <w:spacing w:after="0" w:line="89"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quarterly periods ended </w:t>
      </w:r>
      <w:hyperlink r:id="rId19">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August 12, 2021 and November 5, 2021, respectively;</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8-K filed with the SEC on </w:t>
      </w:r>
      <w:hyperlink r:id="rId21">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22">
        <w:r>
          <w:rPr>
            <w:rFonts w:ascii="Arial" w:cs="Arial" w:eastAsia="Arial" w:hAnsi="Arial"/>
            <w:sz w:val="18"/>
            <w:szCs w:val="18"/>
            <w:u w:val="single" w:color="auto"/>
            <w:color w:val="0000EE"/>
          </w:rPr>
          <w:t>Form 8-K/A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June 30, 2021), </w:t>
      </w:r>
      <w:hyperlink r:id="rId23">
        <w:r>
          <w:rPr>
            <w:rFonts w:ascii="Arial" w:cs="Arial" w:eastAsia="Arial" w:hAnsi="Arial"/>
            <w:sz w:val="18"/>
            <w:szCs w:val="18"/>
            <w:u w:val="single" w:color="auto"/>
            <w:color w:val="0000EE"/>
          </w:rPr>
          <w:t>November 8,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February 17,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960" w:right="40" w:hanging="532"/>
        <w:spacing w:after="0" w:line="263" w:lineRule="auto"/>
        <w:tabs>
          <w:tab w:leader="none" w:pos="960" w:val="left"/>
        </w:tabs>
        <w:numPr>
          <w:ilvl w:val="0"/>
          <w:numId w:val="1"/>
        </w:numPr>
        <w:rPr>
          <w:rFonts w:ascii="Arial" w:cs="Arial" w:eastAsia="Arial" w:hAnsi="Arial"/>
          <w:sz w:val="18"/>
          <w:szCs w:val="18"/>
          <w:color w:val="0000EE"/>
        </w:rPr>
      </w:pPr>
      <w:hyperlink r:id="rId18">
        <w:r>
          <w:rPr>
            <w:rFonts w:ascii="Arial" w:cs="Arial" w:eastAsia="Arial" w:hAnsi="Arial"/>
            <w:sz w:val="18"/>
            <w:szCs w:val="18"/>
            <w:color w:val="auto"/>
          </w:rPr>
          <w:t xml:space="preserve">The description of the Class A Common Stock, par value $0.0001 per share, included in the Company’s Registration Statement on </w:t>
        </w:r>
        <w:r>
          <w:rPr>
            <w:rFonts w:ascii="Arial" w:cs="Arial" w:eastAsia="Arial" w:hAnsi="Arial"/>
            <w:sz w:val="18"/>
            <w:szCs w:val="18"/>
            <w:u w:val="single" w:color="auto"/>
            <w:color w:val="0000EE"/>
          </w:rPr>
          <w:t>Form</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S-1</w:t>
        </w:r>
        <w:r>
          <w:rPr>
            <w:rFonts w:ascii="Arial" w:cs="Arial" w:eastAsia="Arial" w:hAnsi="Arial"/>
            <w:sz w:val="18"/>
            <w:szCs w:val="18"/>
            <w:color w:val="0000EE"/>
          </w:rPr>
          <w:t xml:space="preserve"> </w:t>
        </w:r>
        <w:r>
          <w:rPr>
            <w:rFonts w:ascii="Arial" w:cs="Arial" w:eastAsia="Arial" w:hAnsi="Arial"/>
            <w:sz w:val="18"/>
            <w:szCs w:val="18"/>
            <w:color w:val="000000"/>
          </w:rPr>
          <w:t>(File No. 333-261785) filed with the SEC on January 13, 2022, including any amendments or reports filed for the purpose of updating</w:t>
        </w:r>
      </w:hyperlink>
      <w:r>
        <w:rPr>
          <w:rFonts w:ascii="Arial" w:cs="Arial" w:eastAsia="Arial" w:hAnsi="Arial"/>
          <w:sz w:val="18"/>
          <w:szCs w:val="18"/>
          <w:color w:val="0000EE"/>
        </w:rPr>
        <w:t xml:space="preserve"> </w:t>
      </w:r>
      <w:r>
        <w:rPr>
          <w:rFonts w:ascii="Arial" w:cs="Arial" w:eastAsia="Arial" w:hAnsi="Arial"/>
          <w:sz w:val="18"/>
          <w:szCs w:val="18"/>
          <w:color w:val="000000"/>
        </w:rPr>
        <w:t>such description.</w:t>
      </w:r>
    </w:p>
    <w:p>
      <w:pPr>
        <w:spacing w:after="0" w:line="184" w:lineRule="exact"/>
        <w:rPr>
          <w:rFonts w:ascii="Arial" w:cs="Arial" w:eastAsia="Arial" w:hAnsi="Arial"/>
          <w:sz w:val="18"/>
          <w:szCs w:val="18"/>
          <w:color w:val="auto"/>
        </w:rPr>
      </w:pPr>
    </w:p>
    <w:p>
      <w:pPr>
        <w:spacing w:after="0" w:line="270" w:lineRule="auto"/>
        <w:rPr>
          <w:sz w:val="20"/>
          <w:szCs w:val="20"/>
          <w:color w:val="auto"/>
        </w:rPr>
      </w:pPr>
      <w:r>
        <w:rPr>
          <w:rFonts w:ascii="Arial" w:cs="Arial" w:eastAsia="Arial" w:hAnsi="Arial"/>
          <w:sz w:val="17"/>
          <w:szCs w:val="17"/>
          <w:color w:val="auto"/>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7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166"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herewith or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56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640" w:type="dxa"/>
            <w:vAlign w:val="bottom"/>
          </w:tcPr>
          <w:p>
            <w:pPr>
              <w:jc w:val="center"/>
              <w:ind w:right="2108"/>
              <w:spacing w:after="0"/>
              <w:rPr>
                <w:sz w:val="20"/>
                <w:szCs w:val="20"/>
                <w:color w:val="auto"/>
              </w:rPr>
            </w:pPr>
            <w:r>
              <w:rPr>
                <w:rFonts w:ascii="Arial" w:cs="Arial" w:eastAsia="Arial" w:hAnsi="Arial"/>
                <w:sz w:val="14"/>
                <w:szCs w:val="14"/>
                <w:b w:val="1"/>
                <w:bCs w:val="1"/>
                <w:color w:val="auto"/>
                <w:w w:val="98"/>
              </w:rPr>
              <w:t>Exhibit</w:t>
            </w:r>
          </w:p>
        </w:tc>
        <w:tc>
          <w:tcPr>
            <w:tcW w:w="35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640" w:type="dxa"/>
            <w:vAlign w:val="bottom"/>
          </w:tcPr>
          <w:p>
            <w:pPr>
              <w:jc w:val="center"/>
              <w:ind w:right="2108"/>
              <w:spacing w:after="0"/>
              <w:rPr>
                <w:sz w:val="20"/>
                <w:szCs w:val="20"/>
                <w:color w:val="auto"/>
              </w:rPr>
            </w:pPr>
            <w:r>
              <w:rPr>
                <w:rFonts w:ascii="Arial" w:cs="Arial" w:eastAsia="Arial" w:hAnsi="Arial"/>
                <w:sz w:val="14"/>
                <w:szCs w:val="14"/>
                <w:b w:val="1"/>
                <w:bCs w:val="1"/>
                <w:color w:val="auto"/>
                <w:w w:val="97"/>
              </w:rPr>
              <w:t>No.</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4" w:right="420" w:hanging="768"/>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6">
        <w:r>
          <w:rPr>
            <w:rFonts w:ascii="Arial" w:cs="Arial" w:eastAsia="Arial" w:hAnsi="Arial"/>
            <w:sz w:val="18"/>
            <w:szCs w:val="18"/>
            <w:u w:val="single" w:color="auto"/>
            <w:color w:val="0000EE"/>
          </w:rPr>
          <w:t>Second Amended and Restated Certificate of Incorporation of Perella Weinberg Partners (incorporated by reference to Exhibit 3.1 to the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Company’s Current Report on Form 8-K, filed with the SEC on June 30, 2021).</w:t>
        </w:r>
      </w:hyperlink>
    </w:p>
    <w:p>
      <w:pPr>
        <w:spacing w:after="0" w:line="62" w:lineRule="exact"/>
        <w:rPr>
          <w:sz w:val="20"/>
          <w:szCs w:val="20"/>
          <w:color w:val="auto"/>
        </w:rPr>
      </w:pPr>
    </w:p>
    <w:p>
      <w:pPr>
        <w:ind w:left="764" w:right="440" w:hanging="768"/>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27">
        <w:r>
          <w:rPr>
            <w:rFonts w:ascii="Arial" w:cs="Arial" w:eastAsia="Arial" w:hAnsi="Arial"/>
            <w:sz w:val="18"/>
            <w:szCs w:val="18"/>
            <w:u w:val="single" w:color="auto"/>
            <w:color w:val="0000EE"/>
          </w:rPr>
          <w:t>Amended and Restated Bylaws of Perella Weinberg Partners (incorporated by reference to Exhibit 3.2 to the Company’s Current Report</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on Form 8-K, filed with the SEC on June 30, 2021).</w:t>
        </w:r>
      </w:hyperlink>
    </w:p>
    <w:p>
      <w:pPr>
        <w:spacing w:after="0" w:line="62" w:lineRule="exact"/>
        <w:rPr>
          <w:sz w:val="20"/>
          <w:szCs w:val="20"/>
          <w:color w:val="auto"/>
        </w:rPr>
      </w:pPr>
    </w:p>
    <w:p>
      <w:pPr>
        <w:ind w:left="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6"/>
            <w:szCs w:val="16"/>
            <w:u w:val="single" w:color="auto"/>
            <w:color w:val="0000EE"/>
          </w:rPr>
          <w:t>Opinion of Skadden, Arps, Slate, Meagher &amp; Flom LLP.*</w:t>
        </w:r>
      </w:hyperlink>
    </w:p>
    <w:p>
      <w:pPr>
        <w:spacing w:after="0" w:line="117" w:lineRule="exact"/>
        <w:rPr>
          <w:sz w:val="20"/>
          <w:szCs w:val="20"/>
          <w:color w:val="auto"/>
        </w:rPr>
      </w:pPr>
    </w:p>
    <w:p>
      <w:pPr>
        <w:ind w:left="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
        <w:r>
          <w:rPr>
            <w:rFonts w:ascii="Arial" w:cs="Arial" w:eastAsia="Arial" w:hAnsi="Arial"/>
            <w:sz w:val="16"/>
            <w:szCs w:val="16"/>
            <w:u w:val="single" w:color="auto"/>
            <w:color w:val="0000EE"/>
          </w:rPr>
          <w:t>Consent of Ernst &amp; Young LLP, Independent Registered Public Accounting Firm.*</w:t>
        </w:r>
      </w:hyperlink>
    </w:p>
    <w:p>
      <w:pPr>
        <w:spacing w:after="0" w:line="117" w:lineRule="exact"/>
        <w:rPr>
          <w:sz w:val="20"/>
          <w:szCs w:val="20"/>
          <w:color w:val="auto"/>
        </w:rPr>
      </w:pPr>
    </w:p>
    <w:p>
      <w:pPr>
        <w:ind w:left="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7">
        <w:r>
          <w:rPr>
            <w:rFonts w:ascii="Arial" w:cs="Arial" w:eastAsia="Arial" w:hAnsi="Arial"/>
            <w:sz w:val="16"/>
            <w:szCs w:val="16"/>
            <w:u w:val="single" w:color="auto"/>
            <w:color w:val="0000EE"/>
          </w:rPr>
          <w:t>Consent of Skadden, Arps, Slate, Meagher &amp; Flom LLP (included in Exhibit 5.1 hereto).*</w:t>
        </w:r>
      </w:hyperlink>
    </w:p>
    <w:p>
      <w:pPr>
        <w:spacing w:after="0" w:line="117" w:lineRule="exact"/>
        <w:rPr>
          <w:sz w:val="20"/>
          <w:szCs w:val="20"/>
          <w:color w:val="auto"/>
        </w:rPr>
      </w:pPr>
    </w:p>
    <w:p>
      <w:pPr>
        <w:ind w:left="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5">
        <w:r>
          <w:rPr>
            <w:rFonts w:ascii="Arial" w:cs="Arial" w:eastAsia="Arial" w:hAnsi="Arial"/>
            <w:sz w:val="16"/>
            <w:szCs w:val="16"/>
            <w:u w:val="single" w:color="auto"/>
            <w:color w:val="0000EE"/>
          </w:rPr>
          <w:t>Powers of Attorney (included as part of the signature page hereto).*</w:t>
        </w:r>
      </w:hyperlink>
    </w:p>
    <w:p>
      <w:pPr>
        <w:spacing w:after="0" w:line="117" w:lineRule="exact"/>
        <w:rPr>
          <w:sz w:val="20"/>
          <w:szCs w:val="20"/>
          <w:color w:val="auto"/>
        </w:rPr>
      </w:pPr>
    </w:p>
    <w:p>
      <w:pPr>
        <w:ind w:left="764" w:right="440" w:hanging="768"/>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8">
        <w:r>
          <w:rPr>
            <w:rFonts w:ascii="Arial" w:cs="Arial" w:eastAsia="Arial" w:hAnsi="Arial"/>
            <w:sz w:val="18"/>
            <w:szCs w:val="18"/>
            <w:u w:val="single" w:color="auto"/>
            <w:color w:val="0000EE"/>
          </w:rPr>
          <w:t>Perella Weinberg Partners 2021 Omnibus Incentive Plan (incorporated by reference to Exhibit 10.6 to the Company’s Current Report on</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Form 8-K, filed with the SEC on June 30, 2021).</w:t>
        </w:r>
      </w:hyperlink>
    </w:p>
    <w:p>
      <w:pPr>
        <w:spacing w:after="0" w:line="62" w:lineRule="exact"/>
        <w:rPr>
          <w:sz w:val="20"/>
          <w:szCs w:val="20"/>
          <w:color w:val="auto"/>
        </w:rPr>
      </w:pPr>
    </w:p>
    <w:p>
      <w:pPr>
        <w:ind w:left="764" w:right="380" w:hanging="768"/>
        <w:spacing w:after="0" w:line="277"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9">
        <w:r>
          <w:rPr>
            <w:rFonts w:ascii="Arial" w:cs="Arial" w:eastAsia="Arial" w:hAnsi="Arial"/>
            <w:sz w:val="18"/>
            <w:szCs w:val="18"/>
            <w:u w:val="single" w:color="auto"/>
            <w:color w:val="0000EE"/>
          </w:rPr>
          <w:t>French Sub-Plan Under the Perella Weinberg Partners 2021 Omnibus Equity Incentive Plan (incorporated by reference to Exhibit 10.7 to</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the Company’s Current Report on Form 8-K, filed with the SEC on June 30, 2021).</w:t>
        </w:r>
      </w:hyperlink>
    </w:p>
    <w:p>
      <w:pPr>
        <w:spacing w:after="0" w:line="62" w:lineRule="exact"/>
        <w:rPr>
          <w:sz w:val="20"/>
          <w:szCs w:val="20"/>
          <w:color w:val="auto"/>
        </w:rPr>
      </w:pPr>
    </w:p>
    <w:p>
      <w:pPr>
        <w:ind w:left="4"/>
        <w:spacing w:after="0"/>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11">
        <w:r>
          <w:rPr>
            <w:rFonts w:ascii="Arial" w:cs="Arial" w:eastAsia="Arial" w:hAnsi="Arial"/>
            <w:sz w:val="18"/>
            <w:szCs w:val="18"/>
            <w:u w:val="single" w:color="auto"/>
            <w:color w:val="0000EE"/>
          </w:rPr>
          <w:t>Filing Fee Table</w:t>
        </w:r>
      </w:hyperlink>
    </w:p>
    <w:p>
      <w:pPr>
        <w:spacing w:after="0" w:line="25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4" w:right="240" w:firstLine="7"/>
        <w:spacing w:after="0" w:line="263" w:lineRule="auto"/>
        <w:tabs>
          <w:tab w:leader="none" w:pos="124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75" w:lineRule="exact"/>
        <w:rPr>
          <w:rFonts w:ascii="Arial" w:cs="Arial" w:eastAsia="Arial" w:hAnsi="Arial"/>
          <w:sz w:val="18"/>
          <w:szCs w:val="18"/>
          <w:color w:val="auto"/>
        </w:rPr>
      </w:pPr>
    </w:p>
    <w:p>
      <w:pPr>
        <w:ind w:left="984" w:right="280" w:firstLine="7"/>
        <w:spacing w:after="0" w:line="277" w:lineRule="auto"/>
        <w:tabs>
          <w:tab w:leader="none" w:pos="129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8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 Form S-8,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79" w:lineRule="exact"/>
        <w:rPr>
          <w:sz w:val="20"/>
          <w:szCs w:val="20"/>
          <w:color w:val="auto"/>
        </w:rPr>
      </w:pPr>
    </w:p>
    <w:p>
      <w:pPr>
        <w:ind w:left="444" w:right="20" w:hanging="4"/>
        <w:spacing w:after="0" w:line="263"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4" w:right="640" w:hanging="4"/>
        <w:spacing w:after="0" w:line="277"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20" w:hanging="4"/>
        <w:spacing w:after="0" w:line="301" w:lineRule="auto"/>
        <w:tabs>
          <w:tab w:leader="none" w:pos="25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rFonts w:ascii="Arial" w:cs="Arial" w:eastAsia="Arial" w:hAnsi="Arial"/>
          <w:sz w:val="16"/>
          <w:szCs w:val="16"/>
          <w:color w:val="auto"/>
        </w:rPr>
      </w:pPr>
    </w:p>
    <w:p>
      <w:pPr>
        <w:ind w:left="244" w:hanging="244"/>
        <w:spacing w:after="0"/>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w:t>
      </w:r>
    </w:p>
    <w:p>
      <w:pPr>
        <w:spacing w:after="0" w:line="34" w:lineRule="exact"/>
        <w:rPr>
          <w:rFonts w:ascii="Arial" w:cs="Arial" w:eastAsia="Arial" w:hAnsi="Arial"/>
          <w:sz w:val="17"/>
          <w:szCs w:val="17"/>
          <w:color w:val="auto"/>
        </w:rPr>
      </w:pPr>
    </w:p>
    <w:p>
      <w:pPr>
        <w:ind w:left="4" w:right="120"/>
        <w:spacing w:after="0" w:line="252" w:lineRule="auto"/>
        <w:rPr>
          <w:rFonts w:ascii="Arial" w:cs="Arial" w:eastAsia="Arial" w:hAnsi="Arial"/>
          <w:sz w:val="17"/>
          <w:szCs w:val="17"/>
          <w:color w:val="auto"/>
        </w:rPr>
      </w:pPr>
      <w:r>
        <w:rPr>
          <w:rFonts w:ascii="Arial" w:cs="Arial" w:eastAsia="Arial" w:hAnsi="Arial"/>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February 25,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PERELLA WEINBERG PARTNERS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Peter A. Weinberg</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440" w:top="270" w:right="5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0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ind w:left="1820"/>
              <w:spacing w:after="0"/>
              <w:rPr>
                <w:sz w:val="20"/>
                <w:szCs w:val="20"/>
                <w:color w:val="auto"/>
              </w:rPr>
            </w:pPr>
            <w:r>
              <w:rPr>
                <w:rFonts w:ascii="Arial" w:cs="Arial" w:eastAsia="Arial" w:hAnsi="Arial"/>
                <w:sz w:val="14"/>
                <w:szCs w:val="14"/>
                <w:b w:val="1"/>
                <w:bCs w:val="1"/>
                <w:color w:val="auto"/>
              </w:rPr>
              <w:t>Date</w:t>
            </w: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Weinberg</w:t>
            </w:r>
          </w:p>
        </w:tc>
        <w:tc>
          <w:tcPr>
            <w:tcW w:w="400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Peter A. Weinberg</w:t>
            </w: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 Barancik</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Gary S. Barancik</w:t>
            </w: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Alexandra Gottschalk</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Accounting Officer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Alexandra Gottschalk</w:t>
            </w: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R. Perella</w:t>
            </w:r>
          </w:p>
        </w:tc>
        <w:tc>
          <w:tcPr>
            <w:tcW w:w="4000" w:type="dxa"/>
            <w:vAlign w:val="bottom"/>
          </w:tcPr>
          <w:p>
            <w:pPr>
              <w:ind w:left="120"/>
              <w:spacing w:after="0"/>
              <w:rPr>
                <w:sz w:val="20"/>
                <w:szCs w:val="20"/>
                <w:color w:val="auto"/>
              </w:rPr>
            </w:pPr>
            <w:r>
              <w:rPr>
                <w:rFonts w:ascii="Arial" w:cs="Arial" w:eastAsia="Arial" w:hAnsi="Arial"/>
                <w:sz w:val="18"/>
                <w:szCs w:val="18"/>
                <w:color w:val="auto"/>
              </w:rPr>
              <w:t>Chairman Emeritus</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Joseph R. Perella</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K. Steel</w:t>
            </w:r>
          </w:p>
        </w:tc>
        <w:tc>
          <w:tcPr>
            <w:tcW w:w="4000" w:type="dxa"/>
            <w:vAlign w:val="bottom"/>
          </w:tcPr>
          <w:p>
            <w:pPr>
              <w:ind w:left="120"/>
              <w:spacing w:after="0"/>
              <w:rPr>
                <w:sz w:val="20"/>
                <w:szCs w:val="20"/>
                <w:color w:val="auto"/>
              </w:rPr>
            </w:pPr>
            <w:r>
              <w:rPr>
                <w:rFonts w:ascii="Arial" w:cs="Arial" w:eastAsia="Arial" w:hAnsi="Arial"/>
                <w:sz w:val="18"/>
                <w:szCs w:val="18"/>
                <w:color w:val="auto"/>
              </w:rPr>
              <w:t>Vice Chairman</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Robert K. Steel</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Dietrich Becker</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Dietrich Becker</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Bednar</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Andrew Bednar</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Jorma Ollila</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Jorma Ollila</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Ivan G. Seidenberg</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Ivan G. Seidenberg</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C. Sherburne</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Jane C. Sherburne</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c>
          <w:tcPr>
            <w:tcW w:w="4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Daniel G. Cohen</w:t>
            </w:r>
          </w:p>
        </w:tc>
        <w:tc>
          <w:tcPr>
            <w:tcW w:w="40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64"/>
        </w:trPr>
        <w:tc>
          <w:tcPr>
            <w:tcW w:w="4180" w:type="dxa"/>
            <w:vAlign w:val="bottom"/>
          </w:tcPr>
          <w:p>
            <w:pPr>
              <w:spacing w:after="0"/>
              <w:rPr>
                <w:sz w:val="24"/>
                <w:szCs w:val="24"/>
                <w:color w:val="auto"/>
              </w:rPr>
            </w:pPr>
          </w:p>
        </w:tc>
        <w:tc>
          <w:tcPr>
            <w:tcW w:w="4000" w:type="dxa"/>
            <w:vAlign w:val="bottom"/>
          </w:tcPr>
          <w:p>
            <w:pPr>
              <w:ind w:left="1280"/>
              <w:spacing w:after="0"/>
              <w:rPr>
                <w:sz w:val="20"/>
                <w:szCs w:val="20"/>
                <w:color w:val="auto"/>
              </w:rPr>
            </w:pPr>
            <w:r>
              <w:rPr>
                <w:rFonts w:ascii="Arial" w:cs="Arial" w:eastAsia="Arial" w:hAnsi="Arial"/>
                <w:sz w:val="18"/>
                <w:szCs w:val="18"/>
                <w:color w:val="auto"/>
              </w:rPr>
              <w:t>6</w:t>
            </w:r>
          </w:p>
        </w:tc>
        <w:tc>
          <w:tcPr>
            <w:tcW w:w="240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6" w:name="page7"/>
    <w:bookmarkEnd w:id="6"/>
    <w:p>
      <w:pPr>
        <w:spacing w:after="0" w:line="200" w:lineRule="exact"/>
        <w:rPr>
          <w:sz w:val="20"/>
          <w:szCs w:val="20"/>
          <w:color w:val="auto"/>
        </w:rPr>
      </w:pPr>
    </w:p>
    <w:p>
      <w:pPr>
        <w:spacing w:after="0" w:line="2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KADDEN</w:t>
      </w:r>
      <w:r>
        <w:rPr>
          <w:rFonts w:ascii="Arial" w:cs="Arial" w:eastAsia="Arial" w:hAnsi="Arial"/>
          <w:sz w:val="18"/>
          <w:szCs w:val="18"/>
          <w:color w:val="auto"/>
        </w:rPr>
        <w:t>, A</w:t>
      </w:r>
      <w:r>
        <w:rPr>
          <w:rFonts w:ascii="Arial" w:cs="Arial" w:eastAsia="Arial" w:hAnsi="Arial"/>
          <w:sz w:val="14"/>
          <w:szCs w:val="14"/>
          <w:color w:val="auto"/>
        </w:rPr>
        <w:t>RPS</w:t>
      </w:r>
      <w:r>
        <w:rPr>
          <w:rFonts w:ascii="Arial" w:cs="Arial" w:eastAsia="Arial" w:hAnsi="Arial"/>
          <w:sz w:val="18"/>
          <w:szCs w:val="18"/>
          <w:color w:val="auto"/>
        </w:rPr>
        <w:t>, S</w:t>
      </w:r>
      <w:r>
        <w:rPr>
          <w:rFonts w:ascii="Arial" w:cs="Arial" w:eastAsia="Arial" w:hAnsi="Arial"/>
          <w:sz w:val="14"/>
          <w:szCs w:val="14"/>
          <w:color w:val="auto"/>
        </w:rPr>
        <w:t>LATE</w:t>
      </w:r>
      <w:r>
        <w:rPr>
          <w:rFonts w:ascii="Arial" w:cs="Arial" w:eastAsia="Arial" w:hAnsi="Arial"/>
          <w:sz w:val="18"/>
          <w:szCs w:val="18"/>
          <w:color w:val="auto"/>
        </w:rPr>
        <w:t>, M</w:t>
      </w:r>
      <w:r>
        <w:rPr>
          <w:rFonts w:ascii="Arial" w:cs="Arial" w:eastAsia="Arial" w:hAnsi="Arial"/>
          <w:sz w:val="14"/>
          <w:szCs w:val="14"/>
          <w:color w:val="auto"/>
        </w:rPr>
        <w:t>EAGHER</w:t>
      </w:r>
      <w:r>
        <w:rPr>
          <w:rFonts w:ascii="Arial" w:cs="Arial" w:eastAsia="Arial" w:hAnsi="Arial"/>
          <w:sz w:val="18"/>
          <w:szCs w:val="18"/>
          <w:color w:val="auto"/>
        </w:rPr>
        <w:t xml:space="preserve"> &amp; F</w:t>
      </w:r>
      <w:r>
        <w:rPr>
          <w:rFonts w:ascii="Arial" w:cs="Arial" w:eastAsia="Arial" w:hAnsi="Arial"/>
          <w:sz w:val="14"/>
          <w:szCs w:val="14"/>
          <w:color w:val="auto"/>
        </w:rPr>
        <w:t>LOM LLP</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117475</wp:posOffset>
            </wp:positionV>
            <wp:extent cx="1056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31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TEL: (212) 735-3000</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www.skadden.com</w:t>
      </w:r>
    </w:p>
    <w:p>
      <w:pPr>
        <w:spacing w:after="0" w:line="200" w:lineRule="exact"/>
        <w:rPr>
          <w:sz w:val="20"/>
          <w:szCs w:val="20"/>
          <w:color w:val="auto"/>
        </w:rPr>
      </w:pPr>
    </w:p>
    <w:p>
      <w:pPr>
        <w:spacing w:after="0" w:line="29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FIRM/AFFILIATE</w:t>
      </w:r>
    </w:p>
    <w:p>
      <w:pPr>
        <w:jc w:val="center"/>
        <w:ind w:right="240"/>
        <w:spacing w:after="0"/>
        <w:rPr>
          <w:sz w:val="20"/>
          <w:szCs w:val="20"/>
          <w:color w:val="auto"/>
        </w:rPr>
      </w:pPr>
      <w:r>
        <w:rPr>
          <w:rFonts w:ascii="Arial" w:cs="Arial" w:eastAsia="Arial" w:hAnsi="Arial"/>
          <w:sz w:val="14"/>
          <w:szCs w:val="14"/>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73660</wp:posOffset>
            </wp:positionV>
            <wp:extent cx="1114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BOSTON</w:t>
      </w:r>
    </w:p>
    <w:p>
      <w:pPr>
        <w:jc w:val="center"/>
        <w:ind w:right="240"/>
        <w:spacing w:after="0" w:line="221" w:lineRule="auto"/>
        <w:rPr>
          <w:sz w:val="20"/>
          <w:szCs w:val="20"/>
          <w:color w:val="auto"/>
        </w:rPr>
      </w:pPr>
      <w:r>
        <w:rPr>
          <w:rFonts w:ascii="Arial" w:cs="Arial" w:eastAsia="Arial" w:hAnsi="Arial"/>
          <w:sz w:val="14"/>
          <w:szCs w:val="14"/>
          <w:color w:val="auto"/>
        </w:rPr>
        <w:t>CHICAGO</w:t>
      </w:r>
    </w:p>
    <w:p>
      <w:pPr>
        <w:jc w:val="center"/>
        <w:ind w:right="240"/>
        <w:spacing w:after="0" w:line="221" w:lineRule="auto"/>
        <w:rPr>
          <w:sz w:val="20"/>
          <w:szCs w:val="20"/>
          <w:color w:val="auto"/>
        </w:rPr>
      </w:pPr>
      <w:r>
        <w:rPr>
          <w:rFonts w:ascii="Arial" w:cs="Arial" w:eastAsia="Arial" w:hAnsi="Arial"/>
          <w:sz w:val="14"/>
          <w:szCs w:val="14"/>
          <w:color w:val="auto"/>
        </w:rPr>
        <w:t>HOUSTON</w:t>
      </w:r>
    </w:p>
    <w:p>
      <w:pPr>
        <w:jc w:val="center"/>
        <w:ind w:right="240"/>
        <w:spacing w:after="0" w:line="222" w:lineRule="auto"/>
        <w:rPr>
          <w:sz w:val="20"/>
          <w:szCs w:val="20"/>
          <w:color w:val="auto"/>
        </w:rPr>
      </w:pPr>
      <w:r>
        <w:rPr>
          <w:rFonts w:ascii="Arial" w:cs="Arial" w:eastAsia="Arial" w:hAnsi="Arial"/>
          <w:sz w:val="14"/>
          <w:szCs w:val="14"/>
          <w:color w:val="auto"/>
        </w:rPr>
        <w:t>LOS ANGELES</w:t>
      </w:r>
    </w:p>
    <w:p>
      <w:pPr>
        <w:jc w:val="center"/>
        <w:ind w:right="240"/>
        <w:spacing w:after="0" w:line="221" w:lineRule="auto"/>
        <w:rPr>
          <w:sz w:val="20"/>
          <w:szCs w:val="20"/>
          <w:color w:val="auto"/>
        </w:rPr>
      </w:pPr>
      <w:r>
        <w:rPr>
          <w:rFonts w:ascii="Arial" w:cs="Arial" w:eastAsia="Arial" w:hAnsi="Arial"/>
          <w:sz w:val="14"/>
          <w:szCs w:val="14"/>
          <w:color w:val="auto"/>
        </w:rPr>
        <w:t>PALO ALTO</w:t>
      </w:r>
    </w:p>
    <w:p>
      <w:pPr>
        <w:jc w:val="center"/>
        <w:ind w:right="240"/>
        <w:spacing w:after="0"/>
        <w:rPr>
          <w:sz w:val="20"/>
          <w:szCs w:val="20"/>
          <w:color w:val="auto"/>
        </w:rPr>
      </w:pPr>
      <w:r>
        <w:rPr>
          <w:rFonts w:ascii="Arial" w:cs="Arial" w:eastAsia="Arial" w:hAnsi="Arial"/>
          <w:sz w:val="13"/>
          <w:szCs w:val="13"/>
          <w:color w:val="auto"/>
        </w:rPr>
        <w:t>WASHINGTON, D.C.</w:t>
      </w:r>
    </w:p>
    <w:p>
      <w:pPr>
        <w:jc w:val="center"/>
        <w:ind w:right="240"/>
        <w:spacing w:after="0"/>
        <w:rPr>
          <w:sz w:val="20"/>
          <w:szCs w:val="20"/>
          <w:color w:val="auto"/>
        </w:rPr>
      </w:pPr>
      <w:r>
        <w:rPr>
          <w:rFonts w:ascii="Arial" w:cs="Arial" w:eastAsia="Arial" w:hAnsi="Arial"/>
          <w:sz w:val="14"/>
          <w:szCs w:val="14"/>
          <w:color w:val="auto"/>
        </w:rPr>
        <w:t>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81915</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BEIJING</w:t>
      </w:r>
    </w:p>
    <w:p>
      <w:pPr>
        <w:jc w:val="center"/>
        <w:ind w:right="240"/>
        <w:spacing w:after="0" w:line="221" w:lineRule="auto"/>
        <w:rPr>
          <w:sz w:val="20"/>
          <w:szCs w:val="20"/>
          <w:color w:val="auto"/>
        </w:rPr>
      </w:pPr>
      <w:r>
        <w:rPr>
          <w:rFonts w:ascii="Arial" w:cs="Arial" w:eastAsia="Arial" w:hAnsi="Arial"/>
          <w:sz w:val="14"/>
          <w:szCs w:val="14"/>
          <w:color w:val="auto"/>
        </w:rPr>
        <w:t>BRUSSELS</w:t>
      </w:r>
    </w:p>
    <w:p>
      <w:pPr>
        <w:jc w:val="center"/>
        <w:ind w:right="240"/>
        <w:spacing w:after="0" w:line="221" w:lineRule="auto"/>
        <w:rPr>
          <w:sz w:val="20"/>
          <w:szCs w:val="20"/>
          <w:color w:val="auto"/>
        </w:rPr>
      </w:pPr>
      <w:r>
        <w:rPr>
          <w:rFonts w:ascii="Arial" w:cs="Arial" w:eastAsia="Arial" w:hAnsi="Arial"/>
          <w:sz w:val="14"/>
          <w:szCs w:val="14"/>
          <w:color w:val="auto"/>
        </w:rPr>
        <w:t>FRANKFURT</w:t>
      </w:r>
    </w:p>
    <w:p>
      <w:pPr>
        <w:jc w:val="center"/>
        <w:ind w:right="240"/>
        <w:spacing w:after="0" w:line="222" w:lineRule="auto"/>
        <w:rPr>
          <w:sz w:val="20"/>
          <w:szCs w:val="20"/>
          <w:color w:val="auto"/>
        </w:rPr>
      </w:pPr>
      <w:r>
        <w:rPr>
          <w:rFonts w:ascii="Arial" w:cs="Arial" w:eastAsia="Arial" w:hAnsi="Arial"/>
          <w:sz w:val="14"/>
          <w:szCs w:val="14"/>
          <w:color w:val="auto"/>
        </w:rPr>
        <w:t>HONG KONG</w:t>
      </w:r>
    </w:p>
    <w:p>
      <w:pPr>
        <w:jc w:val="center"/>
        <w:ind w:right="240"/>
        <w:spacing w:after="0" w:line="221" w:lineRule="auto"/>
        <w:rPr>
          <w:sz w:val="20"/>
          <w:szCs w:val="20"/>
          <w:color w:val="auto"/>
        </w:rPr>
      </w:pPr>
      <w:r>
        <w:rPr>
          <w:rFonts w:ascii="Arial" w:cs="Arial" w:eastAsia="Arial" w:hAnsi="Arial"/>
          <w:sz w:val="14"/>
          <w:szCs w:val="14"/>
          <w:color w:val="auto"/>
        </w:rPr>
        <w:t>LONDON</w:t>
      </w:r>
    </w:p>
    <w:p>
      <w:pPr>
        <w:jc w:val="center"/>
        <w:ind w:right="240"/>
        <w:spacing w:after="0" w:line="221" w:lineRule="auto"/>
        <w:rPr>
          <w:sz w:val="20"/>
          <w:szCs w:val="20"/>
          <w:color w:val="auto"/>
        </w:rPr>
      </w:pPr>
      <w:r>
        <w:rPr>
          <w:rFonts w:ascii="Arial" w:cs="Arial" w:eastAsia="Arial" w:hAnsi="Arial"/>
          <w:sz w:val="14"/>
          <w:szCs w:val="14"/>
          <w:color w:val="auto"/>
        </w:rPr>
        <w:t>MOSCOW</w:t>
      </w:r>
    </w:p>
    <w:p>
      <w:pPr>
        <w:jc w:val="center"/>
        <w:ind w:right="240"/>
        <w:spacing w:after="0" w:line="222" w:lineRule="auto"/>
        <w:rPr>
          <w:sz w:val="20"/>
          <w:szCs w:val="20"/>
          <w:color w:val="auto"/>
        </w:rPr>
      </w:pPr>
      <w:r>
        <w:rPr>
          <w:rFonts w:ascii="Arial" w:cs="Arial" w:eastAsia="Arial" w:hAnsi="Arial"/>
          <w:sz w:val="14"/>
          <w:szCs w:val="14"/>
          <w:color w:val="auto"/>
        </w:rPr>
        <w:t>MUNICH</w:t>
      </w:r>
    </w:p>
    <w:p>
      <w:pPr>
        <w:jc w:val="center"/>
        <w:ind w:right="240"/>
        <w:spacing w:after="0" w:line="221" w:lineRule="auto"/>
        <w:rPr>
          <w:sz w:val="20"/>
          <w:szCs w:val="20"/>
          <w:color w:val="auto"/>
        </w:rPr>
      </w:pPr>
      <w:r>
        <w:rPr>
          <w:rFonts w:ascii="Arial" w:cs="Arial" w:eastAsia="Arial" w:hAnsi="Arial"/>
          <w:sz w:val="14"/>
          <w:szCs w:val="14"/>
          <w:color w:val="auto"/>
        </w:rPr>
        <w:t>PARIS</w:t>
      </w:r>
    </w:p>
    <w:p>
      <w:pPr>
        <w:jc w:val="center"/>
        <w:ind w:right="240"/>
        <w:spacing w:after="0" w:line="222" w:lineRule="auto"/>
        <w:rPr>
          <w:sz w:val="20"/>
          <w:szCs w:val="20"/>
          <w:color w:val="auto"/>
        </w:rPr>
      </w:pPr>
      <w:r>
        <w:rPr>
          <w:rFonts w:ascii="Arial" w:cs="Arial" w:eastAsia="Arial" w:hAnsi="Arial"/>
          <w:sz w:val="14"/>
          <w:szCs w:val="14"/>
          <w:color w:val="auto"/>
        </w:rPr>
        <w:t>SÃO PAULO</w:t>
      </w:r>
    </w:p>
    <w:p>
      <w:pPr>
        <w:jc w:val="center"/>
        <w:ind w:right="240"/>
        <w:spacing w:after="0" w:line="221" w:lineRule="auto"/>
        <w:rPr>
          <w:sz w:val="20"/>
          <w:szCs w:val="20"/>
          <w:color w:val="auto"/>
        </w:rPr>
      </w:pPr>
      <w:r>
        <w:rPr>
          <w:rFonts w:ascii="Arial" w:cs="Arial" w:eastAsia="Arial" w:hAnsi="Arial"/>
          <w:sz w:val="14"/>
          <w:szCs w:val="14"/>
          <w:color w:val="auto"/>
        </w:rPr>
        <w:t>SEOUL</w:t>
      </w:r>
    </w:p>
    <w:p>
      <w:pPr>
        <w:jc w:val="center"/>
        <w:ind w:right="240"/>
        <w:spacing w:after="0" w:line="221" w:lineRule="auto"/>
        <w:rPr>
          <w:sz w:val="20"/>
          <w:szCs w:val="20"/>
          <w:color w:val="auto"/>
        </w:rPr>
      </w:pPr>
      <w:r>
        <w:rPr>
          <w:rFonts w:ascii="Arial" w:cs="Arial" w:eastAsia="Arial" w:hAnsi="Arial"/>
          <w:sz w:val="14"/>
          <w:szCs w:val="14"/>
          <w:color w:val="auto"/>
        </w:rPr>
        <w:t>SHANGHAI</w:t>
      </w:r>
    </w:p>
    <w:p>
      <w:pPr>
        <w:jc w:val="center"/>
        <w:ind w:right="240"/>
        <w:spacing w:after="0" w:line="222" w:lineRule="auto"/>
        <w:rPr>
          <w:sz w:val="20"/>
          <w:szCs w:val="20"/>
          <w:color w:val="auto"/>
        </w:rPr>
      </w:pPr>
      <w:r>
        <w:rPr>
          <w:rFonts w:ascii="Arial" w:cs="Arial" w:eastAsia="Arial" w:hAnsi="Arial"/>
          <w:sz w:val="14"/>
          <w:szCs w:val="14"/>
          <w:color w:val="auto"/>
        </w:rPr>
        <w:t>SINGAPORE</w:t>
      </w:r>
    </w:p>
    <w:p>
      <w:pPr>
        <w:jc w:val="center"/>
        <w:ind w:right="240"/>
        <w:spacing w:after="0" w:line="221" w:lineRule="auto"/>
        <w:rPr>
          <w:sz w:val="20"/>
          <w:szCs w:val="20"/>
          <w:color w:val="auto"/>
        </w:rPr>
      </w:pPr>
      <w:r>
        <w:rPr>
          <w:rFonts w:ascii="Arial" w:cs="Arial" w:eastAsia="Arial" w:hAnsi="Arial"/>
          <w:sz w:val="14"/>
          <w:szCs w:val="14"/>
          <w:color w:val="auto"/>
        </w:rPr>
        <w:t>TOKYO</w:t>
      </w:r>
    </w:p>
    <w:p>
      <w:pPr>
        <w:jc w:val="center"/>
        <w:ind w:right="240"/>
        <w:spacing w:after="0"/>
        <w:rPr>
          <w:sz w:val="20"/>
          <w:szCs w:val="20"/>
          <w:color w:val="auto"/>
        </w:rPr>
      </w:pPr>
      <w:r>
        <w:rPr>
          <w:rFonts w:ascii="Arial" w:cs="Arial" w:eastAsia="Arial" w:hAnsi="Arial"/>
          <w:sz w:val="14"/>
          <w:szCs w:val="14"/>
          <w:color w:val="auto"/>
        </w:rPr>
        <w:t>TORONTO</w:t>
      </w:r>
    </w:p>
    <w:p>
      <w:pPr>
        <w:spacing w:after="0" w:line="1062" w:lineRule="exact"/>
        <w:rPr>
          <w:sz w:val="20"/>
          <w:szCs w:val="20"/>
          <w:color w:val="auto"/>
        </w:rPr>
      </w:pPr>
    </w:p>
    <w:p>
      <w:pPr>
        <w:sectPr>
          <w:pgSz w:w="11900" w:h="16838" w:orient="portrait"/>
          <w:cols w:equalWidth="0" w:num="2">
            <w:col w:w="8760" w:space="720"/>
            <w:col w:w="1540"/>
          </w:cols>
          <w:pgMar w:left="440" w:top="121" w:right="4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ind w:left="1420"/>
              <w:spacing w:after="0"/>
              <w:rPr>
                <w:sz w:val="20"/>
                <w:szCs w:val="20"/>
                <w:color w:val="auto"/>
              </w:rPr>
            </w:pPr>
            <w:r>
              <w:rPr>
                <w:rFonts w:ascii="Arial" w:cs="Arial" w:eastAsia="Arial" w:hAnsi="Arial"/>
                <w:sz w:val="18"/>
                <w:szCs w:val="18"/>
                <w:color w:val="auto"/>
              </w:rPr>
              <w:t>Re:</w:t>
            </w:r>
          </w:p>
        </w:tc>
        <w:tc>
          <w:tcPr>
            <w:tcW w:w="2600" w:type="dxa"/>
            <w:vAlign w:val="bottom"/>
          </w:tcPr>
          <w:p>
            <w:pPr>
              <w:spacing w:after="0"/>
              <w:rPr>
                <w:sz w:val="20"/>
                <w:szCs w:val="20"/>
                <w:color w:val="auto"/>
              </w:rPr>
            </w:pPr>
            <w:r>
              <w:rPr>
                <w:rFonts w:ascii="Arial" w:cs="Arial" w:eastAsia="Arial" w:hAnsi="Arial"/>
                <w:sz w:val="18"/>
                <w:szCs w:val="18"/>
                <w:color w:val="auto"/>
              </w:rPr>
              <w:t>Perella Weinberg Partners</w:t>
            </w:r>
          </w:p>
        </w:tc>
      </w:tr>
      <w:tr>
        <w:trPr>
          <w:trHeight w:val="190"/>
        </w:trPr>
        <w:tc>
          <w:tcPr>
            <w:tcW w:w="214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S-8</w:t>
            </w:r>
          </w:p>
        </w:tc>
      </w:tr>
      <w:tr>
        <w:trPr>
          <w:trHeight w:val="453"/>
        </w:trPr>
        <w:tc>
          <w:tcPr>
            <w:tcW w:w="2140" w:type="dxa"/>
            <w:vAlign w:val="bottom"/>
          </w:tcPr>
          <w:p>
            <w:pPr>
              <w:spacing w:after="0"/>
              <w:rPr>
                <w:sz w:val="20"/>
                <w:szCs w:val="20"/>
                <w:color w:val="auto"/>
              </w:rPr>
            </w:pPr>
            <w:r>
              <w:rPr>
                <w:rFonts w:ascii="Arial" w:cs="Arial" w:eastAsia="Arial" w:hAnsi="Arial"/>
                <w:sz w:val="18"/>
                <w:szCs w:val="18"/>
                <w:color w:val="auto"/>
              </w:rPr>
              <w:t>Ladies and Gentlemen:</w:t>
            </w:r>
          </w:p>
        </w:tc>
        <w:tc>
          <w:tcPr>
            <w:tcW w:w="2600" w:type="dxa"/>
            <w:vAlign w:val="bottom"/>
          </w:tcPr>
          <w:p>
            <w:pPr>
              <w:spacing w:after="0"/>
              <w:rPr>
                <w:sz w:val="24"/>
                <w:szCs w:val="24"/>
                <w:color w:val="auto"/>
              </w:rPr>
            </w:pPr>
          </w:p>
        </w:tc>
      </w:tr>
    </w:tbl>
    <w:p>
      <w:pPr>
        <w:spacing w:after="0" w:line="20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We have acted as special United States counsel to Perella Weinberg Partners,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Company’s Registration Statement on Form S-8 (together with the exhibits thereto, the “Registration Statement”) to be filed on the date hereof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of 10,364,127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Class A common stock, par value $0.0001 per share, available for future issuance under the Perella Weinberg Partners 2021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of the General Rules and Regulations of the Commission promulgated under the Securities Act (the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 stated herein, we have examined the following:</w:t>
      </w:r>
    </w:p>
    <w:p>
      <w:pPr>
        <w:spacing w:after="0" w:line="225" w:lineRule="exact"/>
        <w:rPr>
          <w:sz w:val="20"/>
          <w:szCs w:val="20"/>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Statement in the form to be filed with the Commission on the date hereof;</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executed copy of a certificate of Gary Barancik, Chief Financial Officer and Partner, dated the date hereof (the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copy of the Company’s Amended and Restated Certificate of Incorporation (the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as in effect as of December 28, 2020, certified by the Secretary of State of the State of Delaware as of February 25, 2022, and certified pursuant to the Officer’s Certificate;</w:t>
      </w:r>
    </w:p>
    <w:p>
      <w:pPr>
        <w:spacing w:after="0" w:line="183"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copy of the Company’s Second Amended and Restated Certificate of Incorporation (the “</w:t>
      </w:r>
      <w:r>
        <w:rPr>
          <w:rFonts w:ascii="Arial" w:cs="Arial" w:eastAsia="Arial" w:hAnsi="Arial"/>
          <w:sz w:val="18"/>
          <w:szCs w:val="18"/>
          <w:u w:val="single" w:color="auto"/>
          <w:color w:val="auto"/>
        </w:rPr>
        <w:t>Second Amended and Restated 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 as currently in effect, certified by the Secretary of State of the State of Delaware as of February 25, 2022, and certified pursuant to the Officer’s Certificate;</w:t>
      </w:r>
    </w:p>
    <w:p>
      <w:pPr>
        <w:spacing w:after="0" w:line="183" w:lineRule="exact"/>
        <w:rPr>
          <w:rFonts w:ascii="Arial" w:cs="Arial" w:eastAsia="Arial" w:hAnsi="Arial"/>
          <w:sz w:val="18"/>
          <w:szCs w:val="18"/>
          <w:color w:val="auto"/>
        </w:rPr>
      </w:pPr>
    </w:p>
    <w:p>
      <w:pPr>
        <w:ind w:right="680" w:firstLine="436"/>
        <w:spacing w:after="0" w:line="277"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copies of the Company’s Bylaws (the “</w:t>
      </w:r>
      <w:r>
        <w:rPr>
          <w:rFonts w:ascii="Arial" w:cs="Arial" w:eastAsia="Arial" w:hAnsi="Arial"/>
          <w:sz w:val="18"/>
          <w:szCs w:val="18"/>
          <w:u w:val="single" w:color="auto"/>
          <w:color w:val="auto"/>
        </w:rPr>
        <w:t>Bylaws</w:t>
      </w:r>
      <w:r>
        <w:rPr>
          <w:rFonts w:ascii="Arial" w:cs="Arial" w:eastAsia="Arial" w:hAnsi="Arial"/>
          <w:sz w:val="18"/>
          <w:szCs w:val="18"/>
          <w:color w:val="auto"/>
        </w:rPr>
        <w:t>”), as amended and in effect as of June 24, 2021, and certified pursuant to the Officer’s Certificate;</w:t>
      </w:r>
    </w:p>
    <w:p>
      <w:pPr>
        <w:spacing w:after="0" w:line="170"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copies of the Company’s Amended and Restated Bylaws (the “</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as amended and in effect as of the date hereof, and certified pursuant to the Officer’s Certificate; and</w:t>
      </w:r>
    </w:p>
    <w:p>
      <w:pPr>
        <w:spacing w:after="0" w:line="170"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copies of certain resolutions of the Board of Directors of the Company relating to the approval of the Plan and certain related matters and certified pursuant to the Officer’s Certificate.</w:t>
      </w:r>
    </w:p>
    <w:p>
      <w:pPr>
        <w:spacing w:after="0" w:line="170"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w:t>
      </w:r>
    </w:p>
    <w:p>
      <w:pPr>
        <w:sectPr>
          <w:pgSz w:w="11900" w:h="16838" w:orient="portrait"/>
          <w:cols w:equalWidth="0" w:num="1">
            <w:col w:w="10940"/>
          </w:cols>
          <w:pgMar w:left="440" w:top="274"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Officer’s Certificate.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issuance of the Shares does not violate or conflict with any agreement or instrument binding on the Company (except that we do not and will not make this assumption with respect to the Second Amended and Restated Certificate of Incorporation and the Amended and Restated Bylaws).</w:t>
      </w:r>
    </w:p>
    <w:p>
      <w:pPr>
        <w:spacing w:after="0" w:line="17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pacing w:after="0" w:line="17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98"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0940"/>
          </w:cols>
          <w:pgMar w:left="440" w:top="274" w:right="5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on Form S-8 pertaining to the 2021 Omnibus Incentive Plan of Perella Weinberg Partners of our report dated March 10, 2021, with respect to the consolidated financial statements of PWP Holdings LP and Subsidiaries that are included in the prospectus relating to the Registration Statement on Form S-1, as amended (File No. 333-261785) of Perella Weinberg Partners, filed with the SEC under Rule 424(b) under the Securities Act on January 20, 2022, which is incorporated by reference in the Registration Statement.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Table I: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34"/>
        </w:trPr>
        <w:tc>
          <w:tcPr>
            <w:tcW w:w="1920" w:type="dxa"/>
            <w:vAlign w:val="bottom"/>
            <w:tcBorders>
              <w:top w:val="single" w:sz="8" w:color="auto"/>
              <w:left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82"/>
              </w:rPr>
              <w:t>Proposed</w:t>
            </w:r>
          </w:p>
        </w:tc>
        <w:tc>
          <w:tcPr>
            <w:tcW w:w="152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r>
      <w:tr>
        <w:trPr>
          <w:trHeight w:val="135"/>
        </w:trPr>
        <w:tc>
          <w:tcPr>
            <w:tcW w:w="1920" w:type="dxa"/>
            <w:vAlign w:val="bottom"/>
            <w:tcBorders>
              <w:lef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5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r>
      <w:tr>
        <w:trPr>
          <w:trHeight w:val="135"/>
        </w:trPr>
        <w:tc>
          <w:tcPr>
            <w:tcW w:w="1920" w:type="dxa"/>
            <w:vAlign w:val="bottom"/>
            <w:tcBorders>
              <w:lef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3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520" w:type="dxa"/>
            <w:vAlign w:val="bottom"/>
            <w:tcBorders>
              <w:right w:val="single" w:sz="8" w:color="auto"/>
            </w:tcBorders>
          </w:tcPr>
          <w:p>
            <w:pPr>
              <w:jc w:val="center"/>
              <w:ind w:left="6"/>
              <w:spacing w:after="0" w:line="135" w:lineRule="exact"/>
              <w:rPr>
                <w:sz w:val="20"/>
                <w:szCs w:val="20"/>
                <w:color w:val="auto"/>
              </w:rPr>
            </w:pPr>
            <w:r>
              <w:rPr>
                <w:rFonts w:ascii="Arial" w:cs="Arial" w:eastAsia="Arial" w:hAnsi="Arial"/>
                <w:sz w:val="13"/>
                <w:szCs w:val="13"/>
                <w:color w:val="auto"/>
                <w:w w:val="92"/>
              </w:rPr>
              <w:t>Maximum</w:t>
            </w: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40" w:type="dxa"/>
            <w:vAlign w:val="bottom"/>
            <w:tcBorders>
              <w:right w:val="single" w:sz="8" w:color="auto"/>
            </w:tcBorders>
          </w:tcPr>
          <w:p>
            <w:pPr>
              <w:spacing w:after="0"/>
              <w:rPr>
                <w:sz w:val="11"/>
                <w:szCs w:val="11"/>
                <w:color w:val="auto"/>
              </w:rPr>
            </w:pPr>
          </w:p>
        </w:tc>
      </w:tr>
      <w:tr>
        <w:trPr>
          <w:trHeight w:val="135"/>
        </w:trPr>
        <w:tc>
          <w:tcPr>
            <w:tcW w:w="1920" w:type="dxa"/>
            <w:vAlign w:val="bottom"/>
            <w:tcBorders>
              <w:lef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32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color w:val="auto"/>
                <w:w w:val="89"/>
              </w:rPr>
              <w:t>Amount</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 Offering</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40" w:type="dxa"/>
            <w:vAlign w:val="bottom"/>
            <w:tcBorders>
              <w:right w:val="single" w:sz="8" w:color="auto"/>
            </w:tcBorders>
          </w:tcPr>
          <w:p>
            <w:pPr>
              <w:spacing w:after="0"/>
              <w:rPr>
                <w:sz w:val="11"/>
                <w:szCs w:val="11"/>
                <w:color w:val="auto"/>
              </w:rPr>
            </w:pPr>
          </w:p>
        </w:tc>
      </w:tr>
      <w:tr>
        <w:trPr>
          <w:trHeight w:val="163"/>
        </w:trPr>
        <w:tc>
          <w:tcPr>
            <w:tcW w:w="1920" w:type="dxa"/>
            <w:vAlign w:val="bottom"/>
            <w:tcBorders>
              <w:left w:val="single" w:sz="8" w:color="auto"/>
              <w:bottom w:val="single" w:sz="8" w:color="auto"/>
            </w:tcBorders>
          </w:tcPr>
          <w:p>
            <w:pPr>
              <w:jc w:val="center"/>
              <w:ind w:left="544"/>
              <w:spacing w:after="0"/>
              <w:rPr>
                <w:sz w:val="20"/>
                <w:szCs w:val="20"/>
                <w:color w:val="auto"/>
              </w:rPr>
            </w:pPr>
            <w:r>
              <w:rPr>
                <w:rFonts w:ascii="Arial" w:cs="Arial" w:eastAsia="Arial" w:hAnsi="Arial"/>
                <w:sz w:val="13"/>
                <w:szCs w:val="13"/>
                <w:color w:val="auto"/>
                <w:w w:val="88"/>
              </w:rPr>
              <w:t>Security Type</w:t>
            </w:r>
          </w:p>
        </w:tc>
        <w:tc>
          <w:tcPr>
            <w:tcW w:w="50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40" w:type="dxa"/>
            <w:vAlign w:val="bottom"/>
            <w:tcBorders>
              <w:bottom w:val="single" w:sz="8" w:color="auto"/>
              <w:right w:val="single" w:sz="8" w:color="auto"/>
            </w:tcBorders>
          </w:tcPr>
          <w:p>
            <w:pPr>
              <w:spacing w:after="0"/>
              <w:rPr>
                <w:sz w:val="14"/>
                <w:szCs w:val="14"/>
                <w:color w:val="auto"/>
              </w:rPr>
            </w:pPr>
          </w:p>
        </w:tc>
      </w:tr>
      <w:tr>
        <w:trPr>
          <w:trHeight w:val="195"/>
        </w:trPr>
        <w:tc>
          <w:tcPr>
            <w:tcW w:w="1920" w:type="dxa"/>
            <w:vAlign w:val="bottom"/>
            <w:tcBorders>
              <w:left w:val="single" w:sz="8" w:color="auto"/>
            </w:tcBorders>
          </w:tcPr>
          <w:p>
            <w:pPr>
              <w:jc w:val="center"/>
              <w:ind w:left="564"/>
              <w:spacing w:after="0" w:line="195" w:lineRule="exact"/>
              <w:rPr>
                <w:sz w:val="20"/>
                <w:szCs w:val="20"/>
                <w:color w:val="auto"/>
              </w:rPr>
            </w:pPr>
            <w:r>
              <w:rPr>
                <w:rFonts w:ascii="Arial" w:cs="Arial" w:eastAsia="Arial" w:hAnsi="Arial"/>
                <w:sz w:val="18"/>
                <w:szCs w:val="18"/>
                <w:color w:val="auto"/>
                <w:w w:val="95"/>
              </w:rPr>
              <w:t>Equity</w:t>
            </w:r>
          </w:p>
        </w:tc>
        <w:tc>
          <w:tcPr>
            <w:tcW w:w="5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Class A</w:t>
            </w:r>
          </w:p>
        </w:tc>
        <w:tc>
          <w:tcPr>
            <w:tcW w:w="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$92.70</w:t>
            </w:r>
          </w:p>
        </w:tc>
        <w:tc>
          <w:tcPr>
            <w:tcW w:w="10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r>
      <w:tr>
        <w:trPr>
          <w:trHeight w:val="216"/>
        </w:trPr>
        <w:tc>
          <w:tcPr>
            <w:tcW w:w="1920" w:type="dxa"/>
            <w:vAlign w:val="bottom"/>
            <w:tcBorders>
              <w:lef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w:t>
            </w: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r>
      <w:tr>
        <w:trPr>
          <w:trHeight w:val="216"/>
        </w:trPr>
        <w:tc>
          <w:tcPr>
            <w:tcW w:w="1920" w:type="dxa"/>
            <w:vAlign w:val="bottom"/>
            <w:tcBorders>
              <w:lef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par value $0.0001</w:t>
            </w:r>
          </w:p>
        </w:tc>
        <w:tc>
          <w:tcPr>
            <w:tcW w:w="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million</w:t>
            </w: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r>
      <w:tr>
        <w:trPr>
          <w:trHeight w:val="230"/>
        </w:trPr>
        <w:tc>
          <w:tcPr>
            <w:tcW w:w="192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457(a)</w:t>
            </w:r>
          </w:p>
        </w:tc>
        <w:tc>
          <w:tcPr>
            <w:tcW w:w="13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92"/>
              </w:rPr>
              <w:t>10,364,127</w:t>
            </w:r>
            <w:r>
              <w:rPr>
                <w:rFonts w:ascii="Arial" w:cs="Arial" w:eastAsia="Arial" w:hAnsi="Arial"/>
                <w:sz w:val="15"/>
                <w:szCs w:val="15"/>
                <w:color w:val="auto"/>
                <w:w w:val="92"/>
              </w:rPr>
              <w:t>(1)</w:t>
            </w:r>
          </w:p>
        </w:tc>
        <w:tc>
          <w:tcPr>
            <w:tcW w:w="9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8"/>
                <w:szCs w:val="18"/>
                <w:color w:val="auto"/>
                <w:w w:val="91"/>
              </w:rPr>
              <w:t xml:space="preserve">$10.99 </w:t>
            </w:r>
            <w:r>
              <w:rPr>
                <w:rFonts w:ascii="Arial" w:cs="Arial" w:eastAsia="Arial" w:hAnsi="Arial"/>
                <w:sz w:val="15"/>
                <w:szCs w:val="15"/>
                <w:color w:val="auto"/>
                <w:w w:val="91"/>
              </w:rPr>
              <w:t>(2)</w:t>
            </w:r>
          </w:p>
        </w:tc>
        <w:tc>
          <w:tcPr>
            <w:tcW w:w="15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 xml:space="preserve">$113,901,756 </w:t>
            </w:r>
            <w:r>
              <w:rPr>
                <w:rFonts w:ascii="Arial" w:cs="Arial" w:eastAsia="Arial" w:hAnsi="Arial"/>
                <w:sz w:val="15"/>
                <w:szCs w:val="15"/>
                <w:color w:val="auto"/>
                <w:w w:val="89"/>
              </w:rPr>
              <w:t>(3)</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dollars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$10,558.69</w:t>
            </w:r>
          </w:p>
        </w:tc>
        <w:tc>
          <w:tcPr>
            <w:tcW w:w="540" w:type="dxa"/>
            <w:vAlign w:val="bottom"/>
            <w:tcBorders>
              <w:bottom w:val="single" w:sz="8" w:color="auto"/>
              <w:right w:val="single" w:sz="8" w:color="auto"/>
            </w:tcBorders>
          </w:tcPr>
          <w:p>
            <w:pPr>
              <w:spacing w:after="0"/>
              <w:rPr>
                <w:sz w:val="20"/>
                <w:szCs w:val="20"/>
                <w:color w:val="auto"/>
              </w:rPr>
            </w:pPr>
          </w:p>
        </w:tc>
      </w:tr>
      <w:tr>
        <w:trPr>
          <w:trHeight w:val="210"/>
        </w:trPr>
        <w:tc>
          <w:tcPr>
            <w:tcW w:w="1920" w:type="dxa"/>
            <w:vAlign w:val="bottom"/>
            <w:tcBorders>
              <w:left w:val="single" w:sz="8" w:color="auto"/>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3"/>
              </w:rPr>
              <w:t>Total Offering Amounts</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 xml:space="preserve">$113,901,756 </w:t>
            </w:r>
            <w:r>
              <w:rPr>
                <w:rFonts w:ascii="Arial" w:cs="Arial" w:eastAsia="Arial" w:hAnsi="Arial"/>
                <w:sz w:val="15"/>
                <w:szCs w:val="15"/>
                <w:color w:val="auto"/>
                <w:w w:val="89"/>
              </w:rPr>
              <w:t>(3)</w:t>
            </w:r>
          </w:p>
        </w:tc>
        <w:tc>
          <w:tcPr>
            <w:tcW w:w="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$10,558.69</w:t>
            </w:r>
          </w:p>
        </w:tc>
        <w:tc>
          <w:tcPr>
            <w:tcW w:w="54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8"/>
              </w:rPr>
              <w:t>Total Fee Offsets</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8"/>
              </w:rPr>
              <w:t>Net Fee Due</w:t>
            </w: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$10,558.69</w:t>
            </w:r>
          </w:p>
        </w:tc>
        <w:tc>
          <w:tcPr>
            <w:tcW w:w="5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424" w:right="80" w:hanging="424"/>
        <w:spacing w:after="0" w:line="26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spacing w:after="0" w:line="2" w:lineRule="exact"/>
        <w:rPr>
          <w:rFonts w:ascii="Arial" w:cs="Arial" w:eastAsia="Arial" w:hAnsi="Arial"/>
          <w:sz w:val="17"/>
          <w:szCs w:val="17"/>
          <w:color w:val="auto"/>
        </w:rPr>
      </w:pPr>
    </w:p>
    <w:p>
      <w:pPr>
        <w:ind w:left="424" w:right="40" w:hanging="424"/>
        <w:spacing w:after="0" w:line="28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under the Securities Act, on the basis of the average of the high and low prices per share of the Class A Common Stock as reported on the Nasdaq Global Select Market on February 22, 2022.</w:t>
      </w:r>
    </w:p>
    <w:p>
      <w:pPr>
        <w:spacing w:after="0" w:line="1" w:lineRule="exact"/>
        <w:rPr>
          <w:rFonts w:ascii="Arial" w:cs="Arial" w:eastAsia="Arial" w:hAnsi="Arial"/>
          <w:sz w:val="16"/>
          <w:szCs w:val="16"/>
          <w:color w:val="auto"/>
        </w:rPr>
      </w:pPr>
    </w:p>
    <w:p>
      <w:pPr>
        <w:ind w:left="424" w:right="4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0.0000927 and the proposed maximum aggregate offering price.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18" Type="http://schemas.openxmlformats.org/officeDocument/2006/relationships/hyperlink" Target="http://www.sec.gov/ix?doc=/Archives/edgar/data/1777835/000162828022000893/pwp-20220113.htm" TargetMode="External"/><Relationship Id="rId19" Type="http://schemas.openxmlformats.org/officeDocument/2006/relationships/hyperlink" Target="http://www.sec.gov/ix?doc=/Archives/edgar/data/1777835/000095017021001359/pwp-20210630.htm" TargetMode="External"/><Relationship Id="rId20" Type="http://schemas.openxmlformats.org/officeDocument/2006/relationships/hyperlink" Target="http://www.sec.gov/ix?doc=/Archives/edgar/data/1777835/000095017021003237/pwp-20210930.htm" TargetMode="External"/><Relationship Id="rId21" Type="http://schemas.openxmlformats.org/officeDocument/2006/relationships/hyperlink" Target="http://www.sec.gov/Archives/edgar/data/1777835/000119312521204696/d119701d8k.htm" TargetMode="External"/><Relationship Id="rId22" Type="http://schemas.openxmlformats.org/officeDocument/2006/relationships/hyperlink" Target="http://www.sec.gov/Archives/edgar/data/1777835/000119312521204730/d119701d8ka.htm" TargetMode="External"/><Relationship Id="rId23" Type="http://schemas.openxmlformats.org/officeDocument/2006/relationships/hyperlink" Target="http://www.sec.gov/ix?doc=/Archives/edgar/data/1777835/000119312521323225/d248787d8k.htm" TargetMode="External"/><Relationship Id="rId24" Type="http://schemas.openxmlformats.org/officeDocument/2006/relationships/hyperlink" Target="http://www.sec.gov/ix?doc=/Archives/edgar/data/1777835/000177783522000003/pwp-20220217.htm" TargetMode="External"/><Relationship Id="rId26" Type="http://schemas.openxmlformats.org/officeDocument/2006/relationships/hyperlink" Target="http://www.sec.gov/Archives/edgar/data/1777835/000119312521204696/d119701dex31.htm" TargetMode="External"/><Relationship Id="rId27" Type="http://schemas.openxmlformats.org/officeDocument/2006/relationships/hyperlink" Target="http://www.sec.gov/Archives/edgar/data/1777835/000119312521204696/d119701dex32.htm" TargetMode="External"/><Relationship Id="rId28" Type="http://schemas.openxmlformats.org/officeDocument/2006/relationships/hyperlink" Target="http://www.sec.gov/Archives/edgar/data/1777835/000119312521204696/d119701dex106.htm" TargetMode="External"/><Relationship Id="rId29" Type="http://schemas.openxmlformats.org/officeDocument/2006/relationships/hyperlink" Target="http://www.sec.gov/Archives/edgar/data/1777835/000119312521204696/d11970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2022-02-25T15:21:17Z</dcterms:created>
  <dcterms:modified xsi:type="dcterms:W3CDTF">2022-02-25T15:21:17Z</dcterms:modified>
</cp:coreProperties>
</file>