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30, 2025</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2025, Perella Weinberg Partners (the “Company”) issued a press release announcing its financial results for the second quarter ended June 30, 2025.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58" w:lineRule="exact"/>
        <w:rPr>
          <w:sz w:val="20"/>
          <w:szCs w:val="20"/>
          <w:color w:val="auto"/>
        </w:rPr>
      </w:pPr>
    </w:p>
    <w:p>
      <w:pPr>
        <w:ind w:right="300"/>
        <w:spacing w:after="0" w:line="318"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30, 2025, the board of directors of the Company (the “Board”), effective immediately, increased the size of the Board from nine to eleven members and appointed Houda Dabboussi and Edwin Bennett as Class II directors, to serve until the 2026 annual meeting of the stockholders of the Company.</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Board also determined that each of Ms. Dabboussi and Mr. Bennett are “independent” under the applicable standards of The Nasdaq Stock Market and the independence standards adopted by the Board in the Company’s Corporate Governance Guidelines. The Board also approved the appointment of each of Ms. Dabboussi and Mr. Bennett to the Compensation Committee and the Audit Committee of the Board.</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arrangements or understandings between Ms. Dabboussi and Mr. Bennett and any other persons pursuant to which she or he was elected to the Board, and since the beginning of the last fiscal year, there have been no related party transactions between the Company and Ms. Dabboussi or the Company and Mr. Bennett that would be reportable under Item 404(a) of Regulation S-K.</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Ms. Dabboussi and Mr. Bennett will each participate in the Company’s non-employee director compensation program described in the Company’s annual proxy statement filed with the Securities and Exchange Commission on April 8, 2025.</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August 1, 2025</w:t>
            </w:r>
          </w:p>
        </w:tc>
        <w:tc>
          <w:tcPr>
            <w:tcW w:w="556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55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 2025</w:t>
      </w:r>
    </w:p>
    <w:p>
      <w:pPr>
        <w:sectPr>
          <w:pgSz w:w="11900" w:h="16838" w:orient="portrait"/>
          <w:cols w:equalWidth="0" w:num="1">
            <w:col w:w="10920"/>
          </w:cols>
          <w:pgMar w:left="320" w:top="779"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48640"/>
                    </a:xfrm>
                    <a:prstGeom prst="rect">
                      <a:avLst/>
                    </a:prstGeom>
                    <a:noFill/>
                  </pic:spPr>
                </pic:pic>
              </a:graphicData>
            </a:graphic>
          </wp:anchor>
        </w:drawing>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27"/>
          <w:szCs w:val="27"/>
          <w:color w:val="auto"/>
        </w:rPr>
        <w:t>Perella Weinberg Reports Second Quarter 2025 Results;</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27"/>
          <w:szCs w:val="27"/>
          <w:color w:val="auto"/>
        </w:rPr>
        <w:t>Adds Private Funds Advisory Platform with Acquisition of Devon Park Advisors</w:t>
      </w:r>
    </w:p>
    <w:p>
      <w:pPr>
        <w:spacing w:after="0" w:line="355"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Acquisition of Devon Park Advisors</w:t>
      </w:r>
    </w:p>
    <w:p>
      <w:pPr>
        <w:spacing w:after="0" w:line="123"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Expands Product Offering to Financial Sponsors and other Alternative Asset Managers</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Immediately Positions Firm to Build Share in Large and Fast-Growing Secondaries Market</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Second Quarter</w:t>
      </w:r>
    </w:p>
    <w:p>
      <w:pPr>
        <w:spacing w:after="0" w:line="123"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Revenues of $155 Million, Down 43% From a Year Ago</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Adjusted Pre-Tax Income of $12 Million, GAAP Pre-Tax Income of $6 Million</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Adjusted EPS of $0.09; GAAP Diluted EPS of $0.04</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First Half</w:t>
      </w:r>
    </w:p>
    <w:p>
      <w:pPr>
        <w:spacing w:after="0" w:line="110" w:lineRule="exact"/>
        <w:rPr>
          <w:sz w:val="20"/>
          <w:szCs w:val="20"/>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Revenues of $367 Million, Down 2% From a Year Ago</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Adjusted Pre-Tax Income of $33 Million, GAAP Pre-Tax Income of $18 Million</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Adjusted EPS of $0.38; GAAP Diluted EPS of $0.29</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w:t>
      </w:r>
    </w:p>
    <w:p>
      <w:pPr>
        <w:spacing w:after="0" w:line="123" w:lineRule="exact"/>
        <w:rPr>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Year-to-Date Added Six Partners and Six Managing Directors</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Six Additional Partners and Three Additional Managing Directors to Join Firm in Coming Months</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Edwin Bennett and Houda Dabboussi Join Board of Directors</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23" w:lineRule="exact"/>
        <w:rPr>
          <w:sz w:val="20"/>
          <w:szCs w:val="20"/>
          <w:color w:val="auto"/>
        </w:rPr>
      </w:pPr>
    </w:p>
    <w:p>
      <w:pPr>
        <w:ind w:left="560" w:hanging="309"/>
        <w:spacing w:after="0"/>
        <w:tabs>
          <w:tab w:leader="none" w:pos="560" w:val="left"/>
        </w:tabs>
        <w:numPr>
          <w:ilvl w:val="0"/>
          <w:numId w:val="6"/>
        </w:numPr>
        <w:rPr>
          <w:rFonts w:ascii="Arial" w:cs="Arial" w:eastAsia="Arial" w:hAnsi="Arial"/>
          <w:sz w:val="20"/>
          <w:szCs w:val="20"/>
          <w:i w:val="1"/>
          <w:iCs w:val="1"/>
          <w:color w:val="auto"/>
        </w:rPr>
      </w:pPr>
      <w:r>
        <w:rPr>
          <w:rFonts w:ascii="Arial" w:cs="Arial" w:eastAsia="Arial" w:hAnsi="Arial"/>
          <w:sz w:val="20"/>
          <w:szCs w:val="20"/>
          <w:color w:val="auto"/>
        </w:rPr>
        <w:t>Strong Balance Sheet with $145 Million of Cash and No Debt</w:t>
      </w:r>
    </w:p>
    <w:p>
      <w:pPr>
        <w:spacing w:after="0" w:line="121" w:lineRule="exact"/>
        <w:rPr>
          <w:rFonts w:ascii="Arial" w:cs="Arial" w:eastAsia="Arial" w:hAnsi="Arial"/>
          <w:sz w:val="20"/>
          <w:szCs w:val="20"/>
          <w:i w:val="1"/>
          <w:iCs w:val="1"/>
          <w:color w:val="auto"/>
        </w:rPr>
      </w:pPr>
    </w:p>
    <w:p>
      <w:pPr>
        <w:ind w:left="580" w:hanging="329"/>
        <w:spacing w:after="0" w:line="271" w:lineRule="auto"/>
        <w:tabs>
          <w:tab w:leader="none" w:pos="568" w:val="left"/>
        </w:tabs>
        <w:numPr>
          <w:ilvl w:val="0"/>
          <w:numId w:val="6"/>
        </w:numPr>
        <w:rPr>
          <w:rFonts w:ascii="Arial" w:cs="Arial" w:eastAsia="Arial" w:hAnsi="Arial"/>
          <w:sz w:val="20"/>
          <w:szCs w:val="20"/>
          <w:i w:val="1"/>
          <w:iCs w:val="1"/>
          <w:color w:val="auto"/>
        </w:rPr>
      </w:pPr>
      <w:r>
        <w:rPr>
          <w:rFonts w:ascii="Arial" w:cs="Arial" w:eastAsia="Arial" w:hAnsi="Arial"/>
          <w:sz w:val="20"/>
          <w:szCs w:val="20"/>
          <w:color w:val="auto"/>
        </w:rPr>
        <w:t>Year-to-Date Retired More Than Six Million Shares and Share Equivalents through Purchase, Exchange and Net Settlement; Returning More than $145 Million in Aggregate to Equity Holders</w:t>
      </w:r>
    </w:p>
    <w:p>
      <w:pPr>
        <w:spacing w:after="0" w:line="61" w:lineRule="exact"/>
        <w:rPr>
          <w:rFonts w:ascii="Arial" w:cs="Arial" w:eastAsia="Arial" w:hAnsi="Arial"/>
          <w:sz w:val="20"/>
          <w:szCs w:val="20"/>
          <w:i w:val="1"/>
          <w:iCs w:val="1"/>
          <w:color w:val="auto"/>
        </w:rPr>
      </w:pPr>
    </w:p>
    <w:p>
      <w:pPr>
        <w:ind w:left="560" w:hanging="309"/>
        <w:spacing w:after="0"/>
        <w:tabs>
          <w:tab w:leader="none" w:pos="560" w:val="left"/>
        </w:tabs>
        <w:numPr>
          <w:ilvl w:val="0"/>
          <w:numId w:val="6"/>
        </w:numPr>
        <w:rPr>
          <w:rFonts w:ascii="Arial" w:cs="Arial" w:eastAsia="Arial" w:hAnsi="Arial"/>
          <w:sz w:val="20"/>
          <w:szCs w:val="20"/>
          <w:i w:val="1"/>
          <w:iCs w:val="1"/>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8890"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40" w:right="140"/>
        <w:spacing w:after="0" w:line="318" w:lineRule="auto"/>
        <w:rPr>
          <w:sz w:val="20"/>
          <w:szCs w:val="20"/>
          <w:color w:val="auto"/>
        </w:rPr>
      </w:pPr>
      <w:r>
        <w:rPr>
          <w:rFonts w:ascii="Arial" w:cs="Arial" w:eastAsia="Arial" w:hAnsi="Arial"/>
          <w:sz w:val="20"/>
          <w:szCs w:val="20"/>
          <w:color w:val="auto"/>
        </w:rPr>
        <w:t>“Our first half results were in-line with our prior year performance and we entered the third quarter with robust client activity in a materially improved market environment compared to the start of the second quarter. We accelerated our investments in talent to expand our client coverage and broaden our capabilities — including the Devon Park transaction announced this morning — a strategic investment that significantly expands the services we provide to alternative asset managers across private equity, credit, infrastructure, venture, and real estate,” stated Andrew Bednar, Chief Executive Officer.</w:t>
      </w:r>
    </w:p>
    <w:p>
      <w:pPr>
        <w:spacing w:after="0" w:line="200" w:lineRule="exact"/>
        <w:rPr>
          <w:sz w:val="20"/>
          <w:szCs w:val="20"/>
          <w:color w:val="auto"/>
        </w:rPr>
      </w:pPr>
    </w:p>
    <w:p>
      <w:pPr>
        <w:spacing w:after="0" w:line="232" w:lineRule="exact"/>
        <w:rPr>
          <w:sz w:val="20"/>
          <w:szCs w:val="20"/>
          <w:color w:val="auto"/>
        </w:rPr>
      </w:pPr>
    </w:p>
    <w:p>
      <w:pPr>
        <w:spacing w:after="0" w:line="344" w:lineRule="auto"/>
        <w:rPr>
          <w:sz w:val="20"/>
          <w:szCs w:val="20"/>
          <w:color w:val="auto"/>
        </w:rPr>
      </w:pPr>
      <w:r>
        <w:rPr>
          <w:rFonts w:ascii="Arial" w:cs="Arial" w:eastAsia="Arial" w:hAnsi="Arial"/>
          <w:sz w:val="20"/>
          <w:szCs w:val="20"/>
          <w:b w:val="1"/>
          <w:bCs w:val="1"/>
          <w:color w:val="auto"/>
        </w:rPr>
        <w:t xml:space="preserve">NEW YORK, NY, August 1, 2025 </w:t>
      </w:r>
      <w:r>
        <w:rPr>
          <w:rFonts w:ascii="Arial" w:cs="Arial" w:eastAsia="Arial" w:hAnsi="Arial"/>
          <w:sz w:val="20"/>
          <w:szCs w:val="20"/>
          <w:color w:val="auto"/>
        </w:rPr>
        <w:t>– Perella Weinberg Partners (the “Firm,” “Perella Weinberg” or “PWP”) (NASDAQ:PWP)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financial results for the second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Acquisition Announcement</w:t>
      </w:r>
    </w:p>
    <w:p>
      <w:pPr>
        <w:spacing w:after="0" w:line="312"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Perella Weinberg has entered into an agreement to acquire Devon Park Advisors, a premier GP-led secondaries advisory firm founded in 2021. The transaction reinforces Perella Weinberg’s commitment to provide solutions to address the liquidity needs of alternative asset managers and their limited partners. The transaction is expected to be completed early in the fourth quarter, following regulatory approval.</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Devon Park specializes in transactions related to GP-led secondaries, GP advisory, and fund secondaries. Since its founding, the firm has advised a wide range of alternative asset managers on transactions with over $4.5 billion in aggregate value.</w:t>
      </w:r>
    </w:p>
    <w:p>
      <w:pPr>
        <w:spacing w:after="0" w:line="182" w:lineRule="exact"/>
        <w:rPr>
          <w:sz w:val="20"/>
          <w:szCs w:val="20"/>
          <w:color w:val="auto"/>
        </w:rPr>
      </w:pPr>
    </w:p>
    <w:p>
      <w:pPr>
        <w:ind w:right="60"/>
        <w:spacing w:after="0" w:line="342" w:lineRule="auto"/>
        <w:rPr>
          <w:sz w:val="20"/>
          <w:szCs w:val="20"/>
          <w:color w:val="auto"/>
        </w:rPr>
      </w:pPr>
      <w:r>
        <w:rPr>
          <w:rFonts w:ascii="Arial" w:cs="Arial" w:eastAsia="Arial" w:hAnsi="Arial"/>
          <w:sz w:val="20"/>
          <w:szCs w:val="20"/>
          <w:color w:val="auto"/>
        </w:rPr>
        <w:t>Devon Park’s 15 advisory professionals, including one Partner and two Managing Directors, will form Perella Weinberg’s Private Funds Advisory business and it will be led by Jonathan Costello, Founder of Devon Park.</w:t>
      </w:r>
    </w:p>
    <w:p>
      <w:pPr>
        <w:spacing w:after="0" w:line="18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“This acquisition reflects our commitment to expand our service offering to financial sponsors and other alternative asset managers,” said Andrew Bednar, Chief Executive Officer. “Devon Park brings deep expertise in GP-led and private fund advisory, with strong alternative asset manager relationships, an extensive network of capital providers, and a track record of excellence in transaction execution. Their capabilities are highly complementary to our existing platform and will create meaningful revenue opportunities across our business globally. We’re excited to welcome the Devon Park team and together better serve the evolving needs of our clients.”</w:t>
      </w:r>
    </w:p>
    <w:p>
      <w:pPr>
        <w:spacing w:after="0" w:line="208"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Jonathan Costello, Founder of Devon Park, said, “Today’s announcement marks an exciting new chapter for our team and for our clients. We share common values with Perella Weinberg — clients first, long-term relationships, execution excellence, and collaboration. Their platform, global reach, deep industry expertise, and reputation as a trusted advisor enables us to accelerate the next phase of our growth in private funds advisory. We’re proud to be a part of a firm that understands our business and is committed to investing in it for the long run.”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Revenues</w:t>
      </w:r>
    </w:p>
    <w:p>
      <w:pPr>
        <w:spacing w:after="0" w:line="312"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the second quarter of 2025, revenues were $155.3 million, a decrease of 43% from the record $272.0 million reported in the second quarter of 2024. For the first half of 2025, revenues were $367.1 million, a decrease of 2% from $374.1 million for the first half of 2024. The lower revenues in both current year periods were driven by decreased M&amp;A contribution partially offset by an increase in financing and capital solutions activity. The second quarter of 2024 included a single large transaction fee which accounted for approximately one-third of the period’s revenue.</w:t>
      </w:r>
    </w:p>
    <w:p>
      <w:pPr>
        <w:spacing w:after="0" w:line="200" w:lineRule="exact"/>
        <w:rPr>
          <w:sz w:val="20"/>
          <w:szCs w:val="20"/>
          <w:color w:val="auto"/>
        </w:rPr>
      </w:pPr>
    </w:p>
    <w:p>
      <w:pPr>
        <w:spacing w:after="0" w:line="300" w:lineRule="exact"/>
        <w:rPr>
          <w:sz w:val="20"/>
          <w:szCs w:val="20"/>
          <w:color w:val="auto"/>
        </w:rPr>
      </w:pPr>
    </w:p>
    <w:p>
      <w:pPr>
        <w:jc w:val="both"/>
        <w:ind w:firstLine="8"/>
        <w:spacing w:after="0" w:line="259"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Expenses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00" w:type="dxa"/>
            <w:vAlign w:val="bottom"/>
          </w:tcPr>
          <w:p>
            <w:pPr>
              <w:spacing w:after="0"/>
              <w:rPr>
                <w:sz w:val="20"/>
                <w:szCs w:val="20"/>
                <w:color w:val="auto"/>
              </w:rPr>
            </w:pPr>
          </w:p>
        </w:tc>
        <w:tc>
          <w:tcPr>
            <w:tcW w:w="240" w:type="dxa"/>
            <w:vAlign w:val="bottom"/>
            <w:tcBorders>
              <w:bottom w:val="single" w:sz="8" w:color="B6B6B6"/>
            </w:tcBorders>
          </w:tcPr>
          <w:p>
            <w:pPr>
              <w:spacing w:after="0"/>
              <w:rPr>
                <w:sz w:val="20"/>
                <w:szCs w:val="20"/>
                <w:color w:val="auto"/>
              </w:rPr>
            </w:pPr>
          </w:p>
        </w:tc>
        <w:tc>
          <w:tcPr>
            <w:tcW w:w="3340" w:type="dxa"/>
            <w:vAlign w:val="bottom"/>
            <w:tcBorders>
              <w:bottom w:val="single" w:sz="8" w:color="B6B6B6"/>
            </w:tcBorders>
            <w:gridSpan w:val="6"/>
          </w:tcPr>
          <w:p>
            <w:pPr>
              <w:jc w:val="right"/>
              <w:ind w:right="30"/>
              <w:spacing w:after="0"/>
              <w:rPr>
                <w:sz w:val="20"/>
                <w:szCs w:val="20"/>
                <w:color w:val="auto"/>
              </w:rPr>
            </w:pPr>
            <w:r>
              <w:rPr>
                <w:rFonts w:ascii="Arial" w:cs="Arial" w:eastAsia="Arial" w:hAnsi="Arial"/>
                <w:sz w:val="18"/>
                <w:szCs w:val="18"/>
                <w:b w:val="1"/>
                <w:bCs w:val="1"/>
                <w:color w:val="503C64"/>
              </w:rPr>
              <w:t>Three Months Ended June 30,</w:t>
            </w:r>
          </w:p>
        </w:tc>
        <w:tc>
          <w:tcPr>
            <w:tcW w:w="800" w:type="dxa"/>
            <w:vAlign w:val="bottom"/>
            <w:tcBorders>
              <w:bottom w:val="single" w:sz="8" w:color="B6B6B6"/>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B6B6B6"/>
            </w:tcBorders>
          </w:tcPr>
          <w:p>
            <w:pPr>
              <w:spacing w:after="0"/>
              <w:rPr>
                <w:sz w:val="20"/>
                <w:szCs w:val="20"/>
                <w:color w:val="auto"/>
              </w:rPr>
            </w:pPr>
          </w:p>
        </w:tc>
        <w:tc>
          <w:tcPr>
            <w:tcW w:w="3180" w:type="dxa"/>
            <w:vAlign w:val="bottom"/>
            <w:tcBorders>
              <w:bottom w:val="single" w:sz="8" w:color="B6B6B6"/>
            </w:tcBorders>
            <w:gridSpan w:val="5"/>
          </w:tcPr>
          <w:p>
            <w:pPr>
              <w:jc w:val="right"/>
              <w:spacing w:after="0"/>
              <w:rPr>
                <w:sz w:val="20"/>
                <w:szCs w:val="20"/>
                <w:color w:val="auto"/>
              </w:rPr>
            </w:pPr>
            <w:r>
              <w:rPr>
                <w:rFonts w:ascii="Arial" w:cs="Arial" w:eastAsia="Arial" w:hAnsi="Arial"/>
                <w:sz w:val="18"/>
                <w:szCs w:val="18"/>
                <w:b w:val="1"/>
                <w:bCs w:val="1"/>
                <w:color w:val="503C64"/>
              </w:rPr>
              <w:t>Six Months Ended June 30,</w:t>
            </w:r>
          </w:p>
        </w:tc>
        <w:tc>
          <w:tcPr>
            <w:tcW w:w="200" w:type="dxa"/>
            <w:vAlign w:val="bottom"/>
            <w:tcBorders>
              <w:bottom w:val="single" w:sz="8" w:color="B6B6B6"/>
            </w:tcBorders>
          </w:tcPr>
          <w:p>
            <w:pPr>
              <w:spacing w:after="0"/>
              <w:rPr>
                <w:sz w:val="20"/>
                <w:szCs w:val="20"/>
                <w:color w:val="auto"/>
              </w:rPr>
            </w:pPr>
          </w:p>
        </w:tc>
        <w:tc>
          <w:tcPr>
            <w:tcW w:w="80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B6B6B6"/>
            </w:tcBorders>
          </w:tcPr>
          <w:p>
            <w:pPr>
              <w:spacing w:after="0"/>
              <w:rPr>
                <w:sz w:val="19"/>
                <w:szCs w:val="19"/>
                <w:color w:val="auto"/>
              </w:rPr>
            </w:pPr>
          </w:p>
        </w:tc>
        <w:tc>
          <w:tcPr>
            <w:tcW w:w="240" w:type="dxa"/>
            <w:vAlign w:val="bottom"/>
            <w:tcBorders>
              <w:bottom w:val="single" w:sz="8" w:color="B6B6B6"/>
            </w:tcBorders>
          </w:tcPr>
          <w:p>
            <w:pPr>
              <w:spacing w:after="0"/>
              <w:rPr>
                <w:sz w:val="19"/>
                <w:szCs w:val="19"/>
                <w:color w:val="auto"/>
              </w:rPr>
            </w:pPr>
          </w:p>
        </w:tc>
        <w:tc>
          <w:tcPr>
            <w:tcW w:w="116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2025</w:t>
            </w:r>
          </w:p>
        </w:tc>
        <w:tc>
          <w:tcPr>
            <w:tcW w:w="940" w:type="dxa"/>
            <w:vAlign w:val="bottom"/>
            <w:tcBorders>
              <w:bottom w:val="single" w:sz="8" w:color="B6B6B6"/>
            </w:tcBorders>
          </w:tcPr>
          <w:p>
            <w:pPr>
              <w:spacing w:after="0"/>
              <w:rPr>
                <w:sz w:val="19"/>
                <w:szCs w:val="19"/>
                <w:color w:val="auto"/>
              </w:rPr>
            </w:pPr>
          </w:p>
        </w:tc>
        <w:tc>
          <w:tcPr>
            <w:tcW w:w="240" w:type="dxa"/>
            <w:vAlign w:val="bottom"/>
            <w:tcBorders>
              <w:bottom w:val="single" w:sz="8" w:color="B6B6B6"/>
            </w:tcBorders>
          </w:tcPr>
          <w:p>
            <w:pPr>
              <w:spacing w:after="0"/>
              <w:rPr>
                <w:sz w:val="19"/>
                <w:szCs w:val="19"/>
                <w:color w:val="auto"/>
              </w:rPr>
            </w:pPr>
          </w:p>
        </w:tc>
        <w:tc>
          <w:tcPr>
            <w:tcW w:w="100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2024</w:t>
            </w:r>
          </w:p>
        </w:tc>
        <w:tc>
          <w:tcPr>
            <w:tcW w:w="800" w:type="dxa"/>
            <w:vAlign w:val="bottom"/>
            <w:tcBorders>
              <w:bottom w:val="single" w:sz="8" w:color="B6B6B6"/>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220" w:type="dxa"/>
            <w:vAlign w:val="bottom"/>
            <w:tcBorders>
              <w:bottom w:val="single" w:sz="8" w:color="B6B6B6"/>
            </w:tcBorders>
          </w:tcPr>
          <w:p>
            <w:pPr>
              <w:spacing w:after="0"/>
              <w:rPr>
                <w:sz w:val="19"/>
                <w:szCs w:val="19"/>
                <w:color w:val="auto"/>
              </w:rPr>
            </w:pPr>
          </w:p>
        </w:tc>
        <w:tc>
          <w:tcPr>
            <w:tcW w:w="116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2025</w:t>
            </w:r>
          </w:p>
        </w:tc>
        <w:tc>
          <w:tcPr>
            <w:tcW w:w="940" w:type="dxa"/>
            <w:vAlign w:val="bottom"/>
            <w:tcBorders>
              <w:bottom w:val="single" w:sz="8" w:color="B6B6B6"/>
            </w:tcBorders>
          </w:tcPr>
          <w:p>
            <w:pPr>
              <w:spacing w:after="0"/>
              <w:rPr>
                <w:sz w:val="19"/>
                <w:szCs w:val="19"/>
                <w:color w:val="auto"/>
              </w:rPr>
            </w:pPr>
          </w:p>
        </w:tc>
        <w:tc>
          <w:tcPr>
            <w:tcW w:w="260" w:type="dxa"/>
            <w:vAlign w:val="bottom"/>
            <w:tcBorders>
              <w:bottom w:val="single" w:sz="8" w:color="B6B6B6"/>
            </w:tcBorders>
          </w:tcPr>
          <w:p>
            <w:pPr>
              <w:spacing w:after="0"/>
              <w:rPr>
                <w:sz w:val="19"/>
                <w:szCs w:val="19"/>
                <w:color w:val="auto"/>
              </w:rPr>
            </w:pPr>
          </w:p>
        </w:tc>
        <w:tc>
          <w:tcPr>
            <w:tcW w:w="10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2024</w:t>
            </w:r>
          </w:p>
        </w:tc>
        <w:tc>
          <w:tcPr>
            <w:tcW w:w="80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300" w:type="dxa"/>
            <w:vAlign w:val="bottom"/>
            <w:vMerge w:val="restart"/>
          </w:tcPr>
          <w:p>
            <w:pPr>
              <w:jc w:val="center"/>
              <w:ind w:right="450"/>
              <w:spacing w:after="0"/>
              <w:rPr>
                <w:sz w:val="20"/>
                <w:szCs w:val="20"/>
                <w:color w:val="auto"/>
              </w:rPr>
            </w:pPr>
            <w:r>
              <w:rPr>
                <w:rFonts w:ascii="Arial" w:cs="Arial" w:eastAsia="Arial" w:hAnsi="Arial"/>
                <w:sz w:val="18"/>
                <w:szCs w:val="18"/>
                <w:b w:val="1"/>
                <w:bCs w:val="1"/>
                <w:color w:val="auto"/>
                <w:w w:val="99"/>
              </w:rPr>
              <w:t>Operating expenses</w:t>
            </w:r>
          </w:p>
        </w:tc>
        <w:tc>
          <w:tcPr>
            <w:tcW w:w="240" w:type="dxa"/>
            <w:vAlign w:val="bottom"/>
          </w:tcPr>
          <w:p>
            <w:pPr>
              <w:spacing w:after="0"/>
              <w:rPr>
                <w:sz w:val="16"/>
                <w:szCs w:val="16"/>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503C64"/>
              </w:rPr>
              <w:t>GAAP</w:t>
            </w:r>
          </w:p>
        </w:tc>
        <w:tc>
          <w:tcPr>
            <w:tcW w:w="26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503C64"/>
              </w:rPr>
              <w:t>Adjusted</w:t>
            </w:r>
          </w:p>
        </w:tc>
        <w:tc>
          <w:tcPr>
            <w:tcW w:w="24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503C64"/>
              </w:rPr>
              <w:t>GAAP</w:t>
            </w:r>
          </w:p>
        </w:tc>
        <w:tc>
          <w:tcPr>
            <w:tcW w:w="26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503C64"/>
              </w:rPr>
              <w:t>Adjusted</w:t>
            </w:r>
          </w:p>
        </w:tc>
        <w:tc>
          <w:tcPr>
            <w:tcW w:w="220" w:type="dxa"/>
            <w:vAlign w:val="bottom"/>
          </w:tcPr>
          <w:p>
            <w:pPr>
              <w:spacing w:after="0"/>
              <w:rPr>
                <w:sz w:val="16"/>
                <w:szCs w:val="16"/>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503C64"/>
              </w:rPr>
              <w:t>GAAP</w:t>
            </w:r>
          </w:p>
        </w:tc>
        <w:tc>
          <w:tcPr>
            <w:tcW w:w="24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503C64"/>
              </w:rPr>
              <w:t>Adjusted</w:t>
            </w:r>
          </w:p>
        </w:tc>
        <w:tc>
          <w:tcPr>
            <w:tcW w:w="260" w:type="dxa"/>
            <w:vAlign w:val="bottom"/>
          </w:tcPr>
          <w:p>
            <w:pPr>
              <w:spacing w:after="0"/>
              <w:rPr>
                <w:sz w:val="16"/>
                <w:szCs w:val="16"/>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503C64"/>
              </w:rPr>
              <w:t>GAAP</w:t>
            </w:r>
          </w:p>
        </w:tc>
        <w:tc>
          <w:tcPr>
            <w:tcW w:w="200" w:type="dxa"/>
            <w:vAlign w:val="bottom"/>
          </w:tcPr>
          <w:p>
            <w:pPr>
              <w:spacing w:after="0"/>
              <w:rPr>
                <w:sz w:val="16"/>
                <w:szCs w:val="16"/>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5"/>
        </w:trPr>
        <w:tc>
          <w:tcPr>
            <w:tcW w:w="2300" w:type="dxa"/>
            <w:vAlign w:val="bottom"/>
            <w:vMerge w:val="continue"/>
          </w:tcPr>
          <w:p>
            <w:pPr>
              <w:spacing w:after="0"/>
              <w:rPr>
                <w:sz w:val="17"/>
                <w:szCs w:val="17"/>
                <w:color w:val="auto"/>
              </w:rPr>
            </w:pPr>
          </w:p>
        </w:tc>
        <w:tc>
          <w:tcPr>
            <w:tcW w:w="240" w:type="dxa"/>
            <w:vAlign w:val="bottom"/>
            <w:tcBorders>
              <w:top w:val="single" w:sz="8" w:color="B6B6B6"/>
            </w:tcBorders>
          </w:tcPr>
          <w:p>
            <w:pPr>
              <w:spacing w:after="0"/>
              <w:rPr>
                <w:sz w:val="17"/>
                <w:szCs w:val="17"/>
                <w:color w:val="auto"/>
              </w:rPr>
            </w:pPr>
          </w:p>
        </w:tc>
        <w:tc>
          <w:tcPr>
            <w:tcW w:w="900" w:type="dxa"/>
            <w:vAlign w:val="bottom"/>
            <w:tcBorders>
              <w:top w:val="single" w:sz="8" w:color="B6B6B6"/>
            </w:tcBorders>
          </w:tcPr>
          <w:p>
            <w:pPr>
              <w:spacing w:after="0"/>
              <w:rPr>
                <w:sz w:val="17"/>
                <w:szCs w:val="17"/>
                <w:color w:val="auto"/>
              </w:rPr>
            </w:pPr>
          </w:p>
        </w:tc>
        <w:tc>
          <w:tcPr>
            <w:tcW w:w="260" w:type="dxa"/>
            <w:vAlign w:val="bottom"/>
            <w:tcBorders>
              <w:top w:val="single" w:sz="8" w:color="B6B6B6"/>
            </w:tcBorders>
          </w:tcPr>
          <w:p>
            <w:pPr>
              <w:spacing w:after="0"/>
              <w:rPr>
                <w:sz w:val="17"/>
                <w:szCs w:val="17"/>
                <w:color w:val="auto"/>
              </w:rPr>
            </w:pPr>
          </w:p>
        </w:tc>
        <w:tc>
          <w:tcPr>
            <w:tcW w:w="1920" w:type="dxa"/>
            <w:vAlign w:val="bottom"/>
            <w:tcBorders>
              <w:top w:val="single" w:sz="8" w:color="B6B6B6"/>
            </w:tcBorders>
            <w:gridSpan w:val="3"/>
          </w:tcPr>
          <w:p>
            <w:pPr>
              <w:jc w:val="right"/>
              <w:ind w:right="373"/>
              <w:spacing w:after="0"/>
              <w:rPr>
                <w:sz w:val="20"/>
                <w:szCs w:val="20"/>
                <w:color w:val="auto"/>
              </w:rPr>
            </w:pPr>
            <w:r>
              <w:rPr>
                <w:rFonts w:ascii="Arial" w:cs="Arial" w:eastAsia="Arial" w:hAnsi="Arial"/>
                <w:sz w:val="14"/>
                <w:szCs w:val="14"/>
                <w:b w:val="1"/>
                <w:bCs w:val="1"/>
                <w:color w:val="503C64"/>
              </w:rPr>
              <w:t>(Dollars in Millions)</w:t>
            </w:r>
          </w:p>
        </w:tc>
        <w:tc>
          <w:tcPr>
            <w:tcW w:w="260" w:type="dxa"/>
            <w:vAlign w:val="bottom"/>
            <w:tcBorders>
              <w:top w:val="single" w:sz="8" w:color="B6B6B6"/>
            </w:tcBorders>
          </w:tcPr>
          <w:p>
            <w:pPr>
              <w:spacing w:after="0"/>
              <w:rPr>
                <w:sz w:val="17"/>
                <w:szCs w:val="17"/>
                <w:color w:val="auto"/>
              </w:rPr>
            </w:pPr>
          </w:p>
        </w:tc>
        <w:tc>
          <w:tcPr>
            <w:tcW w:w="800" w:type="dxa"/>
            <w:vAlign w:val="bottom"/>
            <w:tcBorders>
              <w:top w:val="single" w:sz="8" w:color="B6B6B6"/>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B6B6B6"/>
            </w:tcBorders>
          </w:tcPr>
          <w:p>
            <w:pPr>
              <w:spacing w:after="0"/>
              <w:rPr>
                <w:sz w:val="17"/>
                <w:szCs w:val="17"/>
                <w:color w:val="auto"/>
              </w:rPr>
            </w:pPr>
          </w:p>
        </w:tc>
        <w:tc>
          <w:tcPr>
            <w:tcW w:w="920" w:type="dxa"/>
            <w:vAlign w:val="bottom"/>
            <w:tcBorders>
              <w:top w:val="single" w:sz="8" w:color="B6B6B6"/>
            </w:tcBorders>
          </w:tcPr>
          <w:p>
            <w:pPr>
              <w:spacing w:after="0"/>
              <w:rPr>
                <w:sz w:val="17"/>
                <w:szCs w:val="17"/>
                <w:color w:val="auto"/>
              </w:rPr>
            </w:pPr>
          </w:p>
        </w:tc>
        <w:tc>
          <w:tcPr>
            <w:tcW w:w="240" w:type="dxa"/>
            <w:vAlign w:val="bottom"/>
            <w:tcBorders>
              <w:top w:val="single" w:sz="8" w:color="B6B6B6"/>
            </w:tcBorders>
          </w:tcPr>
          <w:p>
            <w:pPr>
              <w:spacing w:after="0"/>
              <w:rPr>
                <w:sz w:val="17"/>
                <w:szCs w:val="17"/>
                <w:color w:val="auto"/>
              </w:rPr>
            </w:pPr>
          </w:p>
        </w:tc>
        <w:tc>
          <w:tcPr>
            <w:tcW w:w="2020" w:type="dxa"/>
            <w:vAlign w:val="bottom"/>
            <w:tcBorders>
              <w:top w:val="single" w:sz="8" w:color="B6B6B6"/>
            </w:tcBorders>
            <w:gridSpan w:val="3"/>
          </w:tcPr>
          <w:p>
            <w:pPr>
              <w:jc w:val="right"/>
              <w:ind w:right="453"/>
              <w:spacing w:after="0"/>
              <w:rPr>
                <w:sz w:val="20"/>
                <w:szCs w:val="20"/>
                <w:color w:val="auto"/>
              </w:rPr>
            </w:pPr>
            <w:r>
              <w:rPr>
                <w:rFonts w:ascii="Arial" w:cs="Arial" w:eastAsia="Arial" w:hAnsi="Arial"/>
                <w:sz w:val="14"/>
                <w:szCs w:val="14"/>
                <w:b w:val="1"/>
                <w:bCs w:val="1"/>
                <w:color w:val="503C64"/>
              </w:rPr>
              <w:t>(Dollars in Millions)</w:t>
            </w:r>
          </w:p>
        </w:tc>
        <w:tc>
          <w:tcPr>
            <w:tcW w:w="200" w:type="dxa"/>
            <w:vAlign w:val="bottom"/>
            <w:tcBorders>
              <w:top w:val="single" w:sz="8" w:color="B6B6B6"/>
            </w:tcBorders>
          </w:tcPr>
          <w:p>
            <w:pPr>
              <w:spacing w:after="0"/>
              <w:rPr>
                <w:sz w:val="17"/>
                <w:szCs w:val="17"/>
                <w:color w:val="auto"/>
              </w:rPr>
            </w:pPr>
          </w:p>
        </w:tc>
        <w:tc>
          <w:tcPr>
            <w:tcW w:w="800" w:type="dxa"/>
            <w:vAlign w:val="bottom"/>
            <w:tcBorders>
              <w:top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120"/>
              <w:spacing w:after="0" w:line="181" w:lineRule="exact"/>
              <w:rPr>
                <w:sz w:val="20"/>
                <w:szCs w:val="20"/>
                <w:color w:val="auto"/>
              </w:rPr>
            </w:pPr>
            <w:r>
              <w:rPr>
                <w:rFonts w:ascii="Arial" w:cs="Arial" w:eastAsia="Arial" w:hAnsi="Arial"/>
                <w:sz w:val="18"/>
                <w:szCs w:val="18"/>
                <w:color w:val="auto"/>
              </w:rPr>
              <w:t>Total compensation and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73"/>
              <w:spacing w:after="0"/>
              <w:rPr>
                <w:sz w:val="20"/>
                <w:szCs w:val="20"/>
                <w:color w:val="auto"/>
              </w:rPr>
            </w:pPr>
            <w:r>
              <w:rPr>
                <w:rFonts w:ascii="Arial" w:cs="Arial" w:eastAsia="Arial" w:hAnsi="Arial"/>
                <w:sz w:val="18"/>
                <w:szCs w:val="18"/>
                <w:color w:val="auto"/>
              </w:rPr>
              <w:t>108.3</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104.0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
              <w:spacing w:after="0"/>
              <w:rPr>
                <w:sz w:val="20"/>
                <w:szCs w:val="20"/>
                <w:color w:val="auto"/>
              </w:rPr>
            </w:pPr>
            <w:r>
              <w:rPr>
                <w:rFonts w:ascii="Arial" w:cs="Arial" w:eastAsia="Arial" w:hAnsi="Arial"/>
                <w:sz w:val="18"/>
                <w:szCs w:val="18"/>
                <w:color w:val="auto"/>
              </w:rPr>
              <w:t>310.5</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color w:val="auto"/>
              </w:rPr>
              <w:t>168.3</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73"/>
              <w:spacing w:after="0"/>
              <w:rPr>
                <w:sz w:val="20"/>
                <w:szCs w:val="20"/>
                <w:color w:val="auto"/>
              </w:rPr>
            </w:pPr>
            <w:r>
              <w:rPr>
                <w:rFonts w:ascii="Arial" w:cs="Arial" w:eastAsia="Arial" w:hAnsi="Arial"/>
                <w:sz w:val="18"/>
                <w:szCs w:val="18"/>
                <w:color w:val="auto"/>
              </w:rPr>
              <w:t>257.6</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246.0</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93"/>
              <w:spacing w:after="0"/>
              <w:rPr>
                <w:sz w:val="20"/>
                <w:szCs w:val="20"/>
                <w:color w:val="auto"/>
              </w:rPr>
            </w:pPr>
            <w:r>
              <w:rPr>
                <w:rFonts w:ascii="Arial" w:cs="Arial" w:eastAsia="Arial" w:hAnsi="Arial"/>
                <w:sz w:val="18"/>
                <w:szCs w:val="18"/>
                <w:color w:val="auto"/>
              </w:rPr>
              <w:t>425.9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40"/>
        </w:trPr>
        <w:tc>
          <w:tcPr>
            <w:tcW w:w="2300" w:type="dxa"/>
            <w:vAlign w:val="bottom"/>
          </w:tcPr>
          <w:p>
            <w:pPr>
              <w:ind w:left="20"/>
              <w:spacing w:after="0"/>
              <w:rPr>
                <w:sz w:val="20"/>
                <w:szCs w:val="20"/>
                <w:color w:val="auto"/>
              </w:rPr>
            </w:pPr>
            <w:r>
              <w:rPr>
                <w:rFonts w:ascii="Arial" w:cs="Arial" w:eastAsia="Arial" w:hAnsi="Arial"/>
                <w:sz w:val="18"/>
                <w:szCs w:val="18"/>
                <w:color w:val="auto"/>
              </w:rPr>
              <w:t>benefits</w:t>
            </w: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300" w:type="dxa"/>
            <w:vAlign w:val="bottom"/>
          </w:tcPr>
          <w:p>
            <w:pPr>
              <w:jc w:val="center"/>
              <w:ind w:right="43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67%</w:t>
            </w:r>
          </w:p>
        </w:tc>
        <w:tc>
          <w:tcPr>
            <w:tcW w:w="24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i w:val="1"/>
                <w:iCs w:val="1"/>
                <w:color w:val="auto"/>
              </w:rPr>
              <w:t>114%</w:t>
            </w:r>
          </w:p>
        </w:tc>
        <w:tc>
          <w:tcPr>
            <w:tcW w:w="2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i w:val="1"/>
                <w:iCs w:val="1"/>
                <w:color w:val="auto"/>
              </w:rPr>
              <w:t>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67%</w:t>
            </w:r>
          </w:p>
        </w:tc>
        <w:tc>
          <w:tcPr>
            <w:tcW w:w="260" w:type="dxa"/>
            <w:vAlign w:val="bottom"/>
          </w:tcPr>
          <w:p>
            <w:pPr>
              <w:spacing w:after="0"/>
              <w:rPr>
                <w:sz w:val="19"/>
                <w:szCs w:val="19"/>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i w:val="1"/>
                <w:iCs w:val="1"/>
                <w:color w:val="auto"/>
              </w:rPr>
              <w:t>114%</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i w:val="1"/>
                <w:iCs w:val="1"/>
                <w:color w:val="auto"/>
              </w:rPr>
              <w:t>68%</w:t>
            </w:r>
          </w:p>
        </w:tc>
        <w:tc>
          <w:tcPr>
            <w:tcW w:w="0" w:type="dxa"/>
            <w:vAlign w:val="bottom"/>
          </w:tcPr>
          <w:p>
            <w:pPr>
              <w:spacing w:after="0"/>
              <w:rPr>
                <w:sz w:val="1"/>
                <w:szCs w:val="1"/>
                <w:color w:val="auto"/>
              </w:rPr>
            </w:pPr>
          </w:p>
        </w:tc>
      </w:tr>
      <w:tr>
        <w:trPr>
          <w:trHeight w:val="181"/>
        </w:trPr>
        <w:tc>
          <w:tcPr>
            <w:tcW w:w="2300" w:type="dxa"/>
            <w:vAlign w:val="bottom"/>
          </w:tcPr>
          <w:p>
            <w:pPr>
              <w:jc w:val="center"/>
              <w:ind w:right="450"/>
              <w:spacing w:after="0" w:line="181" w:lineRule="exact"/>
              <w:rPr>
                <w:sz w:val="20"/>
                <w:szCs w:val="20"/>
                <w:color w:val="auto"/>
              </w:rPr>
            </w:pPr>
            <w:r>
              <w:rPr>
                <w:rFonts w:ascii="Arial" w:cs="Arial" w:eastAsia="Arial" w:hAnsi="Arial"/>
                <w:sz w:val="18"/>
                <w:szCs w:val="18"/>
                <w:color w:val="auto"/>
              </w:rPr>
              <w:t>Non-compensation</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73"/>
              <w:spacing w:after="0"/>
              <w:rPr>
                <w:sz w:val="20"/>
                <w:szCs w:val="20"/>
                <w:color w:val="auto"/>
              </w:rPr>
            </w:pPr>
            <w:r>
              <w:rPr>
                <w:rFonts w:ascii="Arial" w:cs="Arial" w:eastAsia="Arial" w:hAnsi="Arial"/>
                <w:sz w:val="18"/>
                <w:szCs w:val="18"/>
                <w:color w:val="auto"/>
              </w:rPr>
              <w:t>38.0</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36.4</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
              <w:spacing w:after="0"/>
              <w:rPr>
                <w:sz w:val="20"/>
                <w:szCs w:val="20"/>
                <w:color w:val="auto"/>
              </w:rPr>
            </w:pPr>
            <w:r>
              <w:rPr>
                <w:rFonts w:ascii="Arial" w:cs="Arial" w:eastAsia="Arial" w:hAnsi="Arial"/>
                <w:sz w:val="18"/>
                <w:szCs w:val="18"/>
                <w:color w:val="auto"/>
              </w:rPr>
              <w:t>43.8</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73"/>
              <w:spacing w:after="0"/>
              <w:rPr>
                <w:sz w:val="20"/>
                <w:szCs w:val="20"/>
                <w:color w:val="auto"/>
              </w:rPr>
            </w:pPr>
            <w:r>
              <w:rPr>
                <w:rFonts w:ascii="Arial" w:cs="Arial" w:eastAsia="Arial" w:hAnsi="Arial"/>
                <w:sz w:val="18"/>
                <w:szCs w:val="18"/>
                <w:color w:val="auto"/>
              </w:rPr>
              <w:t>88.9</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85.6</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93"/>
              <w:spacing w:after="0"/>
              <w:rPr>
                <w:sz w:val="20"/>
                <w:szCs w:val="20"/>
                <w:color w:val="auto"/>
              </w:rPr>
            </w:pPr>
            <w:r>
              <w:rPr>
                <w:rFonts w:ascii="Arial" w:cs="Arial" w:eastAsia="Arial" w:hAnsi="Arial"/>
                <w:sz w:val="18"/>
                <w:szCs w:val="18"/>
                <w:color w:val="auto"/>
              </w:rPr>
              <w:t>84.1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0"/>
        </w:trPr>
        <w:tc>
          <w:tcPr>
            <w:tcW w:w="23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ind w:right="43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2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i w:val="1"/>
                <w:iCs w:val="1"/>
                <w:color w:val="auto"/>
              </w:rPr>
              <w:t>16%</w:t>
            </w:r>
          </w:p>
        </w:tc>
        <w:tc>
          <w:tcPr>
            <w:tcW w:w="26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i w:val="1"/>
                <w:iCs w:val="1"/>
                <w:color w:val="auto"/>
              </w:rPr>
              <w:t>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260" w:type="dxa"/>
            <w:vAlign w:val="bottom"/>
          </w:tcPr>
          <w:p>
            <w:pPr>
              <w:spacing w:after="0"/>
              <w:rPr>
                <w:sz w:val="20"/>
                <w:szCs w:val="20"/>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i w:val="1"/>
                <w:iCs w:val="1"/>
                <w:color w:val="auto"/>
              </w:rPr>
              <w:t>22%</w:t>
            </w:r>
          </w:p>
        </w:tc>
        <w:tc>
          <w:tcPr>
            <w:tcW w:w="20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i w:val="1"/>
                <w:iCs w:val="1"/>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Three Months Ended</w:t>
      </w:r>
    </w:p>
    <w:p>
      <w:pPr>
        <w:spacing w:after="0" w:line="391"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GAAP total compensation and benefits were $108.3 million for the second quarter of 2025, compared to $310.5 million for the second quarter of 2024. The prior year period included expense related to the one-time accelerated vesting of certain partnership unit awards (the “Vesting Acceleration”) as well as incremental equity-based compensation expense tied to transaction-related incentive unit awards which vested in the third quarter of 2024. Adjusted total compensation and benefits were $104.0 million for the second quarter of 2025, compared to $168.3 million for the same period a year ago. The decrease in total compensation and benefits was due to a lower bonus accrual associated with lower revenues, despite a higher effective compensation margin versus the second quarter of 2024.</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GAAP non-compensation expenses were $38.0 million for the second quarter of 2025, compared to $43.8 million for the second quarter of 2024. Adjusted non-compensation expenses were $36.4 million for the second quarter of 2025, compared to $41.2 million for the same period a year ago. The decrease in non-compensation expenses was largely driven by lower professional fees tied to a significant reduction in litigation spend and a decrease in general, administrative and other expenses.</w:t>
      </w:r>
    </w:p>
    <w:p>
      <w:pPr>
        <w:spacing w:after="0" w:line="200" w:lineRule="exact"/>
        <w:rPr>
          <w:sz w:val="20"/>
          <w:szCs w:val="20"/>
          <w:color w:val="auto"/>
        </w:rPr>
      </w:pPr>
    </w:p>
    <w:p>
      <w:pPr>
        <w:spacing w:after="0" w:line="285" w:lineRule="exact"/>
        <w:rPr>
          <w:sz w:val="20"/>
          <w:szCs w:val="20"/>
          <w:color w:val="auto"/>
        </w:rPr>
      </w:pPr>
    </w:p>
    <w:p>
      <w:pPr>
        <w:jc w:val="both"/>
        <w:ind w:firstLine="8"/>
        <w:spacing w:after="0" w:line="259"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i w:val="1"/>
          <w:iCs w:val="1"/>
          <w:color w:val="auto"/>
        </w:rPr>
        <w:t>Six Months Ended</w:t>
      </w:r>
    </w:p>
    <w:p>
      <w:pPr>
        <w:spacing w:after="0" w:line="200" w:lineRule="exact"/>
        <w:rPr>
          <w:sz w:val="20"/>
          <w:szCs w:val="20"/>
          <w:color w:val="auto"/>
        </w:rPr>
      </w:pPr>
    </w:p>
    <w:p>
      <w:pPr>
        <w:spacing w:after="0" w:line="205"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GAAP total compensation and benefits were $257.6 million for the six months ended June 30, 2025, compared to $425.9 million for the prior year period. Consistent with the three month period ended June 30, 2025, the prior year period included the impact of the one-time Vesting Acceleration as well as incremental equity-based compensation expense tied to transaction-related incentive unit awards which vested in the third quarter of 2024. Adjusted total compensation and benefits were $246.0 million for the six months ended June 30, 2025, compared to $254.4 million for the same period a year ago. The decrease in total compensation and benefits resulted from a lower bonus accrual on an absolute dollar basis associated with lower revenues combined with the impact of a lower compensation margin compared to 2024.</w:t>
      </w:r>
    </w:p>
    <w:p>
      <w:pPr>
        <w:spacing w:after="0" w:line="209"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GAAP non-compensation expenses were $88.9 million for the six months ended June 30, 2025, compared to $84.1 million for the prior year period. Adjusted non-compensation expenses were $85.6 million for the six months ended June 30, 2025, compared to $78.2 million for the same period a year ago. The increase in non-compensation expenses was largely driven by an increase in professional fees tied to litigation spend in the first quarter of 2025 and higher travel related costs, partially offset by a decrease in general, administrative and other expenses and lower deal-related professional fees. On a GAAP basis, the increase was partially offset by non-recurring partnership reorganization costs which were incurred in the first quarter of 2024.</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Provision for Income Taxes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Perella Weinberg Partners currently owns 71.5% of the operating partnership (“PWP OpCo”) and is subject to U.S. federal and state corporate income tax on its allocable share of earnings. Income earned by the operating partnership is subject to certain state, local, and foreign income taxes.</w:t>
      </w:r>
    </w:p>
    <w:p>
      <w:pPr>
        <w:spacing w:after="0" w:line="197"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purposes of calculating adjusted if-converted net income, we have presented our results as if all partnership units had been converted to shares of Class A common stock, and as if all of our adjusted results for the period were subject to U.S. corporate income tax. For the six months ended June 30, 2025, the effective tax rate for adjusted if-converted net income was (15)%. This tax rate includes $14.9 million of benefit from the vesting of restricted stock units at a share price higher than the grant price. The adjusted effective tax rate excluding this benefit would have been 30%.</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8"/>
        <w:spacing w:after="0" w:line="259" w:lineRule="auto"/>
        <w:tabs>
          <w:tab w:leader="none" w:pos="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As of June 30, 2025, Perella Weinberg had $145.0 million of cash with no outstanding indebtedness and an undrawn revolving credit facility.</w:t>
      </w:r>
    </w:p>
    <w:p>
      <w:pPr>
        <w:spacing w:after="0" w:line="182"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During the six months ended June 30, 2025, Perella Weinberg returned $145.2 million in aggregate to our equity holders through: (i) the net settlement of 3,108,262 share equivalents at an average price per share of $23.15; (ii) the settlement of unit exchanges of 1,270,086 PWP OpCo units for cash at $22.65 per unit and the repurchase of 1,732,489 shares at an average price per share of $18.33 in open market transactions pursuant to PWP’s Class A common stock repurchase program; and (iii) the payment of aggregate dividends of $12.7 million to Class A common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At June 30, 2025, there were 62.6 million shares of Class A common stock and 25.0 million partnership units outstanding.</w:t>
      </w:r>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September 10, 2025 to Class A common stockholders of record on August 29, 2025.</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Board of Directors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Perella Weinberg has appointed two additional Independent Directors to its Board of Directors, Edwin Bennett and Houda Dabboussi. Their invaluable insights, perspectives, and experiences will benefit the Firm and its clients and help drive value for shareholders.</w:t>
      </w:r>
    </w:p>
    <w:p>
      <w:pPr>
        <w:spacing w:after="0" w:line="197"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Mr. Bennett had a long and distinguished career as a partner and senior business leader at Ernst &amp; Young, serving most recently as Chief Operating Officer from 2015-2021. Mr. Bennett currently serves on the Board of Directors for Atmus Filtration Technologies, Inc. (NYSE: ATMU) and as a strategic advisor and Advisory Board Member of Arkestro, Inc. Mr. Bennett earned a Bachelor of Science from the University of Georgia and is a graduate of the Executive Leadership Program of Kellogg School of Management and of the Global Executive Leadership Program from Harvard Business School. Mr. Bennett is a certified public accountant.</w:t>
      </w:r>
    </w:p>
    <w:p>
      <w:pPr>
        <w:spacing w:after="0" w:line="208"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Ms. Dabboussi is President of Shell Marine, a subsidiary of Shell Plc. specializing in marine fuels and lubricants. Ms. Dabboussi has served in numerous positions at Shell Plc. during her more than a decade tenure, including as Global Head of Acquisitions, Divestments &amp; NBD, Renewables &amp; Energy Solutions. Prior to joining Shell Plc. in 2014, Ms. Dabboussi served in private equity and investment advisory roles. Ms. Dabboussi earned a Bachelor of Business Administration from American University of Beirut and a Master of Arts in Business Management from the Kingston Business School in London.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8"/>
        <w:spacing w:after="0" w:line="259" w:lineRule="auto"/>
        <w:tabs>
          <w:tab w:leader="none" w:pos="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Conference Call and Webcast</w:t>
      </w:r>
    </w:p>
    <w:p>
      <w:pPr>
        <w:spacing w:after="0" w:line="312"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Management will host a webcast and conference call on Friday, August 1, 2025 at 9:00 am ET to discuss Perella Weinberg’s financial results for the second quarter ended June 30, 2025.</w:t>
      </w:r>
    </w:p>
    <w:p>
      <w:pPr>
        <w:spacing w:after="0" w:line="182"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A webcast of the conference call will be made available in the Investors section of Perella Weinberg’s website at https://investors.pwpartners.com/.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Domestic: (800) 267-6316</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International: (203) 518-9783</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Conference ID: PWPQ225</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Replay</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A replay of the call will also be available two hours after the live call through August 8, 2025. To access the replay, dial (800) 723-0532 (Domestic) or (402) 220-2655 (International). The replay can also be accessed on the Investors section of the Company’s website at https://investors.pwpartners.com/.</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For those who listen to the rebroadcast of the call, we remind you that the remarks made are as of August 1, 2025, and have not been updated subsequent to the initial earnings call.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Perella Weinberg</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financial sponsors, governments, and sovereign wealth funds. The Firm offers a wide range of advisory services to clients in some of the most active industry sectors and global markets. With approximately 700 employees, Perella Weinberg currently maintains offices in New York, London, Houston, Los Angeles, San Francisco, Paris, Chicago, Munich, Denver, and Calgary. The financial information of Perella Weinberg herein refers to the business operations of PWP Holdings LP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31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296" w:lineRule="exact"/>
        <w:rPr>
          <w:sz w:val="20"/>
          <w:szCs w:val="20"/>
          <w:color w:val="auto"/>
        </w:rPr>
      </w:pPr>
    </w:p>
    <w:p>
      <w:pPr>
        <w:jc w:val="both"/>
        <w:ind w:firstLine="8"/>
        <w:spacing w:after="0" w:line="259"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1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U.S. Securities and Exchange Commission (the “SEC”) on February 27, 2025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8"/>
        <w:spacing w:after="0" w:line="259" w:lineRule="auto"/>
        <w:tabs>
          <w:tab w:leader="none" w:pos="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Consolidated Statements of Operations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503C64"/>
              </w:rPr>
              <w:t>Three Months Ended</w:t>
            </w:r>
          </w:p>
        </w:tc>
        <w:tc>
          <w:tcPr>
            <w:tcW w:w="200" w:type="dxa"/>
            <w:vAlign w:val="bottom"/>
          </w:tcPr>
          <w:p>
            <w:pPr>
              <w:spacing w:after="0"/>
              <w:rPr>
                <w:sz w:val="16"/>
                <w:szCs w:val="16"/>
                <w:color w:val="auto"/>
              </w:rPr>
            </w:pPr>
          </w:p>
        </w:tc>
        <w:tc>
          <w:tcPr>
            <w:tcW w:w="220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503C64"/>
              </w:rPr>
              <w:t>Six Months Ended</w:t>
            </w:r>
          </w:p>
        </w:tc>
      </w:tr>
      <w:tr>
        <w:trPr>
          <w:trHeight w:val="223"/>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503C64"/>
                <w:w w:val="99"/>
              </w:rPr>
              <w:t>June 30,</w:t>
            </w:r>
          </w:p>
        </w:tc>
        <w:tc>
          <w:tcPr>
            <w:tcW w:w="200" w:type="dxa"/>
            <w:vAlign w:val="bottom"/>
          </w:tcPr>
          <w:p>
            <w:pPr>
              <w:spacing w:after="0"/>
              <w:rPr>
                <w:sz w:val="19"/>
                <w:szCs w:val="19"/>
                <w:color w:val="auto"/>
              </w:rPr>
            </w:pPr>
          </w:p>
        </w:tc>
        <w:tc>
          <w:tcPr>
            <w:tcW w:w="22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503C64"/>
              </w:rPr>
              <w:t>June 30,</w:t>
            </w:r>
          </w:p>
        </w:tc>
      </w:tr>
      <w:tr>
        <w:trPr>
          <w:trHeight w:val="21"/>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r>
      <w:tr>
        <w:trPr>
          <w:trHeight w:val="195"/>
        </w:trPr>
        <w:tc>
          <w:tcPr>
            <w:tcW w:w="6060" w:type="dxa"/>
            <w:vAlign w:val="bottom"/>
            <w:tcBorders>
              <w:bottom w:val="single" w:sz="8" w:color="B6B6B6"/>
            </w:tcBorders>
          </w:tcPr>
          <w:p>
            <w:pPr>
              <w:spacing w:after="0"/>
              <w:rPr>
                <w:sz w:val="16"/>
                <w:szCs w:val="16"/>
                <w:color w:val="auto"/>
              </w:rPr>
            </w:pPr>
          </w:p>
        </w:tc>
        <w:tc>
          <w:tcPr>
            <w:tcW w:w="80" w:type="dxa"/>
            <w:vAlign w:val="bottom"/>
            <w:tcBorders>
              <w:bottom w:val="single" w:sz="8" w:color="B6B6B6"/>
            </w:tcBorders>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2024</w:t>
            </w:r>
          </w:p>
        </w:tc>
      </w:tr>
      <w:tr>
        <w:trPr>
          <w:trHeight w:val="211"/>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155,267</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271,998</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367,098</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374,125</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80,280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149,973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203,279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218,563</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28,034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160,498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54,279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207,305</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108,314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310,471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257,558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425,868</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6,899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26,095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22,803</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9,237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18,526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17,897</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6,596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12,922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12,137</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5,329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10,973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9,285</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4,892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10,355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11,742</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5,052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10,053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10,188</w:t>
            </w:r>
          </w:p>
        </w:tc>
      </w:tr>
      <w:tr>
        <w:trPr>
          <w:trHeight w:val="217"/>
        </w:trPr>
        <w:tc>
          <w:tcPr>
            <w:tcW w:w="606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146,319</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354,230</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346,482</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509,920</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8,948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(82,232)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20,616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(135,795)</w:t>
            </w: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3,402</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3,402</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6,248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(81,487)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18,147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(132,393)</w:t>
            </w:r>
          </w:p>
        </w:tc>
      </w:tr>
      <w:tr>
        <w:trPr>
          <w:trHeight w:val="216"/>
        </w:trPr>
        <w:tc>
          <w:tcPr>
            <w:tcW w:w="606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ind w:right="39"/>
              <w:spacing w:after="0"/>
              <w:rPr>
                <w:sz w:val="20"/>
                <w:szCs w:val="20"/>
                <w:color w:val="auto"/>
              </w:rPr>
            </w:pPr>
            <w:r>
              <w:rPr>
                <w:rFonts w:ascii="Arial" w:cs="Arial" w:eastAsia="Arial" w:hAnsi="Arial"/>
                <w:sz w:val="16"/>
                <w:szCs w:val="16"/>
                <w:color w:val="auto"/>
              </w:rPr>
              <w:t>1,980</w:t>
            </w:r>
          </w:p>
        </w:tc>
        <w:tc>
          <w:tcPr>
            <w:tcW w:w="2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(642)</w:t>
            </w:r>
          </w:p>
        </w:tc>
        <w:tc>
          <w:tcPr>
            <w:tcW w:w="80" w:type="dxa"/>
            <w:vAlign w:val="bottom"/>
            <w:tcBorders>
              <w:bottom w:val="single" w:sz="8" w:color="B6B6B6"/>
            </w:tcBorders>
          </w:tcPr>
          <w:p>
            <w:pPr>
              <w:spacing w:after="0"/>
              <w:rPr>
                <w:sz w:val="18"/>
                <w:szCs w:val="18"/>
                <w:color w:val="auto"/>
              </w:rPr>
            </w:pPr>
          </w:p>
        </w:tc>
        <w:tc>
          <w:tcPr>
            <w:tcW w:w="20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(7,494)</w:t>
            </w:r>
          </w:p>
        </w:tc>
        <w:tc>
          <w:tcPr>
            <w:tcW w:w="2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18,452</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4,268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(80,845)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25,641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(150,845)</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1,530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5,564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(48,973)</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2,738</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(66,028)</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20,077</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(101,872)</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0.04</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0.32</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(1.96)</w:t>
            </w: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0.04</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0.29</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(1.96)</w:t>
            </w:r>
          </w:p>
        </w:tc>
      </w:tr>
      <w:tr>
        <w:trPr>
          <w:trHeight w:val="218"/>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63,064,731</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54,589,542</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62,604,779</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51,894,913</w:t>
            </w:r>
          </w:p>
        </w:tc>
      </w:tr>
      <w:tr>
        <w:trPr>
          <w:trHeight w:val="217"/>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98,831,307</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54,589,542</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74,555,206</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51,894,913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2" w:right="339" w:bottom="1440" w:gutter="0" w:footer="0" w:header="0"/>
        </w:sectPr>
      </w:pPr>
    </w:p>
    <w:bookmarkStart w:id="12" w:name="page13"/>
    <w:bookmarkEnd w:id="12"/>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12"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Arial" w:cs="Arial" w:eastAsia="Arial" w:hAnsi="Arial"/>
                <w:sz w:val="16"/>
                <w:szCs w:val="16"/>
                <w:b w:val="1"/>
                <w:bCs w:val="1"/>
                <w:color w:val="503C64"/>
              </w:rPr>
              <w:t>Three Months Ended</w:t>
            </w:r>
          </w:p>
        </w:tc>
        <w:tc>
          <w:tcPr>
            <w:tcW w:w="260" w:type="dxa"/>
            <w:vAlign w:val="bottom"/>
          </w:tcPr>
          <w:p>
            <w:pPr>
              <w:spacing w:after="0"/>
              <w:rPr>
                <w:sz w:val="16"/>
                <w:szCs w:val="16"/>
                <w:color w:val="auto"/>
              </w:rPr>
            </w:pPr>
          </w:p>
        </w:tc>
        <w:tc>
          <w:tcPr>
            <w:tcW w:w="2120" w:type="dxa"/>
            <w:vAlign w:val="bottom"/>
            <w:gridSpan w:val="3"/>
          </w:tcPr>
          <w:p>
            <w:pPr>
              <w:jc w:val="right"/>
              <w:ind w:right="428"/>
              <w:spacing w:after="0"/>
              <w:rPr>
                <w:sz w:val="20"/>
                <w:szCs w:val="20"/>
                <w:color w:val="auto"/>
              </w:rPr>
            </w:pPr>
            <w:r>
              <w:rPr>
                <w:rFonts w:ascii="Arial" w:cs="Arial" w:eastAsia="Arial" w:hAnsi="Arial"/>
                <w:sz w:val="16"/>
                <w:szCs w:val="16"/>
                <w:b w:val="1"/>
                <w:bCs w:val="1"/>
                <w:color w:val="503C64"/>
              </w:rPr>
              <w:t>Six Months Ended</w:t>
            </w:r>
          </w:p>
        </w:tc>
      </w:tr>
      <w:tr>
        <w:trPr>
          <w:trHeight w:val="223"/>
        </w:trPr>
        <w:tc>
          <w:tcPr>
            <w:tcW w:w="6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503C64"/>
              </w:rPr>
              <w:t>June 30,</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8"/>
              <w:spacing w:after="0"/>
              <w:rPr>
                <w:sz w:val="20"/>
                <w:szCs w:val="20"/>
                <w:color w:val="auto"/>
              </w:rPr>
            </w:pPr>
            <w:r>
              <w:rPr>
                <w:rFonts w:ascii="Arial" w:cs="Arial" w:eastAsia="Arial" w:hAnsi="Arial"/>
                <w:sz w:val="16"/>
                <w:szCs w:val="16"/>
                <w:b w:val="1"/>
                <w:bCs w:val="1"/>
                <w:color w:val="503C64"/>
              </w:rPr>
              <w:t>June 30,</w:t>
            </w:r>
          </w:p>
        </w:tc>
        <w:tc>
          <w:tcPr>
            <w:tcW w:w="800" w:type="dxa"/>
            <w:vAlign w:val="bottom"/>
          </w:tcPr>
          <w:p>
            <w:pPr>
              <w:spacing w:after="0"/>
              <w:rPr>
                <w:sz w:val="19"/>
                <w:szCs w:val="19"/>
                <w:color w:val="auto"/>
              </w:rPr>
            </w:pPr>
          </w:p>
        </w:tc>
      </w:tr>
      <w:tr>
        <w:trPr>
          <w:trHeight w:val="21"/>
        </w:trPr>
        <w:tc>
          <w:tcPr>
            <w:tcW w:w="618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80" w:type="dxa"/>
            <w:vAlign w:val="bottom"/>
            <w:tcBorders>
              <w:bottom w:val="single" w:sz="8" w:color="B6B6B6"/>
            </w:tcBorders>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8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400" w:type="dxa"/>
            <w:vAlign w:val="bottom"/>
            <w:tcBorders>
              <w:bottom w:val="single" w:sz="8" w:color="B6B6B6"/>
            </w:tcBorders>
          </w:tcPr>
          <w:p>
            <w:pPr>
              <w:spacing w:after="0" w:line="20" w:lineRule="exact"/>
              <w:rPr>
                <w:sz w:val="1"/>
                <w:szCs w:val="1"/>
                <w:color w:val="auto"/>
              </w:rPr>
            </w:pPr>
          </w:p>
        </w:tc>
        <w:tc>
          <w:tcPr>
            <w:tcW w:w="800" w:type="dxa"/>
            <w:vAlign w:val="bottom"/>
            <w:tcBorders>
              <w:bottom w:val="single" w:sz="8" w:color="B6B6B6"/>
            </w:tcBorders>
          </w:tcPr>
          <w:p>
            <w:pPr>
              <w:spacing w:after="0" w:line="20" w:lineRule="exact"/>
              <w:rPr>
                <w:sz w:val="1"/>
                <w:szCs w:val="1"/>
                <w:color w:val="auto"/>
              </w:rPr>
            </w:pPr>
          </w:p>
        </w:tc>
      </w:tr>
      <w:tr>
        <w:trPr>
          <w:trHeight w:val="195"/>
        </w:trPr>
        <w:tc>
          <w:tcPr>
            <w:tcW w:w="6180" w:type="dxa"/>
            <w:vAlign w:val="bottom"/>
            <w:tcBorders>
              <w:bottom w:val="single" w:sz="8" w:color="B6B6B6"/>
            </w:tcBorders>
          </w:tcPr>
          <w:p>
            <w:pPr>
              <w:spacing w:after="0"/>
              <w:rPr>
                <w:sz w:val="16"/>
                <w:szCs w:val="16"/>
                <w:color w:val="auto"/>
              </w:rPr>
            </w:pPr>
          </w:p>
        </w:tc>
        <w:tc>
          <w:tcPr>
            <w:tcW w:w="24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B6B6B6"/>
            </w:tcBorders>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8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B6B6B6"/>
            </w:tcBorders>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9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B6B6B6"/>
            </w:tcBorders>
          </w:tcPr>
          <w:p>
            <w:pPr>
              <w:spacing w:after="0"/>
              <w:rPr>
                <w:sz w:val="16"/>
                <w:szCs w:val="16"/>
                <w:color w:val="auto"/>
              </w:rPr>
            </w:pPr>
          </w:p>
        </w:tc>
        <w:tc>
          <w:tcPr>
            <w:tcW w:w="8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2024</w:t>
            </w:r>
          </w:p>
        </w:tc>
      </w:tr>
      <w:tr>
        <w:trPr>
          <w:trHeight w:val="19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108,314</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310,471</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257,558</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425,868</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(130,039)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(4,285)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(11,603)</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(24,457)</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6B6B6"/>
            </w:tcBorders>
          </w:tcPr>
          <w:p>
            <w:pPr>
              <w:spacing w:after="0"/>
              <w:rPr>
                <w:sz w:val="17"/>
                <w:szCs w:val="17"/>
                <w:color w:val="auto"/>
              </w:rPr>
            </w:pPr>
          </w:p>
        </w:tc>
        <w:tc>
          <w:tcPr>
            <w:tcW w:w="8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(3,249)</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104,029</w:t>
            </w:r>
          </w:p>
        </w:tc>
        <w:tc>
          <w:tcPr>
            <w:tcW w:w="440" w:type="dxa"/>
            <w:vAlign w:val="bottom"/>
            <w:gridSpan w:val="2"/>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168,325</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245,955</w:t>
            </w:r>
          </w:p>
        </w:tc>
        <w:tc>
          <w:tcPr>
            <w:tcW w:w="400" w:type="dxa"/>
            <w:vAlign w:val="bottom"/>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254,448</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38,005</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43,759</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88,924</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84,052</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(3,290)</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(3,290)</w:t>
            </w:r>
          </w:p>
        </w:tc>
      </w:tr>
      <w:tr>
        <w:trPr>
          <w:trHeight w:val="201"/>
        </w:trPr>
        <w:tc>
          <w:tcPr>
            <w:tcW w:w="6180" w:type="dxa"/>
            <w:vAlign w:val="bottom"/>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(2,570)</w:t>
            </w:r>
          </w:p>
        </w:tc>
      </w:tr>
      <w:tr>
        <w:trPr>
          <w:trHeight w:val="203"/>
        </w:trPr>
        <w:tc>
          <w:tcPr>
            <w:tcW w:w="6180" w:type="dxa"/>
            <w:vAlign w:val="bottom"/>
            <w:shd w:val="clear" w:color="auto" w:fill="E3E1E9"/>
          </w:tcPr>
          <w:p>
            <w:pPr>
              <w:ind w:left="20"/>
              <w:spacing w:after="0" w:line="202"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(6)</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36,360</w:t>
            </w:r>
          </w:p>
        </w:tc>
        <w:tc>
          <w:tcPr>
            <w:tcW w:w="440" w:type="dxa"/>
            <w:vAlign w:val="bottom"/>
            <w:gridSpan w:val="2"/>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41,166</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85,634</w:t>
            </w:r>
          </w:p>
        </w:tc>
        <w:tc>
          <w:tcPr>
            <w:tcW w:w="400" w:type="dxa"/>
            <w:vAlign w:val="bottom"/>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78,192</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8,948</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(82,232)</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20,616</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(135,795)</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130,039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4,285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12,107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11,603</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24,457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3,249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3,290</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3,290</w:t>
            </w:r>
          </w:p>
        </w:tc>
      </w:tr>
      <w:tr>
        <w:trPr>
          <w:trHeight w:val="201"/>
        </w:trPr>
        <w:tc>
          <w:tcPr>
            <w:tcW w:w="6180" w:type="dxa"/>
            <w:vAlign w:val="bottom"/>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2,570</w:t>
            </w:r>
          </w:p>
        </w:tc>
      </w:tr>
      <w:tr>
        <w:trPr>
          <w:trHeight w:val="203"/>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 (loss)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14,878</w:t>
            </w:r>
          </w:p>
        </w:tc>
        <w:tc>
          <w:tcPr>
            <w:tcW w:w="440" w:type="dxa"/>
            <w:vAlign w:val="bottom"/>
            <w:gridSpan w:val="2"/>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62,507</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35,509</w:t>
            </w:r>
          </w:p>
        </w:tc>
        <w:tc>
          <w:tcPr>
            <w:tcW w:w="400" w:type="dxa"/>
            <w:vAlign w:val="bottom"/>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41,485</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6,248</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(81,487)</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18,147</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(132,393)</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130,039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4,285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12,107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11,603</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24,457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3,249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3,290</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3,290</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2,570</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8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151</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32</w:t>
            </w:r>
          </w:p>
        </w:tc>
        <w:tc>
          <w:tcPr>
            <w:tcW w:w="400" w:type="dxa"/>
            <w:vAlign w:val="bottom"/>
            <w:tcBorders>
              <w:bottom w:val="single" w:sz="8" w:color="B6B6B6"/>
            </w:tcBorders>
          </w:tcPr>
          <w:p>
            <w:pPr>
              <w:spacing w:after="0"/>
              <w:rPr>
                <w:sz w:val="17"/>
                <w:szCs w:val="17"/>
                <w:color w:val="auto"/>
              </w:rPr>
            </w:pPr>
          </w:p>
        </w:tc>
        <w:tc>
          <w:tcPr>
            <w:tcW w:w="8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188</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(loss) before income taxes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12,194</w:t>
            </w:r>
          </w:p>
        </w:tc>
        <w:tc>
          <w:tcPr>
            <w:tcW w:w="440" w:type="dxa"/>
            <w:vAlign w:val="bottom"/>
            <w:gridSpan w:val="2"/>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63,403</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33,072</w:t>
            </w:r>
          </w:p>
        </w:tc>
        <w:tc>
          <w:tcPr>
            <w:tcW w:w="400" w:type="dxa"/>
            <w:vAlign w:val="bottom"/>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45,075</w:t>
            </w:r>
          </w:p>
        </w:tc>
      </w:tr>
      <w:tr>
        <w:trPr>
          <w:trHeight w:val="25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1,980</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(642)</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(7,494)</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18,452</w:t>
            </w:r>
          </w:p>
        </w:tc>
      </w:tr>
      <w:tr>
        <w:trPr>
          <w:trHeight w:val="205"/>
        </w:trPr>
        <w:tc>
          <w:tcPr>
            <w:tcW w:w="618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866</w:t>
            </w:r>
          </w:p>
        </w:tc>
        <w:tc>
          <w:tcPr>
            <w:tcW w:w="8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8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13,799</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4,681</w:t>
            </w:r>
          </w:p>
        </w:tc>
        <w:tc>
          <w:tcPr>
            <w:tcW w:w="400" w:type="dxa"/>
            <w:vAlign w:val="bottom"/>
            <w:tcBorders>
              <w:bottom w:val="single" w:sz="8" w:color="B6B6B6"/>
            </w:tcBorders>
          </w:tcPr>
          <w:p>
            <w:pPr>
              <w:spacing w:after="0"/>
              <w:rPr>
                <w:sz w:val="17"/>
                <w:szCs w:val="17"/>
                <w:color w:val="auto"/>
              </w:rPr>
            </w:pPr>
          </w:p>
        </w:tc>
        <w:tc>
          <w:tcPr>
            <w:tcW w:w="8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(10,528)</w:t>
            </w:r>
          </w:p>
        </w:tc>
      </w:tr>
      <w:tr>
        <w:trPr>
          <w:trHeight w:val="192"/>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 (benefit)</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2,846</w:t>
            </w:r>
          </w:p>
        </w:tc>
        <w:tc>
          <w:tcPr>
            <w:tcW w:w="80" w:type="dxa"/>
            <w:vAlign w:val="bottom"/>
            <w:tcBorders>
              <w:bottom w:val="single" w:sz="8" w:color="B6B6B6"/>
            </w:tcBorders>
            <w:shd w:val="clear" w:color="auto" w:fill="E3E1E9"/>
          </w:tcPr>
          <w:p>
            <w:pPr>
              <w:spacing w:after="0"/>
              <w:rPr>
                <w:sz w:val="16"/>
                <w:szCs w:val="16"/>
                <w:color w:val="auto"/>
              </w:rPr>
            </w:pPr>
          </w:p>
        </w:tc>
        <w:tc>
          <w:tcPr>
            <w:tcW w:w="360" w:type="dxa"/>
            <w:vAlign w:val="bottom"/>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13,157</w:t>
            </w:r>
          </w:p>
        </w:tc>
        <w:tc>
          <w:tcPr>
            <w:tcW w:w="80" w:type="dxa"/>
            <w:vAlign w:val="bottom"/>
            <w:shd w:val="clear" w:color="auto" w:fill="E3E1E9"/>
          </w:tcPr>
          <w:p>
            <w:pPr>
              <w:spacing w:after="0"/>
              <w:rPr>
                <w:sz w:val="16"/>
                <w:szCs w:val="16"/>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(2,813)</w:t>
            </w:r>
          </w:p>
        </w:tc>
        <w:tc>
          <w:tcPr>
            <w:tcW w:w="400" w:type="dxa"/>
            <w:vAlign w:val="bottom"/>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7,924</w:t>
            </w:r>
          </w:p>
        </w:tc>
      </w:tr>
      <w:tr>
        <w:trPr>
          <w:trHeight w:val="239"/>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4,268</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(80,845)</w:t>
            </w:r>
          </w:p>
        </w:tc>
        <w:tc>
          <w:tcPr>
            <w:tcW w:w="8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25,641</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(150,845)</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130,039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4,285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12,107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11,603</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24,457</w:t>
            </w:r>
          </w:p>
        </w:tc>
      </w:tr>
      <w:tr>
        <w:trPr>
          <w:trHeight w:val="202"/>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3,249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3,290</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3,290</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2,570</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4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188</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(866)</w:t>
            </w:r>
          </w:p>
        </w:tc>
        <w:tc>
          <w:tcPr>
            <w:tcW w:w="8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8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(13,799)</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(4,681)</w:t>
            </w:r>
          </w:p>
        </w:tc>
        <w:tc>
          <w:tcPr>
            <w:tcW w:w="400" w:type="dxa"/>
            <w:vAlign w:val="bottom"/>
            <w:tcBorders>
              <w:bottom w:val="single" w:sz="8" w:color="B6B6B6"/>
            </w:tcBorders>
          </w:tcPr>
          <w:p>
            <w:pPr>
              <w:spacing w:after="0"/>
              <w:rPr>
                <w:sz w:val="17"/>
                <w:szCs w:val="17"/>
                <w:color w:val="auto"/>
              </w:rPr>
            </w:pPr>
          </w:p>
        </w:tc>
        <w:tc>
          <w:tcPr>
            <w:tcW w:w="8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10,528</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9,348</w:t>
            </w:r>
          </w:p>
        </w:tc>
        <w:tc>
          <w:tcPr>
            <w:tcW w:w="440" w:type="dxa"/>
            <w:vAlign w:val="bottom"/>
            <w:gridSpan w:val="2"/>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50,246</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35,885</w:t>
            </w:r>
          </w:p>
        </w:tc>
        <w:tc>
          <w:tcPr>
            <w:tcW w:w="400" w:type="dxa"/>
            <w:vAlign w:val="bottom"/>
            <w:shd w:val="clear" w:color="auto" w:fill="E3E1E9"/>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37,151</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8" w:firstLine="8"/>
        <w:spacing w:after="0" w:line="259" w:lineRule="auto"/>
        <w:tabs>
          <w:tab w:leader="none" w:pos="88"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32"/>
          </w:cols>
          <w:pgMar w:left="328" w:top="141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503C64"/>
              </w:rPr>
              <w:t>Three Months Ended</w:t>
            </w:r>
          </w:p>
        </w:tc>
        <w:tc>
          <w:tcPr>
            <w:tcW w:w="180" w:type="dxa"/>
            <w:vAlign w:val="bottom"/>
          </w:tcPr>
          <w:p>
            <w:pPr>
              <w:spacing w:after="0"/>
              <w:rPr>
                <w:sz w:val="16"/>
                <w:szCs w:val="16"/>
                <w:color w:val="auto"/>
              </w:rPr>
            </w:pPr>
          </w:p>
        </w:tc>
        <w:tc>
          <w:tcPr>
            <w:tcW w:w="2400" w:type="dxa"/>
            <w:vAlign w:val="bottom"/>
            <w:gridSpan w:val="3"/>
          </w:tcPr>
          <w:p>
            <w:pPr>
              <w:jc w:val="right"/>
              <w:ind w:right="528"/>
              <w:spacing w:after="0"/>
              <w:rPr>
                <w:sz w:val="20"/>
                <w:szCs w:val="20"/>
                <w:color w:val="auto"/>
              </w:rPr>
            </w:pPr>
            <w:r>
              <w:rPr>
                <w:rFonts w:ascii="Arial" w:cs="Arial" w:eastAsia="Arial" w:hAnsi="Arial"/>
                <w:sz w:val="16"/>
                <w:szCs w:val="16"/>
                <w:b w:val="1"/>
                <w:bCs w:val="1"/>
                <w:color w:val="503C64"/>
              </w:rPr>
              <w:t>Six Months Ended</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503C64"/>
                <w:w w:val="99"/>
              </w:rPr>
              <w:t>June 30,</w:t>
            </w:r>
          </w:p>
        </w:tc>
        <w:tc>
          <w:tcPr>
            <w:tcW w:w="1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503C64"/>
              </w:rPr>
              <w:t>June 30,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78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427"/>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B6B6B6"/>
            </w:tcBorders>
          </w:tcPr>
          <w:p>
            <w:pPr>
              <w:spacing w:after="0"/>
              <w:rPr>
                <w:sz w:val="16"/>
                <w:szCs w:val="16"/>
                <w:color w:val="auto"/>
              </w:rPr>
            </w:pPr>
          </w:p>
        </w:tc>
        <w:tc>
          <w:tcPr>
            <w:tcW w:w="18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ind w:right="427"/>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w:t>
            </w:r>
          </w:p>
        </w:tc>
        <w:tc>
          <w:tcPr>
            <w:tcW w:w="2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9,348</w:t>
            </w:r>
          </w:p>
        </w:tc>
        <w:tc>
          <w:tcPr>
            <w:tcW w:w="22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50,246</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35,885</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37,151</w:t>
            </w:r>
          </w:p>
        </w:tc>
        <w:tc>
          <w:tcPr>
            <w:tcW w:w="0" w:type="dxa"/>
            <w:vAlign w:val="bottom"/>
          </w:tcPr>
          <w:p>
            <w:pPr>
              <w:spacing w:after="0"/>
              <w:rPr>
                <w:sz w:val="1"/>
                <w:szCs w:val="1"/>
                <w:color w:val="auto"/>
              </w:rPr>
            </w:pPr>
          </w:p>
        </w:tc>
      </w:tr>
      <w:tr>
        <w:trPr>
          <w:trHeight w:val="194"/>
        </w:trPr>
        <w:tc>
          <w:tcPr>
            <w:tcW w:w="5780" w:type="dxa"/>
            <w:vAlign w:val="bottom"/>
          </w:tcPr>
          <w:p>
            <w:pPr>
              <w:ind w:left="20"/>
              <w:spacing w:after="0"/>
              <w:rPr>
                <w:sz w:val="20"/>
                <w:szCs w:val="20"/>
                <w:color w:val="auto"/>
              </w:rPr>
            </w:pPr>
            <w:r>
              <w:rPr>
                <w:rFonts w:ascii="Arial" w:cs="Arial" w:eastAsia="Arial" w:hAnsi="Arial"/>
                <w:sz w:val="14"/>
                <w:szCs w:val="14"/>
                <w:color w:val="auto"/>
              </w:rPr>
              <w:t>Less: Adjusted income tax expense (benefit)</w:t>
            </w:r>
          </w:p>
        </w:tc>
        <w:tc>
          <w:tcPr>
            <w:tcW w:w="200" w:type="dxa"/>
            <w:vAlign w:val="bottom"/>
          </w:tcPr>
          <w:p>
            <w:pPr>
              <w:spacing w:after="0"/>
              <w:rPr>
                <w:sz w:val="16"/>
                <w:szCs w:val="16"/>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(2,846)</w:t>
            </w:r>
          </w:p>
        </w:tc>
        <w:tc>
          <w:tcPr>
            <w:tcW w:w="22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(13,157)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47"/>
              <w:spacing w:after="0"/>
              <w:rPr>
                <w:sz w:val="20"/>
                <w:szCs w:val="20"/>
                <w:color w:val="auto"/>
              </w:rPr>
            </w:pPr>
            <w:r>
              <w:rPr>
                <w:rFonts w:ascii="Arial" w:cs="Arial" w:eastAsia="Arial" w:hAnsi="Arial"/>
                <w:sz w:val="14"/>
                <w:szCs w:val="14"/>
                <w:color w:val="auto"/>
              </w:rPr>
              <w:t>2,813</w:t>
            </w:r>
          </w:p>
        </w:tc>
        <w:tc>
          <w:tcPr>
            <w:tcW w:w="3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(7,924)</w:t>
            </w:r>
          </w:p>
        </w:tc>
        <w:tc>
          <w:tcPr>
            <w:tcW w:w="0" w:type="dxa"/>
            <w:vAlign w:val="bottom"/>
          </w:tcPr>
          <w:p>
            <w:pPr>
              <w:spacing w:after="0"/>
              <w:rPr>
                <w:sz w:val="1"/>
                <w:szCs w:val="1"/>
                <w:color w:val="auto"/>
              </w:rPr>
            </w:pPr>
          </w:p>
        </w:tc>
      </w:tr>
      <w:tr>
        <w:trPr>
          <w:trHeight w:val="211"/>
        </w:trPr>
        <w:tc>
          <w:tcPr>
            <w:tcW w:w="57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Add: If-converted income tax expense (benefit)</w:t>
            </w:r>
            <w:r>
              <w:rPr>
                <w:rFonts w:ascii="Arial" w:cs="Arial" w:eastAsia="Arial" w:hAnsi="Arial"/>
                <w:sz w:val="18"/>
                <w:szCs w:val="18"/>
                <w:color w:val="auto"/>
                <w:vertAlign w:val="superscript"/>
              </w:rPr>
              <w:t>(9)</w:t>
            </w:r>
          </w:p>
        </w:tc>
        <w:tc>
          <w:tcPr>
            <w:tcW w:w="20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3,434</w:t>
            </w:r>
          </w:p>
        </w:tc>
        <w:tc>
          <w:tcPr>
            <w:tcW w:w="22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20,499</w:t>
            </w:r>
          </w:p>
        </w:tc>
        <w:tc>
          <w:tcPr>
            <w:tcW w:w="80" w:type="dxa"/>
            <w:vAlign w:val="bottom"/>
            <w:tcBorders>
              <w:bottom w:val="single" w:sz="8" w:color="B6B6B6"/>
            </w:tcBorders>
          </w:tcPr>
          <w:p>
            <w:pPr>
              <w:spacing w:after="0"/>
              <w:rPr>
                <w:sz w:val="18"/>
                <w:szCs w:val="18"/>
                <w:color w:val="auto"/>
              </w:rPr>
            </w:pPr>
          </w:p>
        </w:tc>
        <w:tc>
          <w:tcPr>
            <w:tcW w:w="18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jc w:val="right"/>
              <w:ind w:right="107"/>
              <w:spacing w:after="0"/>
              <w:rPr>
                <w:sz w:val="20"/>
                <w:szCs w:val="20"/>
                <w:color w:val="auto"/>
              </w:rPr>
            </w:pPr>
            <w:r>
              <w:rPr>
                <w:rFonts w:ascii="Arial" w:cs="Arial" w:eastAsia="Arial" w:hAnsi="Arial"/>
                <w:sz w:val="14"/>
                <w:szCs w:val="14"/>
                <w:color w:val="auto"/>
              </w:rPr>
              <w:t>(4,948)</w:t>
            </w:r>
          </w:p>
        </w:tc>
        <w:tc>
          <w:tcPr>
            <w:tcW w:w="360" w:type="dxa"/>
            <w:vAlign w:val="bottom"/>
            <w:tcBorders>
              <w:bottom w:val="single" w:sz="8" w:color="B6B6B6"/>
            </w:tcBorders>
          </w:tcPr>
          <w:p>
            <w:pPr>
              <w:spacing w:after="0"/>
              <w:rPr>
                <w:sz w:val="18"/>
                <w:szCs w:val="18"/>
                <w:color w:val="auto"/>
              </w:rPr>
            </w:pPr>
          </w:p>
        </w:tc>
        <w:tc>
          <w:tcPr>
            <w:tcW w:w="9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11,620</w:t>
            </w:r>
          </w:p>
        </w:tc>
        <w:tc>
          <w:tcPr>
            <w:tcW w:w="0" w:type="dxa"/>
            <w:vAlign w:val="bottom"/>
          </w:tcPr>
          <w:p>
            <w:pPr>
              <w:spacing w:after="0"/>
              <w:rPr>
                <w:sz w:val="1"/>
                <w:szCs w:val="1"/>
                <w:color w:val="auto"/>
              </w:rPr>
            </w:pPr>
          </w:p>
        </w:tc>
      </w:tr>
      <w:tr>
        <w:trPr>
          <w:trHeight w:val="196"/>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 (loss)</w:t>
            </w:r>
          </w:p>
        </w:tc>
        <w:tc>
          <w:tcPr>
            <w:tcW w:w="2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8,760</w:t>
            </w:r>
          </w:p>
        </w:tc>
        <w:tc>
          <w:tcPr>
            <w:tcW w:w="22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42,904</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38,020</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33,455</w:t>
            </w:r>
          </w:p>
        </w:tc>
        <w:tc>
          <w:tcPr>
            <w:tcW w:w="0" w:type="dxa"/>
            <w:vAlign w:val="bottom"/>
          </w:tcPr>
          <w:p>
            <w:pPr>
              <w:spacing w:after="0"/>
              <w:rPr>
                <w:sz w:val="1"/>
                <w:szCs w:val="1"/>
                <w:color w:val="auto"/>
              </w:rPr>
            </w:pPr>
          </w:p>
        </w:tc>
      </w:tr>
      <w:tr>
        <w:trPr>
          <w:trHeight w:val="357"/>
        </w:trPr>
        <w:tc>
          <w:tcPr>
            <w:tcW w:w="578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outstanding—GAAP</w:t>
            </w:r>
          </w:p>
        </w:tc>
        <w:tc>
          <w:tcPr>
            <w:tcW w:w="200" w:type="dxa"/>
            <w:vAlign w:val="bottom"/>
          </w:tcPr>
          <w:p>
            <w:pPr>
              <w:spacing w:after="0"/>
              <w:rPr>
                <w:sz w:val="24"/>
                <w:szCs w:val="24"/>
                <w:color w:val="auto"/>
              </w:rPr>
            </w:pPr>
          </w:p>
        </w:tc>
        <w:tc>
          <w:tcPr>
            <w:tcW w:w="1080" w:type="dxa"/>
            <w:vAlign w:val="bottom"/>
          </w:tcPr>
          <w:p>
            <w:pPr>
              <w:jc w:val="right"/>
              <w:ind w:right="167"/>
              <w:spacing w:after="0"/>
              <w:rPr>
                <w:sz w:val="20"/>
                <w:szCs w:val="20"/>
                <w:color w:val="auto"/>
              </w:rPr>
            </w:pPr>
            <w:r>
              <w:rPr>
                <w:rFonts w:ascii="Arial" w:cs="Arial" w:eastAsia="Arial" w:hAnsi="Arial"/>
                <w:sz w:val="14"/>
                <w:szCs w:val="14"/>
                <w:color w:val="auto"/>
              </w:rPr>
              <w:t>98,831,307</w:t>
            </w:r>
          </w:p>
        </w:tc>
        <w:tc>
          <w:tcPr>
            <w:tcW w:w="22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54,589,542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Arial" w:cs="Arial" w:eastAsia="Arial" w:hAnsi="Arial"/>
                <w:sz w:val="14"/>
                <w:szCs w:val="14"/>
                <w:color w:val="auto"/>
              </w:rPr>
              <w:t>74,555,206</w:t>
            </w:r>
          </w:p>
        </w:tc>
        <w:tc>
          <w:tcPr>
            <w:tcW w:w="36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51,894,913</w:t>
            </w:r>
          </w:p>
        </w:tc>
        <w:tc>
          <w:tcPr>
            <w:tcW w:w="0" w:type="dxa"/>
            <w:vAlign w:val="bottom"/>
          </w:tcPr>
          <w:p>
            <w:pPr>
              <w:spacing w:after="0"/>
              <w:rPr>
                <w:sz w:val="1"/>
                <w:szCs w:val="1"/>
                <w:color w:val="auto"/>
              </w:rPr>
            </w:pPr>
          </w:p>
        </w:tc>
      </w:tr>
      <w:tr>
        <w:trPr>
          <w:trHeight w:val="158"/>
        </w:trPr>
        <w:tc>
          <w:tcPr>
            <w:tcW w:w="5780" w:type="dxa"/>
            <w:vAlign w:val="bottom"/>
          </w:tcPr>
          <w:p>
            <w:pPr>
              <w:ind w:left="20"/>
              <w:spacing w:after="0" w:line="159" w:lineRule="exact"/>
              <w:rPr>
                <w:sz w:val="20"/>
                <w:szCs w:val="20"/>
                <w:color w:val="auto"/>
              </w:rPr>
            </w:pPr>
            <w:r>
              <w:rPr>
                <w:rFonts w:ascii="Arial" w:cs="Arial" w:eastAsia="Arial" w:hAnsi="Arial"/>
                <w:sz w:val="14"/>
                <w:szCs w:val="14"/>
                <w:color w:val="auto"/>
              </w:rPr>
              <w:t>Weighted average number of incremental shares from assumed vesting of RSUs and</w:t>
            </w:r>
          </w:p>
        </w:tc>
        <w:tc>
          <w:tcPr>
            <w:tcW w:w="200" w:type="dxa"/>
            <w:vAlign w:val="bottom"/>
          </w:tcPr>
          <w:p>
            <w:pPr>
              <w:spacing w:after="0"/>
              <w:rPr>
                <w:sz w:val="13"/>
                <w:szCs w:val="13"/>
                <w:color w:val="auto"/>
              </w:rPr>
            </w:pPr>
          </w:p>
        </w:tc>
        <w:tc>
          <w:tcPr>
            <w:tcW w:w="1080" w:type="dxa"/>
            <w:vAlign w:val="bottom"/>
            <w:vMerge w:val="restart"/>
          </w:tcPr>
          <w:p>
            <w:pPr>
              <w:jc w:val="right"/>
              <w:ind w:right="16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9,133,806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ind w:right="147"/>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color w:val="auto"/>
              </w:rPr>
              <w:t>7,205,942</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23"/>
                <w:szCs w:val="23"/>
                <w:color w:val="auto"/>
                <w:vertAlign w:val="subscript"/>
              </w:rPr>
              <w:t>PSUs</w:t>
            </w:r>
            <w:r>
              <w:rPr>
                <w:rFonts w:ascii="Arial" w:cs="Arial" w:eastAsia="Arial" w:hAnsi="Arial"/>
                <w:sz w:val="8"/>
                <w:szCs w:val="8"/>
                <w:color w:val="auto"/>
              </w:rPr>
              <w:t>(10)</w:t>
            </w:r>
          </w:p>
        </w:tc>
        <w:tc>
          <w:tcPr>
            <w:tcW w:w="2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Weighted average number of incremental shares from if-converted PWP OpCo units</w:t>
            </w:r>
            <w:r>
              <w:rPr>
                <w:rFonts w:ascii="Arial" w:cs="Arial" w:eastAsia="Arial" w:hAnsi="Arial"/>
                <w:sz w:val="18"/>
                <w:szCs w:val="18"/>
                <w:color w:val="auto"/>
                <w:vertAlign w:val="superscript"/>
              </w:rPr>
              <w:t>(11)</w:t>
            </w:r>
          </w:p>
        </w:tc>
        <w:tc>
          <w:tcPr>
            <w:tcW w:w="20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36,332,846</w:t>
            </w:r>
          </w:p>
        </w:tc>
        <w:tc>
          <w:tcPr>
            <w:tcW w:w="80" w:type="dxa"/>
            <w:vAlign w:val="bottom"/>
            <w:tcBorders>
              <w:bottom w:val="single" w:sz="8" w:color="B6B6B6"/>
            </w:tcBorders>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47"/>
              <w:spacing w:after="0"/>
              <w:rPr>
                <w:sz w:val="20"/>
                <w:szCs w:val="20"/>
                <w:color w:val="auto"/>
              </w:rPr>
            </w:pPr>
            <w:r>
              <w:rPr>
                <w:rFonts w:ascii="Arial" w:cs="Arial" w:eastAsia="Arial" w:hAnsi="Arial"/>
                <w:sz w:val="14"/>
                <w:szCs w:val="14"/>
                <w:color w:val="auto"/>
              </w:rPr>
              <w:t>26,305,163</w:t>
            </w:r>
          </w:p>
        </w:tc>
        <w:tc>
          <w:tcPr>
            <w:tcW w:w="36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38,825,961</w:t>
            </w:r>
          </w:p>
        </w:tc>
        <w:tc>
          <w:tcPr>
            <w:tcW w:w="0" w:type="dxa"/>
            <w:vAlign w:val="bottom"/>
          </w:tcPr>
          <w:p>
            <w:pPr>
              <w:spacing w:after="0"/>
              <w:rPr>
                <w:sz w:val="1"/>
                <w:szCs w:val="1"/>
                <w:color w:val="auto"/>
              </w:rPr>
            </w:pPr>
          </w:p>
        </w:tc>
      </w:tr>
      <w:tr>
        <w:trPr>
          <w:trHeight w:val="196"/>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200" w:type="dxa"/>
            <w:vAlign w:val="bottom"/>
            <w:shd w:val="clear" w:color="auto" w:fill="E3E1E9"/>
          </w:tcPr>
          <w:p>
            <w:pPr>
              <w:spacing w:after="0"/>
              <w:rPr>
                <w:sz w:val="17"/>
                <w:szCs w:val="17"/>
                <w:color w:val="auto"/>
              </w:rPr>
            </w:pP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98,831,307</w:t>
            </w:r>
          </w:p>
        </w:tc>
        <w:tc>
          <w:tcPr>
            <w:tcW w:w="220" w:type="dxa"/>
            <w:vAlign w:val="bottom"/>
            <w:shd w:val="clear" w:color="auto" w:fill="E3E1E9"/>
          </w:tcPr>
          <w:p>
            <w:pPr>
              <w:spacing w:after="0"/>
              <w:rPr>
                <w:sz w:val="17"/>
                <w:szCs w:val="17"/>
                <w:color w:val="auto"/>
              </w:rPr>
            </w:pP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100,056,194</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spacing w:after="0"/>
              <w:rPr>
                <w:sz w:val="17"/>
                <w:szCs w:val="17"/>
                <w:color w:val="auto"/>
              </w:rPr>
            </w:pP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100,860,369</w:t>
            </w:r>
          </w:p>
        </w:tc>
        <w:tc>
          <w:tcPr>
            <w:tcW w:w="360" w:type="dxa"/>
            <w:vAlign w:val="bottom"/>
            <w:shd w:val="clear" w:color="auto" w:fill="E3E1E9"/>
          </w:tcPr>
          <w:p>
            <w:pPr>
              <w:spacing w:after="0"/>
              <w:rPr>
                <w:sz w:val="17"/>
                <w:szCs w:val="17"/>
                <w:color w:val="auto"/>
              </w:rPr>
            </w:pPr>
          </w:p>
        </w:tc>
        <w:tc>
          <w:tcPr>
            <w:tcW w:w="9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97,926,816</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per Class A share—diluted, if-converted</w:t>
            </w:r>
          </w:p>
        </w:tc>
        <w:tc>
          <w:tcPr>
            <w:tcW w:w="2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0.09</w:t>
            </w:r>
          </w:p>
        </w:tc>
        <w:tc>
          <w:tcPr>
            <w:tcW w:w="22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0.43</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0.38</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369"/>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(12)</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78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5.8 %</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5.6 %</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Adjusted operating income margin</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23.0 %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9.7 %</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GAAP compensation ratio</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70 %</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202"/>
        </w:trPr>
        <w:tc>
          <w:tcPr>
            <w:tcW w:w="5780" w:type="dxa"/>
            <w:vAlign w:val="bottom"/>
          </w:tcPr>
          <w:p>
            <w:pPr>
              <w:ind w:left="20"/>
              <w:spacing w:after="0"/>
              <w:rPr>
                <w:sz w:val="20"/>
                <w:szCs w:val="20"/>
                <w:color w:val="auto"/>
              </w:rPr>
            </w:pPr>
            <w:r>
              <w:rPr>
                <w:rFonts w:ascii="Arial" w:cs="Arial" w:eastAsia="Arial" w:hAnsi="Arial"/>
                <w:sz w:val="14"/>
                <w:szCs w:val="14"/>
                <w:color w:val="auto"/>
              </w:rPr>
              <w:t>Adjusted compensation ratio</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67 %</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GAAP effective tax rate</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Adjusted if-converted effective tax rate</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GAAP Reconciliation of Adjusted Results:</w:t>
      </w:r>
    </w:p>
    <w:p>
      <w:pPr>
        <w:spacing w:after="0" w:line="285" w:lineRule="exact"/>
        <w:rPr>
          <w:sz w:val="20"/>
          <w:szCs w:val="20"/>
          <w:color w:val="auto"/>
        </w:rPr>
      </w:pPr>
    </w:p>
    <w:p>
      <w:pPr>
        <w:jc w:val="both"/>
        <w:ind w:left="500" w:hanging="492"/>
        <w:spacing w:after="0" w:line="320"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OpCo includes the amortization of awards granted by PWP Professional Partners LP (the “Professional Partners Awards”), which were subject to the Vesting Acceleration in the second quarter of 2024. The vesting of these awards did not economically dilute PWP shareholders’ interests relative to the interests of other investors in PWP OpCo.</w:t>
      </w:r>
    </w:p>
    <w:p>
      <w:pPr>
        <w:spacing w:after="0" w:line="109" w:lineRule="exact"/>
        <w:rPr>
          <w:rFonts w:ascii="Arial" w:cs="Arial" w:eastAsia="Arial" w:hAnsi="Arial"/>
          <w:sz w:val="20"/>
          <w:szCs w:val="20"/>
          <w:color w:val="auto"/>
        </w:rPr>
      </w:pPr>
    </w:p>
    <w:p>
      <w:pPr>
        <w:jc w:val="both"/>
        <w:ind w:left="500" w:hanging="492"/>
        <w:spacing w:after="0" w:line="318"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and performance restricted stock units (“PSUs”), which are directly related to milestone events that were part of the business combination that closed on June 24, 2021 (the “Business Combination”), as well as employment taxes for these RSUs and PSUs. These expenses were outside of PWP’s normal and recurring bonus and compensation processes.</w:t>
      </w:r>
    </w:p>
    <w:p>
      <w:pPr>
        <w:spacing w:after="0" w:line="200" w:lineRule="exact"/>
        <w:rPr>
          <w:sz w:val="20"/>
          <w:szCs w:val="20"/>
          <w:color w:val="auto"/>
        </w:rPr>
      </w:pPr>
    </w:p>
    <w:p>
      <w:pPr>
        <w:spacing w:after="0" w:line="314" w:lineRule="exact"/>
        <w:rPr>
          <w:sz w:val="20"/>
          <w:szCs w:val="20"/>
          <w:color w:val="auto"/>
        </w:rPr>
      </w:pPr>
    </w:p>
    <w:p>
      <w:pPr>
        <w:jc w:val="both"/>
        <w:ind w:firstLine="8"/>
        <w:spacing w:after="0" w:line="259" w:lineRule="auto"/>
        <w:tabs>
          <w:tab w:leader="none" w:pos="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2" w:right="339" w:bottom="1440" w:gutter="0" w:footer="0" w:header="0"/>
        </w:sectPr>
      </w:pPr>
    </w:p>
    <w:bookmarkStart w:id="14" w:name="page15"/>
    <w:bookmarkEnd w:id="14"/>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jc w:val="both"/>
        <w:ind w:left="500" w:hanging="492"/>
        <w:spacing w:after="0" w:line="316" w:lineRule="auto"/>
        <w:tabs>
          <w:tab w:leader="none" w:pos="4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resulted in headcount reductions in order to improve compensation alignment and to provide greater flexibility to advance strategic opportunities. Costs were incurred through the first quarter of 2024 and included separation and transition benefits and the accelerated amortization (net of forfeitures) of certain equity-based awards, including certain Professional Partners Awards and transaction-related RSUs and PSUs, which would have been adjusted through adjustments (1) and (2) above notwithstanding the business realignment.</w:t>
      </w:r>
    </w:p>
    <w:p>
      <w:pPr>
        <w:spacing w:after="0" w:line="113" w:lineRule="exact"/>
        <w:rPr>
          <w:rFonts w:ascii="Arial" w:cs="Arial" w:eastAsia="Arial" w:hAnsi="Arial"/>
          <w:sz w:val="20"/>
          <w:szCs w:val="20"/>
          <w:color w:val="auto"/>
        </w:rPr>
      </w:pPr>
    </w:p>
    <w:p>
      <w:pPr>
        <w:jc w:val="both"/>
        <w:ind w:left="500" w:right="100" w:hanging="492"/>
        <w:spacing w:after="0" w:line="326" w:lineRule="auto"/>
        <w:tabs>
          <w:tab w:leader="none" w:pos="4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88"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Business Combination, including (i) equity-based vesting for transaction-related RSUs issued to non-employees and (ii) costs incurred related to the partnership restructuring that was contemplated during the implementation of the up-C structure at the time of the Business Combination.</w:t>
      </w:r>
    </w:p>
    <w:p>
      <w:pPr>
        <w:spacing w:after="0" w:line="102" w:lineRule="exact"/>
        <w:rPr>
          <w:rFonts w:ascii="Arial" w:cs="Arial" w:eastAsia="Arial" w:hAnsi="Arial"/>
          <w:sz w:val="20"/>
          <w:szCs w:val="20"/>
          <w:color w:val="auto"/>
        </w:rPr>
      </w:pPr>
    </w:p>
    <w:p>
      <w:pPr>
        <w:ind w:left="500" w:hanging="492"/>
        <w:spacing w:after="0" w:line="342" w:lineRule="auto"/>
        <w:tabs>
          <w:tab w:leader="none" w:pos="4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87" w:lineRule="exact"/>
        <w:rPr>
          <w:rFonts w:ascii="Arial" w:cs="Arial" w:eastAsia="Arial" w:hAnsi="Arial"/>
          <w:sz w:val="20"/>
          <w:szCs w:val="20"/>
          <w:color w:val="auto"/>
        </w:rPr>
      </w:pPr>
    </w:p>
    <w:p>
      <w:pPr>
        <w:ind w:left="500" w:right="20" w:hanging="492"/>
        <w:spacing w:after="0" w:line="342" w:lineRule="auto"/>
        <w:tabs>
          <w:tab w:leader="none" w:pos="4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Includes the amortization of debt discounts and issuance costs for all periods presented and minimal charges related to the Vesting Acceleration for the three and six months ended June 2024.</w:t>
      </w:r>
    </w:p>
    <w:p>
      <w:pPr>
        <w:spacing w:after="0" w:line="73" w:lineRule="exact"/>
        <w:rPr>
          <w:rFonts w:ascii="Arial" w:cs="Arial" w:eastAsia="Arial" w:hAnsi="Arial"/>
          <w:sz w:val="20"/>
          <w:szCs w:val="20"/>
          <w:color w:val="auto"/>
        </w:rPr>
      </w:pPr>
    </w:p>
    <w:p>
      <w:pPr>
        <w:jc w:val="both"/>
        <w:ind w:left="500" w:right="120" w:hanging="492"/>
        <w:spacing w:after="0" w:line="320" w:lineRule="auto"/>
        <w:tabs>
          <w:tab w:leader="none" w:pos="4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adjusted income tax expense (benefit) represents the Company’s calculated tax expense (benefit) on adjusted non-GAAP results. It excludes the impact on income taxes of certain transaction-related items and other items not reflected in our adjusted non-GAAP results. It does not represent the cash that the Company expects to pay for taxes in the current periods.</w:t>
      </w:r>
    </w:p>
    <w:p>
      <w:pPr>
        <w:spacing w:after="0" w:line="109" w:lineRule="exact"/>
        <w:rPr>
          <w:rFonts w:ascii="Arial" w:cs="Arial" w:eastAsia="Arial" w:hAnsi="Arial"/>
          <w:sz w:val="20"/>
          <w:szCs w:val="20"/>
          <w:color w:val="auto"/>
        </w:rPr>
      </w:pPr>
    </w:p>
    <w:p>
      <w:pPr>
        <w:jc w:val="both"/>
        <w:ind w:left="500" w:hanging="492"/>
        <w:spacing w:after="0" w:line="326" w:lineRule="auto"/>
        <w:tabs>
          <w:tab w:leader="none" w:pos="4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if-converted income tax expense (benefit) represents the Company's calculated tax expense (benefit) on adjusted non-GAAP results assuming the exchange of all PWP OpCo units for PWP Class A common stock, resulting in all of the Company’s results for the period being subject to corporate-level tax.</w:t>
      </w:r>
    </w:p>
    <w:p>
      <w:pPr>
        <w:spacing w:after="0" w:line="102" w:lineRule="exact"/>
        <w:rPr>
          <w:rFonts w:ascii="Arial" w:cs="Arial" w:eastAsia="Arial" w:hAnsi="Arial"/>
          <w:sz w:val="20"/>
          <w:szCs w:val="20"/>
          <w:color w:val="auto"/>
        </w:rPr>
      </w:pPr>
    </w:p>
    <w:p>
      <w:pPr>
        <w:ind w:left="500" w:hanging="492"/>
        <w:spacing w:after="0"/>
        <w:tabs>
          <w:tab w:leader="none" w:pos="5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Represents the dilutive impact under the treasury stock method of unvested RSUs and PSUs.</w:t>
      </w:r>
    </w:p>
    <w:p>
      <w:pPr>
        <w:spacing w:after="0" w:line="202" w:lineRule="exact"/>
        <w:rPr>
          <w:rFonts w:ascii="Arial" w:cs="Arial" w:eastAsia="Arial" w:hAnsi="Arial"/>
          <w:sz w:val="20"/>
          <w:szCs w:val="20"/>
          <w:color w:val="auto"/>
        </w:rPr>
      </w:pPr>
    </w:p>
    <w:p>
      <w:pPr>
        <w:ind w:left="480" w:hanging="472"/>
        <w:spacing w:after="0"/>
        <w:tabs>
          <w:tab w:leader="none" w:pos="4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Represents the dilutive impact assuming the conversion of all PWP OpCo units to shares of Class A common stock.</w:t>
      </w:r>
    </w:p>
    <w:p>
      <w:pPr>
        <w:spacing w:after="0" w:line="215" w:lineRule="exact"/>
        <w:rPr>
          <w:rFonts w:ascii="Arial" w:cs="Arial" w:eastAsia="Arial" w:hAnsi="Arial"/>
          <w:sz w:val="20"/>
          <w:szCs w:val="20"/>
          <w:color w:val="auto"/>
        </w:rPr>
      </w:pPr>
    </w:p>
    <w:p>
      <w:pPr>
        <w:ind w:left="500" w:hanging="492"/>
        <w:spacing w:after="0"/>
        <w:tabs>
          <w:tab w:leader="none" w:pos="5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Reconciliations of key metrics from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8"/>
        <w:spacing w:after="0" w:line="259" w:lineRule="auto"/>
        <w:tabs>
          <w:tab w:leader="none" w:pos="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00" w:type="dxa"/>
            <w:vAlign w:val="bottom"/>
            <w:tcBorders>
              <w:bottom w:val="single" w:sz="8" w:color="B6B6B6"/>
            </w:tcBorders>
            <w:gridSpan w:val="4"/>
          </w:tcPr>
          <w:p>
            <w:pPr>
              <w:jc w:val="center"/>
              <w:ind w:left="188"/>
              <w:spacing w:after="0"/>
              <w:rPr>
                <w:sz w:val="20"/>
                <w:szCs w:val="20"/>
                <w:color w:val="auto"/>
              </w:rPr>
            </w:pPr>
            <w:r>
              <w:rPr>
                <w:rFonts w:ascii="Arial" w:cs="Arial" w:eastAsia="Arial" w:hAnsi="Arial"/>
                <w:sz w:val="14"/>
                <w:szCs w:val="14"/>
                <w:b w:val="1"/>
                <w:bCs w:val="1"/>
                <w:color w:val="503C64"/>
              </w:rPr>
              <w:t>Three Months Ended June 30, 2025</w:t>
            </w:r>
          </w:p>
        </w:tc>
        <w:tc>
          <w:tcPr>
            <w:tcW w:w="13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36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6,899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6,899</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9,237</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9,237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6,596</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6,596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5,329</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5,329</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4,892</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4,892</w:t>
            </w:r>
          </w:p>
        </w:tc>
      </w:tr>
      <w:tr>
        <w:trPr>
          <w:trHeight w:val="234"/>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20"/>
                <w:szCs w:val="20"/>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5,052</w:t>
            </w:r>
          </w:p>
        </w:tc>
        <w:tc>
          <w:tcPr>
            <w:tcW w:w="420" w:type="dxa"/>
            <w:vAlign w:val="bottom"/>
            <w:tcBorders>
              <w:bottom w:val="single" w:sz="8" w:color="B6B6B6"/>
            </w:tcBorders>
          </w:tcPr>
          <w:p>
            <w:pPr>
              <w:spacing w:after="0"/>
              <w:rPr>
                <w:sz w:val="20"/>
                <w:szCs w:val="20"/>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(1)</w:t>
            </w:r>
          </w:p>
        </w:tc>
        <w:tc>
          <w:tcPr>
            <w:tcW w:w="360" w:type="dxa"/>
            <w:vAlign w:val="bottom"/>
            <w:tcBorders>
              <w:bottom w:val="single" w:sz="8" w:color="B6B6B6"/>
            </w:tcBorders>
          </w:tcPr>
          <w:p>
            <w:pPr>
              <w:spacing w:after="0"/>
              <w:rPr>
                <w:sz w:val="20"/>
                <w:szCs w:val="20"/>
                <w:color w:val="auto"/>
              </w:rPr>
            </w:pP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3,407</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38,005</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(1,645)</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36,360</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00" w:type="dxa"/>
            <w:vAlign w:val="bottom"/>
            <w:tcBorders>
              <w:bottom w:val="single" w:sz="8" w:color="B6B6B6"/>
            </w:tcBorders>
            <w:gridSpan w:val="5"/>
          </w:tcPr>
          <w:p>
            <w:pPr>
              <w:jc w:val="right"/>
              <w:ind w:right="148"/>
              <w:spacing w:after="0"/>
              <w:rPr>
                <w:sz w:val="20"/>
                <w:szCs w:val="20"/>
                <w:color w:val="auto"/>
              </w:rPr>
            </w:pPr>
            <w:r>
              <w:rPr>
                <w:rFonts w:ascii="Arial" w:cs="Arial" w:eastAsia="Arial" w:hAnsi="Arial"/>
                <w:sz w:val="14"/>
                <w:szCs w:val="14"/>
                <w:b w:val="1"/>
                <w:bCs w:val="1"/>
                <w:color w:val="503C64"/>
              </w:rPr>
              <w:t>Three Months Ended June 30, 2024</w:t>
            </w:r>
          </w:p>
        </w:tc>
        <w:tc>
          <w:tcPr>
            <w:tcW w:w="13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360" w:type="dxa"/>
            <w:vAlign w:val="bottom"/>
            <w:tcBorders>
              <w:bottom w:val="single" w:sz="8" w:color="B6B6B6"/>
            </w:tcBorders>
          </w:tcPr>
          <w:p>
            <w:pPr>
              <w:jc w:val="right"/>
              <w:ind w:right="288"/>
              <w:spacing w:after="0"/>
              <w:rPr>
                <w:sz w:val="20"/>
                <w:szCs w:val="20"/>
                <w:color w:val="auto"/>
              </w:rPr>
            </w:pPr>
            <w:r>
              <w:rPr>
                <w:rFonts w:ascii="Arial" w:cs="Arial" w:eastAsia="Arial" w:hAnsi="Arial"/>
                <w:sz w:val="14"/>
                <w:szCs w:val="14"/>
                <w:b w:val="1"/>
                <w:bCs w:val="1"/>
                <w:color w:val="503C64"/>
              </w:rPr>
              <w:t>Adjustments</w:t>
            </w:r>
          </w:p>
        </w:tc>
        <w:tc>
          <w:tcPr>
            <w:tcW w:w="320" w:type="dxa"/>
            <w:vAlign w:val="bottom"/>
          </w:tcPr>
          <w:p>
            <w:pPr>
              <w:spacing w:after="0"/>
              <w:rPr>
                <w:sz w:val="17"/>
                <w:szCs w:val="17"/>
                <w:color w:val="auto"/>
              </w:rPr>
            </w:pP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93"/>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11,743</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 xml:space="preserve">(948) </w:t>
            </w:r>
            <w:r>
              <w:rPr>
                <w:rFonts w:ascii="Arial" w:cs="Arial" w:eastAsia="Arial" w:hAnsi="Arial"/>
                <w:sz w:val="12"/>
                <w:szCs w:val="12"/>
                <w:color w:val="auto"/>
              </w:rPr>
              <w:t>(2)</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10,795</w:t>
            </w:r>
          </w:p>
        </w:tc>
      </w:tr>
      <w:tr>
        <w:trPr>
          <w:trHeight w:val="178"/>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9,125</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B6B6B6"/>
            </w:tcBorders>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9,125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5,860</w:t>
            </w:r>
          </w:p>
        </w:tc>
        <w:tc>
          <w:tcPr>
            <w:tcW w:w="420" w:type="dxa"/>
            <w:vAlign w:val="bottom"/>
          </w:tcPr>
          <w:p>
            <w:pPr>
              <w:spacing w:after="0"/>
              <w:rPr>
                <w:sz w:val="17"/>
                <w:szCs w:val="17"/>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5,860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4,700</w:t>
            </w:r>
          </w:p>
        </w:tc>
        <w:tc>
          <w:tcPr>
            <w:tcW w:w="420" w:type="dxa"/>
            <w:vAlign w:val="bottom"/>
          </w:tcPr>
          <w:p>
            <w:pPr>
              <w:spacing w:after="0"/>
              <w:rPr>
                <w:sz w:val="17"/>
                <w:szCs w:val="17"/>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4,700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7,223</w:t>
            </w:r>
          </w:p>
        </w:tc>
        <w:tc>
          <w:tcPr>
            <w:tcW w:w="420" w:type="dxa"/>
            <w:vAlign w:val="bottom"/>
          </w:tcPr>
          <w:p>
            <w:pPr>
              <w:spacing w:after="0"/>
              <w:rPr>
                <w:sz w:val="17"/>
                <w:szCs w:val="17"/>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7,223</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5,108</w:t>
            </w:r>
          </w:p>
        </w:tc>
        <w:tc>
          <w:tcPr>
            <w:tcW w:w="420" w:type="dxa"/>
            <w:vAlign w:val="bottom"/>
            <w:tcBorders>
              <w:bottom w:val="single" w:sz="8" w:color="B6B6B6"/>
            </w:tcBorders>
          </w:tcPr>
          <w:p>
            <w:pPr>
              <w:spacing w:after="0"/>
              <w:rPr>
                <w:sz w:val="17"/>
                <w:szCs w:val="17"/>
                <w:color w:val="auto"/>
              </w:rPr>
            </w:pPr>
          </w:p>
        </w:tc>
        <w:tc>
          <w:tcPr>
            <w:tcW w:w="1680" w:type="dxa"/>
            <w:vAlign w:val="bottom"/>
            <w:tcBorders>
              <w:bottom w:val="single" w:sz="8" w:color="B6B6B6"/>
            </w:tcBorders>
            <w:gridSpan w:val="2"/>
          </w:tcPr>
          <w:p>
            <w:pPr>
              <w:jc w:val="right"/>
              <w:ind w:right="140"/>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(1)</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3,463</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43,759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(2,593)</w:t>
            </w:r>
          </w:p>
        </w:tc>
        <w:tc>
          <w:tcPr>
            <w:tcW w:w="3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41,166</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spacing w:after="0"/>
              <w:rPr>
                <w:sz w:val="17"/>
                <w:szCs w:val="17"/>
                <w:color w:val="auto"/>
              </w:rPr>
            </w:pPr>
          </w:p>
        </w:tc>
        <w:tc>
          <w:tcPr>
            <w:tcW w:w="2280" w:type="dxa"/>
            <w:vAlign w:val="bottom"/>
            <w:tcBorders>
              <w:bottom w:val="single" w:sz="8" w:color="B6B6B6"/>
            </w:tcBorders>
            <w:gridSpan w:val="2"/>
          </w:tcPr>
          <w:p>
            <w:pPr>
              <w:jc w:val="center"/>
              <w:spacing w:after="0"/>
              <w:rPr>
                <w:sz w:val="20"/>
                <w:szCs w:val="20"/>
                <w:color w:val="auto"/>
              </w:rPr>
            </w:pPr>
            <w:r>
              <w:rPr>
                <w:rFonts w:ascii="Arial" w:cs="Arial" w:eastAsia="Arial" w:hAnsi="Arial"/>
                <w:sz w:val="14"/>
                <w:szCs w:val="14"/>
                <w:b w:val="1"/>
                <w:bCs w:val="1"/>
                <w:color w:val="503C64"/>
              </w:rPr>
              <w:t>Six Months Ended June 30, 2025</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500" w:type="dxa"/>
            <w:vAlign w:val="bottom"/>
            <w:tcBorders>
              <w:bottom w:val="single" w:sz="8" w:color="B6B6B6"/>
            </w:tcBorders>
          </w:tcPr>
          <w:p>
            <w:pPr>
              <w:spacing w:after="0"/>
              <w:rPr>
                <w:sz w:val="17"/>
                <w:szCs w:val="17"/>
                <w:color w:val="auto"/>
              </w:rPr>
            </w:pPr>
          </w:p>
        </w:tc>
        <w:tc>
          <w:tcPr>
            <w:tcW w:w="600" w:type="dxa"/>
            <w:vAlign w:val="bottom"/>
            <w:tcBorders>
              <w:bottom w:val="single" w:sz="8" w:color="B6B6B6"/>
            </w:tcBorders>
          </w:tcPr>
          <w:p>
            <w:pPr>
              <w:spacing w:after="0"/>
              <w:rPr>
                <w:sz w:val="17"/>
                <w:szCs w:val="17"/>
                <w:color w:val="auto"/>
              </w:rPr>
            </w:pPr>
          </w:p>
        </w:tc>
        <w:tc>
          <w:tcPr>
            <w:tcW w:w="1680" w:type="dxa"/>
            <w:vAlign w:val="bottom"/>
            <w:tcBorders>
              <w:bottom w:val="single" w:sz="8" w:color="B6B6B6"/>
            </w:tcBorders>
          </w:tcPr>
          <w:p>
            <w:pPr>
              <w:jc w:val="center"/>
              <w:ind w:right="488"/>
              <w:spacing w:after="0"/>
              <w:rPr>
                <w:sz w:val="20"/>
                <w:szCs w:val="20"/>
                <w:color w:val="auto"/>
              </w:rPr>
            </w:pPr>
            <w:r>
              <w:rPr>
                <w:rFonts w:ascii="Arial" w:cs="Arial" w:eastAsia="Arial" w:hAnsi="Arial"/>
                <w:sz w:val="14"/>
                <w:szCs w:val="14"/>
                <w:b w:val="1"/>
                <w:bCs w:val="1"/>
                <w:color w:val="503C64"/>
              </w:rPr>
              <w:t>Adjustments</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26,095</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26,095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18,526</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18,526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12,922</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12,922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10,973</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10,973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10,355</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10,355</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10,053</w:t>
            </w:r>
          </w:p>
        </w:tc>
        <w:tc>
          <w:tcPr>
            <w:tcW w:w="600" w:type="dxa"/>
            <w:vAlign w:val="bottom"/>
            <w:tcBorders>
              <w:bottom w:val="single" w:sz="8" w:color="B6B6B6"/>
            </w:tcBorders>
          </w:tcPr>
          <w:p>
            <w:pPr>
              <w:spacing w:after="0"/>
              <w:rPr>
                <w:sz w:val="17"/>
                <w:szCs w:val="17"/>
                <w:color w:val="auto"/>
              </w:rPr>
            </w:pPr>
          </w:p>
        </w:tc>
        <w:tc>
          <w:tcPr>
            <w:tcW w:w="1680" w:type="dxa"/>
            <w:vAlign w:val="bottom"/>
            <w:tcBorders>
              <w:bottom w:val="single" w:sz="8" w:color="B6B6B6"/>
            </w:tcBorders>
          </w:tcPr>
          <w:p>
            <w:pPr>
              <w:jc w:val="center"/>
              <w:ind w:left="668"/>
              <w:spacing w:after="0"/>
              <w:rPr>
                <w:sz w:val="20"/>
                <w:szCs w:val="20"/>
                <w:color w:val="auto"/>
              </w:rPr>
            </w:pPr>
            <w:r>
              <w:rPr>
                <w:rFonts w:ascii="Arial" w:cs="Arial" w:eastAsia="Arial" w:hAnsi="Arial"/>
                <w:sz w:val="14"/>
                <w:szCs w:val="14"/>
                <w:color w:val="auto"/>
              </w:rPr>
              <w:t xml:space="preserve">(3,290) </w:t>
            </w:r>
            <w:r>
              <w:rPr>
                <w:rFonts w:ascii="Arial" w:cs="Arial" w:eastAsia="Arial" w:hAnsi="Arial"/>
                <w:sz w:val="12"/>
                <w:szCs w:val="12"/>
                <w:color w:val="auto"/>
              </w:rPr>
              <w:t>(1)</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6,763</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88,924</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68"/>
              <w:spacing w:after="0"/>
              <w:rPr>
                <w:sz w:val="20"/>
                <w:szCs w:val="20"/>
                <w:color w:val="auto"/>
              </w:rPr>
            </w:pPr>
            <w:r>
              <w:rPr>
                <w:rFonts w:ascii="Arial" w:cs="Arial" w:eastAsia="Arial" w:hAnsi="Arial"/>
                <w:sz w:val="14"/>
                <w:szCs w:val="14"/>
                <w:color w:val="auto"/>
              </w:rPr>
              <w:t>(3,290)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85,634</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520" w:type="dxa"/>
            <w:vAlign w:val="bottom"/>
            <w:tcBorders>
              <w:bottom w:val="single" w:sz="8" w:color="B6B6B6"/>
            </w:tcBorders>
          </w:tcPr>
          <w:p>
            <w:pPr>
              <w:spacing w:after="0"/>
              <w:rPr>
                <w:sz w:val="17"/>
                <w:szCs w:val="17"/>
                <w:color w:val="auto"/>
              </w:rPr>
            </w:pPr>
          </w:p>
        </w:tc>
        <w:tc>
          <w:tcPr>
            <w:tcW w:w="2280" w:type="dxa"/>
            <w:vAlign w:val="bottom"/>
            <w:tcBorders>
              <w:bottom w:val="single" w:sz="8" w:color="B6B6B6"/>
            </w:tcBorders>
            <w:gridSpan w:val="2"/>
          </w:tcPr>
          <w:p>
            <w:pPr>
              <w:jc w:val="center"/>
              <w:spacing w:after="0"/>
              <w:rPr>
                <w:sz w:val="20"/>
                <w:szCs w:val="20"/>
                <w:color w:val="auto"/>
              </w:rPr>
            </w:pPr>
            <w:r>
              <w:rPr>
                <w:rFonts w:ascii="Arial" w:cs="Arial" w:eastAsia="Arial" w:hAnsi="Arial"/>
                <w:sz w:val="14"/>
                <w:szCs w:val="14"/>
                <w:b w:val="1"/>
                <w:bCs w:val="1"/>
                <w:color w:val="503C64"/>
              </w:rPr>
              <w:t>Six Months Ended June 30, 2024</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520" w:type="dxa"/>
            <w:vAlign w:val="bottom"/>
            <w:tcBorders>
              <w:bottom w:val="single" w:sz="8" w:color="B6B6B6"/>
            </w:tcBorders>
          </w:tcPr>
          <w:p>
            <w:pPr>
              <w:spacing w:after="0"/>
              <w:rPr>
                <w:sz w:val="17"/>
                <w:szCs w:val="17"/>
                <w:color w:val="auto"/>
              </w:rPr>
            </w:pPr>
          </w:p>
        </w:tc>
        <w:tc>
          <w:tcPr>
            <w:tcW w:w="600" w:type="dxa"/>
            <w:vAlign w:val="bottom"/>
            <w:tcBorders>
              <w:bottom w:val="single" w:sz="8" w:color="B6B6B6"/>
            </w:tcBorders>
          </w:tcPr>
          <w:p>
            <w:pPr>
              <w:spacing w:after="0"/>
              <w:rPr>
                <w:sz w:val="17"/>
                <w:szCs w:val="17"/>
                <w:color w:val="auto"/>
              </w:rPr>
            </w:pPr>
          </w:p>
        </w:tc>
        <w:tc>
          <w:tcPr>
            <w:tcW w:w="1680" w:type="dxa"/>
            <w:vAlign w:val="bottom"/>
            <w:tcBorders>
              <w:bottom w:val="single" w:sz="8" w:color="B6B6B6"/>
            </w:tcBorders>
          </w:tcPr>
          <w:p>
            <w:pPr>
              <w:jc w:val="center"/>
              <w:ind w:right="488"/>
              <w:spacing w:after="0"/>
              <w:rPr>
                <w:sz w:val="20"/>
                <w:szCs w:val="20"/>
                <w:color w:val="auto"/>
              </w:rPr>
            </w:pPr>
            <w:r>
              <w:rPr>
                <w:rFonts w:ascii="Arial" w:cs="Arial" w:eastAsia="Arial" w:hAnsi="Arial"/>
                <w:sz w:val="14"/>
                <w:szCs w:val="14"/>
                <w:b w:val="1"/>
                <w:bCs w:val="1"/>
                <w:color w:val="503C64"/>
              </w:rPr>
              <w:t>Adjustments</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22,803</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668"/>
              <w:spacing w:after="0"/>
              <w:rPr>
                <w:sz w:val="20"/>
                <w:szCs w:val="20"/>
                <w:color w:val="auto"/>
              </w:rPr>
            </w:pPr>
            <w:r>
              <w:rPr>
                <w:rFonts w:ascii="Arial" w:cs="Arial" w:eastAsia="Arial" w:hAnsi="Arial"/>
                <w:sz w:val="14"/>
                <w:szCs w:val="14"/>
                <w:color w:val="auto"/>
              </w:rPr>
              <w:t xml:space="preserve">(2,570) </w:t>
            </w:r>
            <w:r>
              <w:rPr>
                <w:rFonts w:ascii="Arial" w:cs="Arial" w:eastAsia="Arial" w:hAnsi="Arial"/>
                <w:sz w:val="12"/>
                <w:szCs w:val="12"/>
                <w:color w:val="auto"/>
              </w:rPr>
              <w:t>(2)</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20,233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17,897</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17,897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12,137</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12,137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9,285</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9,285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11,742</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11,742</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5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10,188</w:t>
            </w:r>
          </w:p>
        </w:tc>
        <w:tc>
          <w:tcPr>
            <w:tcW w:w="600" w:type="dxa"/>
            <w:vAlign w:val="bottom"/>
            <w:tcBorders>
              <w:bottom w:val="single" w:sz="8" w:color="B6B6B6"/>
            </w:tcBorders>
          </w:tcPr>
          <w:p>
            <w:pPr>
              <w:spacing w:after="0"/>
              <w:rPr>
                <w:sz w:val="17"/>
                <w:szCs w:val="17"/>
                <w:color w:val="auto"/>
              </w:rPr>
            </w:pPr>
          </w:p>
        </w:tc>
        <w:tc>
          <w:tcPr>
            <w:tcW w:w="1680" w:type="dxa"/>
            <w:vAlign w:val="bottom"/>
            <w:tcBorders>
              <w:bottom w:val="single" w:sz="8" w:color="B6B6B6"/>
            </w:tcBorders>
          </w:tcPr>
          <w:p>
            <w:pPr>
              <w:jc w:val="center"/>
              <w:ind w:left="668"/>
              <w:spacing w:after="0"/>
              <w:rPr>
                <w:sz w:val="20"/>
                <w:szCs w:val="20"/>
                <w:color w:val="auto"/>
              </w:rPr>
            </w:pPr>
            <w:r>
              <w:rPr>
                <w:rFonts w:ascii="Arial" w:cs="Arial" w:eastAsia="Arial" w:hAnsi="Arial"/>
                <w:sz w:val="14"/>
                <w:szCs w:val="14"/>
                <w:color w:val="auto"/>
              </w:rPr>
              <w:t xml:space="preserve">(3,290) </w:t>
            </w:r>
            <w:r>
              <w:rPr>
                <w:rFonts w:ascii="Arial" w:cs="Arial" w:eastAsia="Arial" w:hAnsi="Arial"/>
                <w:sz w:val="12"/>
                <w:szCs w:val="12"/>
                <w:color w:val="auto"/>
              </w:rPr>
              <w:t>(1)</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6,898</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84,052</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68"/>
              <w:spacing w:after="0"/>
              <w:rPr>
                <w:sz w:val="20"/>
                <w:szCs w:val="20"/>
                <w:color w:val="auto"/>
              </w:rPr>
            </w:pPr>
            <w:r>
              <w:rPr>
                <w:rFonts w:ascii="Arial" w:cs="Arial" w:eastAsia="Arial" w:hAnsi="Arial"/>
                <w:sz w:val="14"/>
                <w:szCs w:val="14"/>
                <w:color w:val="auto"/>
              </w:rPr>
              <w:t>(5,860)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78,192</w:t>
            </w:r>
          </w:p>
        </w:tc>
      </w:tr>
    </w:tbl>
    <w:p>
      <w:pPr>
        <w:spacing w:after="0" w:line="200" w:lineRule="exact"/>
        <w:rPr>
          <w:sz w:val="20"/>
          <w:szCs w:val="20"/>
          <w:color w:val="auto"/>
        </w:rPr>
      </w:pPr>
    </w:p>
    <w:p>
      <w:pPr>
        <w:spacing w:after="0" w:line="225" w:lineRule="exact"/>
        <w:rPr>
          <w:sz w:val="20"/>
          <w:szCs w:val="20"/>
          <w:color w:val="auto"/>
        </w:rPr>
      </w:pPr>
    </w:p>
    <w:p>
      <w:pPr>
        <w:ind w:left="880" w:hanging="382"/>
        <w:spacing w:after="0"/>
        <w:tabs>
          <w:tab w:leader="none" w:pos="8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95" w:lineRule="exact"/>
        <w:rPr>
          <w:rFonts w:ascii="Arial" w:cs="Arial" w:eastAsia="Arial" w:hAnsi="Arial"/>
          <w:sz w:val="14"/>
          <w:szCs w:val="14"/>
          <w:color w:val="auto"/>
        </w:rPr>
      </w:pPr>
    </w:p>
    <w:p>
      <w:pPr>
        <w:ind w:left="880" w:hanging="382"/>
        <w:spacing w:after="0"/>
        <w:tabs>
          <w:tab w:leader="none" w:pos="8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1"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3"/>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2025-08-01T06:34:19Z</dcterms:created>
  <dcterms:modified xsi:type="dcterms:W3CDTF">2025-08-01T06:34:19Z</dcterms:modified>
</cp:coreProperties>
</file>