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February 9, 2024</w:t>
      </w:r>
    </w:p>
    <w:p>
      <w:pPr>
        <w:pStyle w:val="TextBody"/>
        <w:bidi w:val="0"/>
        <w:spacing w:lineRule="auto" w:line="288" w:before="0" w:after="60"/>
        <w:jc w:val="right"/>
        <w:rPr>
          <w:rFonts w:ascii="Times New Roman;sans-serif" w:hAnsi="Times New Roman;sans-serif"/>
          <w:b/>
          <w:color w:val="000000"/>
          <w:sz w:val="20"/>
        </w:rPr>
      </w:pPr>
      <w:r>
        <w:rPr>
          <w:rFonts w:ascii="Times New Roman;sans-serif" w:hAnsi="Times New Roman;sans-serif"/>
          <w:b/>
          <w:color w:val="000000"/>
          <w:sz w:val="20"/>
        </w:rPr>
        <w:t>Registration No. 333-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6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S-8 </w:t>
      </w:r>
    </w:p>
    <w:p>
      <w:pPr>
        <w:pStyle w:val="TextBody"/>
        <w:bidi w:val="0"/>
        <w:spacing w:lineRule="auto" w:line="26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REGISTRATION STATEMENT </w:t>
      </w:r>
    </w:p>
    <w:p>
      <w:pPr>
        <w:pStyle w:val="TextBody"/>
        <w:bidi w:val="0"/>
        <w:spacing w:lineRule="auto" w:line="268" w:before="0" w:after="0"/>
        <w:jc w:val="center"/>
        <w:rPr>
          <w:rFonts w:ascii="Times New Roman;sans-serif" w:hAnsi="Times New Roman;sans-serif"/>
          <w:b/>
          <w:i/>
          <w:color w:val="000000"/>
          <w:sz w:val="24"/>
        </w:rPr>
      </w:pPr>
      <w:r>
        <w:rPr>
          <w:rFonts w:ascii="Times New Roman;sans-serif" w:hAnsi="Times New Roman;sans-serif"/>
          <w:b/>
          <w:i/>
          <w:color w:val="000000"/>
          <w:sz w:val="24"/>
        </w:rPr>
        <w:t xml:space="preserve">UNDER </w:t>
      </w:r>
    </w:p>
    <w:p>
      <w:pPr>
        <w:pStyle w:val="TextBody"/>
        <w:bidi w:val="0"/>
        <w:spacing w:lineRule="auto" w:line="268" w:before="0" w:after="0"/>
        <w:jc w:val="center"/>
        <w:rPr>
          <w:rFonts w:ascii="Times New Roman;sans-serif" w:hAnsi="Times New Roman;sans-serif"/>
          <w:b/>
          <w:i/>
          <w:color w:val="000000"/>
          <w:sz w:val="24"/>
        </w:rPr>
      </w:pPr>
      <w:r>
        <w:rPr>
          <w:rFonts w:ascii="Times New Roman;sans-serif" w:hAnsi="Times New Roman;sans-serif"/>
          <w:b/>
          <w:i/>
          <w:color w:val="000000"/>
          <w:sz w:val="24"/>
        </w:rPr>
        <w:t xml:space="preserve">THE SECURITIES ACT OF 1933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Perella Weinberg Partners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030" w:type="dxa"/>
        <w:jc w:val="center"/>
        <w:tblInd w:w="0" w:type="dxa"/>
        <w:tblLayout w:type="fixed"/>
        <w:tblCellMar>
          <w:top w:w="28" w:type="dxa"/>
          <w:left w:w="28" w:type="dxa"/>
          <w:bottom w:w="28" w:type="dxa"/>
          <w:right w:w="28" w:type="dxa"/>
        </w:tblCellMar>
      </w:tblPr>
      <w:tblGrid>
        <w:gridCol w:w="1365"/>
        <w:gridCol w:w="1200"/>
        <w:gridCol w:w="1215"/>
        <w:gridCol w:w="657"/>
        <w:gridCol w:w="657"/>
        <w:gridCol w:w="936"/>
      </w:tblGrid>
      <w:tr>
        <w:trPr/>
        <w:tc>
          <w:tcPr>
            <w:tcW w:w="13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84-1770732</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State or other jurisdiction of incorporation or organization)</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767 Fifth Avenue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225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10153</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2021 Omnibus Incentive Plan </w:t>
      </w:r>
    </w:p>
    <w:p>
      <w:pPr>
        <w:pStyle w:val="TextBody"/>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(Full title of the plan) </w:t>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Alexandra Gottschalk</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Perella Weinberg Partners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767 Fifth Avenue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New York, New York 10153 </w:t>
      </w:r>
    </w:p>
    <w:p>
      <w:pPr>
        <w:pStyle w:val="TextBody"/>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and address of agent for service) </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(212) 287-3200 </w:t>
      </w:r>
    </w:p>
    <w:p>
      <w:pPr>
        <w:pStyle w:val="TextBody"/>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(Telephone number, including area code, of agent for service)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ans-serif" w:hAnsi="Times New Roman;sans-serif"/>
          <w:b/>
          <w:i/>
          <w:color w:val="000000"/>
          <w:sz w:val="20"/>
        </w:rPr>
      </w:pPr>
      <w:r>
        <w:rPr>
          <w:rFonts w:ascii="Times New Roman;sans-serif" w:hAnsi="Times New Roman;sans-serif"/>
          <w:b/>
          <w:i/>
          <w:color w:val="000000"/>
          <w:sz w:val="20"/>
        </w:rPr>
        <w:t>Copies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Joseph A. Coco, Esq.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Michael J. Schwartz, Esq.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Blair T. Thetford, Esq.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Skadden, Arps, Slate, Meagher &amp; Flom LLP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One Manhattan West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New York, New York 10001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(212) 735-3000 </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01"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registration statement on Form S-8 (this “Registration Statement”) is being filed for the purpose of registering 7,700,406 shares of Class A Common Stock, par value $0.0001 per share, of Perella Weinberg Partners (the “Company”) that may be issued and sold pursuant to the Perella Weinberg Partners 2021 Omnibus Incentive Plan (the “Incentive Plan”).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THE SECTION 10(a) PROSPECTUS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documents containing the information specified in Part I of the instructions to the Registration Statement on Form S-8 will be sent or given to participants in the Incentive Plan as required by Rule 428(b)(1) of the rules promulgated under the Securities Act of 1933, as amended (the “Securities Act”). These documents are not being filed with the Securities and Exchange Commission (the “SEC”) as a part of this registration statement in accordance with Rule 428(b) and the Note to Part I of Form S-8.</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Incorporation of Documents by Reference.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filed with the SEC pursuant to the Securities Exchange Act of 1934, as amended (the “Exchange Act”), are hereby incorporated by reference in this Registration Statement and shall be deemed to be a part hereof (except for any portions of Current Reports on Form 8-K furnished pursuant to Item 2.02 or Item 7.01 thereof and any corresponding exhibits thereto not filed with the SEC):</w:t>
      </w:r>
    </w:p>
    <w:p>
      <w:pPr>
        <w:pStyle w:val="TextBody"/>
        <w:bidi w:val="0"/>
        <w:spacing w:before="0" w:after="0"/>
        <w:jc w:val="both"/>
        <w:rPr/>
      </w:pPr>
      <w:r>
        <w:rPr/>
      </w:r>
    </w:p>
    <w:p>
      <w:pPr>
        <w:pStyle w:val="TextBody"/>
        <w:bidi w:val="0"/>
        <w:spacing w:lineRule="auto" w:line="268" w:before="0" w:after="0"/>
        <w:jc w:val="left"/>
        <w:rPr/>
      </w:pPr>
      <w:r>
        <w:rPr>
          <w:color w:val="000000"/>
        </w:rPr>
        <w:t>    </w:t>
      </w:r>
      <w:r>
        <w:rPr>
          <w:rFonts w:ascii="Times New Roman;sans-serif" w:hAnsi="Times New Roman;sans-serif"/>
          <w:b w:val="false"/>
          <w:color w:val="000000"/>
          <w:sz w:val="20"/>
        </w:rPr>
        <w:t xml:space="preserve">(a)    The Company’s Annual Report on </w:t>
      </w:r>
      <w:hyperlink r:id="rId2">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fiscal year ended December 31, 2022, filed with the SEC on February 28, 2023;</w:t>
      </w:r>
    </w:p>
    <w:p>
      <w:pPr>
        <w:pStyle w:val="TextBody"/>
        <w:bidi w:val="0"/>
        <w:spacing w:before="0" w:after="0"/>
        <w:jc w:val="left"/>
        <w:rPr/>
      </w:pPr>
      <w:r>
        <w:rPr/>
      </w:r>
    </w:p>
    <w:p>
      <w:pPr>
        <w:pStyle w:val="TextBody"/>
        <w:bidi w:val="0"/>
        <w:spacing w:lineRule="auto" w:line="268" w:before="0" w:after="0"/>
        <w:jc w:val="left"/>
        <w:rPr/>
      </w:pPr>
      <w:r>
        <w:rPr>
          <w:color w:val="000000"/>
        </w:rPr>
        <w:t>    </w:t>
      </w:r>
      <w:r>
        <w:rPr>
          <w:rFonts w:ascii="Times New Roman;sans-serif" w:hAnsi="Times New Roman;sans-serif"/>
          <w:b w:val="false"/>
          <w:color w:val="000000"/>
          <w:sz w:val="20"/>
        </w:rPr>
        <w:t xml:space="preserve">(b)    The Company’s Quarterly Reports on Form 10-Q for the quarterly periods ended March 31, 2023, June 30, 2023 and September 30, 2023, filed with the SEC on </w:t>
      </w:r>
      <w:hyperlink r:id="rId3">
        <w:r>
          <w:rPr>
            <w:rStyle w:val="InternetLink"/>
            <w:rFonts w:ascii="Times New Roman;sans-serif" w:hAnsi="Times New Roman;sans-serif"/>
            <w:b w:val="false"/>
            <w:color w:val="0000FF"/>
            <w:sz w:val="20"/>
            <w:u w:val="single"/>
          </w:rPr>
          <w:t>May 4, 2023</w:t>
        </w:r>
      </w:hyperlink>
      <w:r>
        <w:rPr>
          <w:rFonts w:ascii="Times New Roman;sans-serif" w:hAnsi="Times New Roman;sans-serif"/>
          <w:b w:val="false"/>
          <w:color w:val="000000"/>
          <w:sz w:val="20"/>
        </w:rPr>
        <w:t xml:space="preserve">, </w:t>
      </w:r>
      <w:hyperlink r:id="rId4">
        <w:r>
          <w:rPr>
            <w:rStyle w:val="InternetLink"/>
            <w:rFonts w:ascii="Times New Roman;sans-serif" w:hAnsi="Times New Roman;sans-serif"/>
            <w:b w:val="false"/>
            <w:color w:val="0000FF"/>
            <w:sz w:val="20"/>
            <w:u w:val="single"/>
          </w:rPr>
          <w:t>August 4, 2023</w:t>
        </w:r>
      </w:hyperlink>
      <w:r>
        <w:rPr>
          <w:color w:val="000000"/>
        </w:rPr>
        <w:t xml:space="preserve"> </w:t>
      </w:r>
      <w:r>
        <w:rPr>
          <w:rFonts w:ascii="Times New Roman;sans-serif" w:hAnsi="Times New Roman;sans-serif"/>
          <w:b w:val="false"/>
          <w:color w:val="000000"/>
          <w:sz w:val="20"/>
        </w:rPr>
        <w:t xml:space="preserve">and </w:t>
      </w:r>
      <w:hyperlink r:id="rId5">
        <w:r>
          <w:rPr>
            <w:rStyle w:val="InternetLink"/>
            <w:rFonts w:ascii="Times New Roman;sans-serif" w:hAnsi="Times New Roman;sans-serif"/>
            <w:b w:val="false"/>
            <w:color w:val="0000FF"/>
            <w:sz w:val="20"/>
            <w:u w:val="single"/>
          </w:rPr>
          <w:t>November 7, 2023</w:t>
        </w:r>
      </w:hyperlink>
      <w:r>
        <w:rPr>
          <w:rFonts w:ascii="Times New Roman;sans-serif" w:hAnsi="Times New Roman;sans-serif"/>
          <w:b w:val="false"/>
          <w:color w:val="000000"/>
          <w:sz w:val="20"/>
        </w:rPr>
        <w:t>, respectively;</w:t>
      </w:r>
    </w:p>
    <w:p>
      <w:pPr>
        <w:pStyle w:val="TextBody"/>
        <w:bidi w:val="0"/>
        <w:spacing w:before="0" w:after="0"/>
        <w:jc w:val="left"/>
        <w:rPr/>
      </w:pPr>
      <w:r>
        <w:rPr/>
      </w:r>
    </w:p>
    <w:p>
      <w:pPr>
        <w:pStyle w:val="TextBody"/>
        <w:bidi w:val="0"/>
        <w:spacing w:lineRule="auto" w:line="268" w:before="0" w:after="0"/>
        <w:jc w:val="left"/>
        <w:rPr/>
      </w:pPr>
      <w:r>
        <w:rPr>
          <w:color w:val="000000"/>
        </w:rPr>
        <w:t>    </w:t>
      </w:r>
      <w:r>
        <w:rPr>
          <w:rFonts w:ascii="Times New Roman;sans-serif" w:hAnsi="Times New Roman;sans-serif"/>
          <w:b w:val="false"/>
          <w:color w:val="000000"/>
          <w:sz w:val="20"/>
        </w:rPr>
        <w:t xml:space="preserve">(c)    The Company’s Current Reports on Form 8-K filed with the SEC on </w:t>
      </w:r>
      <w:hyperlink r:id="rId6">
        <w:r>
          <w:rPr>
            <w:rStyle w:val="InternetLink"/>
            <w:rFonts w:ascii="Times New Roman;sans-serif" w:hAnsi="Times New Roman;sans-serif"/>
            <w:b w:val="false"/>
            <w:color w:val="0000FF"/>
            <w:sz w:val="20"/>
            <w:u w:val="single"/>
          </w:rPr>
          <w:t>March 2, 2023</w:t>
        </w:r>
      </w:hyperlink>
      <w:r>
        <w:rPr>
          <w:rFonts w:ascii="Times New Roman;sans-serif" w:hAnsi="Times New Roman;sans-serif"/>
          <w:b w:val="false"/>
          <w:color w:val="000000"/>
          <w:sz w:val="20"/>
        </w:rPr>
        <w:t xml:space="preserve">, </w:t>
      </w:r>
      <w:hyperlink r:id="rId7">
        <w:r>
          <w:rPr>
            <w:rStyle w:val="InternetLink"/>
          </w:rPr>
          <w:t>March 7,</w:t>
        </w:r>
      </w:hyperlink>
      <w:hyperlink r:id="rId8">
        <w:r>
          <w:rPr>
            <w:rStyle w:val="InternetLink"/>
          </w:rPr>
          <w:t xml:space="preserve"> </w:t>
        </w:r>
      </w:hyperlink>
      <w:hyperlink r:id="rId9">
        <w:r>
          <w:rPr>
            <w:rStyle w:val="InternetLink"/>
          </w:rPr>
          <w:t>2023</w:t>
        </w:r>
      </w:hyperlink>
      <w:r>
        <w:rPr>
          <w:rFonts w:ascii="Times New Roman;sans-serif" w:hAnsi="Times New Roman;sans-serif"/>
          <w:b w:val="false"/>
          <w:color w:val="000000"/>
          <w:sz w:val="20"/>
        </w:rPr>
        <w:t xml:space="preserve">, </w:t>
      </w:r>
      <w:hyperlink r:id="rId10">
        <w:r>
          <w:rPr>
            <w:rStyle w:val="InternetLink"/>
            <w:rFonts w:ascii="Times New Roman;sans-serif" w:hAnsi="Times New Roman;sans-serif"/>
            <w:b w:val="false"/>
            <w:color w:val="0000FF"/>
            <w:sz w:val="20"/>
            <w:u w:val="single"/>
          </w:rPr>
          <w:t>April 14, 2023</w:t>
        </w:r>
      </w:hyperlink>
      <w:r>
        <w:rPr>
          <w:rFonts w:ascii="Times New Roman;sans-serif" w:hAnsi="Times New Roman;sans-serif"/>
          <w:b w:val="false"/>
          <w:color w:val="000000"/>
          <w:sz w:val="20"/>
        </w:rPr>
        <w:t xml:space="preserve">, </w:t>
      </w:r>
      <w:hyperlink r:id="rId11">
        <w:r>
          <w:rPr>
            <w:rStyle w:val="InternetLink"/>
            <w:rFonts w:ascii="Times New Roman;sans-serif" w:hAnsi="Times New Roman;sans-serif"/>
            <w:b w:val="false"/>
            <w:color w:val="0000FF"/>
            <w:sz w:val="20"/>
            <w:u w:val="single"/>
          </w:rPr>
          <w:t>May 24, 2023</w:t>
        </w:r>
      </w:hyperlink>
      <w:r>
        <w:rPr>
          <w:rFonts w:ascii="Times New Roman;sans-serif" w:hAnsi="Times New Roman;sans-serif"/>
          <w:b w:val="false"/>
          <w:color w:val="000000"/>
          <w:sz w:val="20"/>
        </w:rPr>
        <w:t xml:space="preserve">, </w:t>
      </w:r>
      <w:hyperlink r:id="rId12">
        <w:r>
          <w:rPr>
            <w:rStyle w:val="InternetLink"/>
            <w:rFonts w:ascii="Times New Roman;sans-serif" w:hAnsi="Times New Roman;sans-serif"/>
            <w:b w:val="false"/>
            <w:color w:val="0000FF"/>
            <w:sz w:val="20"/>
            <w:u w:val="single"/>
          </w:rPr>
          <w:t>September 6, 2023</w:t>
        </w:r>
      </w:hyperlink>
      <w:r>
        <w:rPr>
          <w:rFonts w:ascii="Times New Roman;sans-serif" w:hAnsi="Times New Roman;sans-serif"/>
          <w:b w:val="false"/>
          <w:color w:val="000000"/>
          <w:sz w:val="20"/>
        </w:rPr>
        <w:t xml:space="preserve">, </w:t>
      </w:r>
      <w:hyperlink r:id="rId13">
        <w:r>
          <w:rPr>
            <w:rStyle w:val="InternetLink"/>
            <w:rFonts w:ascii="Times New Roman;sans-serif" w:hAnsi="Times New Roman;sans-serif"/>
            <w:b w:val="false"/>
            <w:color w:val="0000FF"/>
            <w:sz w:val="20"/>
            <w:u w:val="single"/>
          </w:rPr>
          <w:t>December 4, 2023</w:t>
        </w:r>
      </w:hyperlink>
      <w:r>
        <w:rPr>
          <w:rFonts w:ascii="Times New Roman;sans-serif" w:hAnsi="Times New Roman;sans-serif"/>
          <w:b w:val="false"/>
          <w:color w:val="000000"/>
          <w:sz w:val="20"/>
        </w:rPr>
        <w:t xml:space="preserve">, and </w:t>
      </w:r>
      <w:hyperlink r:id="rId14">
        <w:r>
          <w:rPr>
            <w:rStyle w:val="InternetLink"/>
            <w:rFonts w:ascii="Times New Roman;sans-serif" w:hAnsi="Times New Roman;sans-serif"/>
            <w:b w:val="false"/>
            <w:color w:val="0000FF"/>
            <w:sz w:val="20"/>
            <w:u w:val="single"/>
          </w:rPr>
          <w:t>January 2, 2024</w:t>
        </w:r>
      </w:hyperlink>
      <w:r>
        <w:rPr>
          <w:rFonts w:ascii="Times New Roman;sans-serif" w:hAnsi="Times New Roman;sans-serif"/>
          <w:b w:val="false"/>
          <w:color w:val="000000"/>
          <w:sz w:val="20"/>
        </w:rPr>
        <w:t>; and</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(d)    The description of the Class A Common Stock, par value $0.0001 per share, included in </w:t>
      </w:r>
    </w:p>
    <w:p>
      <w:pPr>
        <w:pStyle w:val="TextBody"/>
        <w:bidi w:val="0"/>
        <w:spacing w:lineRule="auto" w:line="288" w:before="0" w:after="0"/>
        <w:jc w:val="both"/>
        <w:rPr/>
      </w:pPr>
      <w:hyperlink r:id="rId15">
        <w:r>
          <w:rPr>
            <w:rStyle w:val="InternetLink"/>
            <w:rFonts w:ascii="Times New Roman;sans-serif" w:hAnsi="Times New Roman;sans-serif"/>
            <w:b w:val="false"/>
            <w:color w:val="0000FF"/>
            <w:sz w:val="20"/>
            <w:u w:val="single"/>
          </w:rPr>
          <w:t>Exhibit 4.4</w:t>
        </w:r>
      </w:hyperlink>
      <w:r>
        <w:rPr>
          <w:color w:val="000000"/>
        </w:rPr>
        <w:t xml:space="preserve"> </w:t>
      </w:r>
      <w:r>
        <w:rPr>
          <w:rFonts w:ascii="Times New Roman;sans-serif" w:hAnsi="Times New Roman;sans-serif"/>
          <w:b w:val="false"/>
          <w:color w:val="000000"/>
          <w:sz w:val="20"/>
        </w:rPr>
        <w:t>of the Company’s Annual Report on Form 10-K for the fiscal year ended December 31, 2022, filed with the SEC on February 28, 2023, including any amendments or reports filed for the purpose of updating such description.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reports and definitive proxy or information statements filed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Unless expressly incorporated into this Registration Statement, a report furnished but not filed on Form 8-K under the Exchange Act shall not be incorporated by reference into this Registration Statement.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Description of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Interests of Named Experts and Counsel.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Indemnification of Directors and Officers.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145 of the Delaware General Corporation Law,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provide that our officers and directors are indemnified by us to the fullest extent authorized or permitted by applicable law, as it now exists or may in the future be amended. In addition, we have entered into indemnification agreements with each of our directors and executive officers. These agreements require us, among other things, to indemnify these individuals to the fullest extent permitted by applicable law against expenses and liabilities that may arise by reason of their status as directors and executive officers, subject to certain exceptions, and to advance expenses incurred as a result of any proceeding against them as to which they could be indemnified. We have also purchased a policy of directors’ and officers’ liability insurance that insures our directors and executive officers against loss arising from claims made by reason of breach of duty or other wrongful act and insures us against our obligations to indemnify our directors and executive officers.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    Exemption from Registration Claimed.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herewith or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91"/>
        <w:gridCol w:w="343"/>
        <w:gridCol w:w="344"/>
        <w:gridCol w:w="109"/>
        <w:gridCol w:w="109"/>
        <w:gridCol w:w="109"/>
        <w:gridCol w:w="2567"/>
        <w:gridCol w:w="2567"/>
        <w:gridCol w:w="3666"/>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Restated Certificate of Incorporation of Perella Weinberg Partners (incorporated by reference to Exhibit 3.1 to Amendment No. 1 to the Company's Registration Statement on Form S-1 filed with the SEC on January 13, 2022 (File No. 333-261785)).</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 xml:space="preserve">Amended and Restated Bylaws of Perella Weinberg Partners (incorporated by reference to Exhibit 3.2 to the Company’s Current Report on Form 8-K, filed with the SEC on June 30, 2021). </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annualrsugrantsx8.htm">
              <w:r>
                <w:rPr>
                  <w:rStyle w:val="InternetLink"/>
                  <w:rFonts w:ascii="Times New Roman;sans-serif" w:hAnsi="Times New Roman;sans-serif"/>
                  <w:b w:val="false"/>
                  <w:color w:val="0000FF"/>
                  <w:sz w:val="20"/>
                  <w:u w:val="single"/>
                </w:rPr>
                <w:t>Opinion of Skadden, Arps, Slate, Meagher &amp; Flom LLP.</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auditorconsentr.htm">
              <w:r>
                <w:rPr>
                  <w:rStyle w:val="InternetLink"/>
                  <w:rFonts w:ascii="Times New Roman;sans-serif" w:hAnsi="Times New Roman;sans-serif"/>
                  <w:b w:val="false"/>
                  <w:color w:val="0000FF"/>
                  <w:sz w:val="20"/>
                  <w:u w:val="single"/>
                </w:rPr>
                <w:t>Consent of Ernst &amp; Young LLP, Independent Registered Public Accounting Firm.</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Skadden, Arps, Slate, Meagher &amp; Flom LLP (included in Exhibit 5.1 hereto).</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Powers of Attorney (included as part of the signature page hereto).</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Perella Weinberg Partners 2021 Omnibus Incentive Plan (incorporated by reference to Exhibit 10.6 to the Company’s Current Report on Form 8-K, filed with the SEC on June 30, 2021).</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French Sub-Plan Under the Perella Weinberg Partners 2021 Omnibus Equity Incentive Plan (incorporated by reference to Exhibit 10.7 to the Company’s Current Report on Form 8-K, filed with the SEC on June 30, 2021).</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ans-serif" w:hAnsi="Times New Roman;sans-serif"/>
                  <w:b w:val="false"/>
                  <w:color w:val="0000FF"/>
                  <w:sz w:val="20"/>
                  <w:u w:val="single"/>
                </w:rPr>
                <w:t>Filing Fee Table.</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Undertakings.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The Registrant hereby undertakes: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(1) To file, during any period in which offers or sales are being made, a post-effective amendment to this registration statement: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To include any prospectus required by Section 10(a)(3) of the Securities 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paragraphs (a)(1)(i) and (a)(1)(ii) of this section do not apply if the registration statement is on Form S-8,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New York, New York, on February 9, 2024.</w:t>
      </w:r>
    </w:p>
    <w:p>
      <w:pPr>
        <w:pStyle w:val="TextBody"/>
        <w:bidi w:val="0"/>
        <w:spacing w:before="0" w:after="0"/>
        <w:jc w:val="left"/>
        <w:rPr/>
      </w:pPr>
      <w:r>
        <w:rPr/>
      </w:r>
    </w:p>
    <w:tbl>
      <w:tblPr>
        <w:tblW w:w="4712"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513"/>
        <w:gridCol w:w="513"/>
        <w:gridCol w:w="513"/>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PERELLA WEINBERG PARTNERS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BEDNAR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Andrew Bednar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KNOW BY ALL PERSONS BY THESE PRESENTS, that each person whose signature appears below constitutes and appoints Andrew Bednar and Alexandra Gottschalk,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below by the following persons on behalf of the registrant and in the capacities and on the date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8"/>
        <w:gridCol w:w="1004"/>
        <w:gridCol w:w="1007"/>
        <w:gridCol w:w="109"/>
        <w:gridCol w:w="109"/>
        <w:gridCol w:w="109"/>
        <w:gridCol w:w="1625"/>
        <w:gridCol w:w="1618"/>
        <w:gridCol w:w="1640"/>
        <w:gridCol w:w="109"/>
        <w:gridCol w:w="109"/>
        <w:gridCol w:w="109"/>
        <w:gridCol w:w="435"/>
        <w:gridCol w:w="435"/>
        <w:gridCol w:w="629"/>
      </w:tblGrid>
      <w:tr>
        <w:trPr/>
        <w:tc>
          <w:tcPr>
            <w:tcW w:w="115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3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BEDNAR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r>
      <w:tr>
        <w:trPr/>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Andrew Bednar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ALEXANDRA GOTTSCHALK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r>
      <w:tr>
        <w:trPr/>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Alexandra Gottschalk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 WEINBERG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r>
      <w:tr>
        <w:trPr/>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A. Weinberg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R. PERELLA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Emeritus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r>
      <w:tr>
        <w:trPr/>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Joseph R. Perella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K. STEEL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r>
      <w:tr>
        <w:trPr/>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Robert K. Steel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DIETRICH BECKER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r>
      <w:tr>
        <w:trPr/>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Dietrich Becker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COGAN FASCITELLI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r>
      <w:tr>
        <w:trPr/>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Elizabeth Cogan Fascitelli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KRISTIN W. MUGFORD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r>
      <w:tr>
        <w:trPr/>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Kristin W. Mugford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JORMA OLLILA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r>
      <w:tr>
        <w:trPr/>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Jorma Ollila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 C. SHERBURNE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r>
      <w:tr>
        <w:trPr/>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Jane C. Sherburne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7" w:before="0" w:after="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w:t>
      </w:r>
    </w:p>
    <w:p>
      <w:pPr>
        <w:pStyle w:val="TextBody"/>
        <w:bidi w:val="0"/>
        <w:spacing w:before="0" w:after="0"/>
        <w:ind w:left="0" w:right="0" w:firstLine="128"/>
        <w:jc w:val="center"/>
        <w:rPr/>
      </w:pPr>
      <w:r>
        <w:rPr/>
      </w:r>
    </w:p>
    <w:p>
      <w:pPr>
        <w:pStyle w:val="TextBody"/>
        <w:bidi w:val="0"/>
        <w:spacing w:lineRule="auto" w:line="297" w:before="0" w:after="0"/>
        <w:ind w:left="0" w:right="0" w:firstLine="128"/>
        <w:jc w:val="center"/>
        <w:rPr>
          <w:rFonts w:ascii="Times New Roman;sans-serif" w:hAnsi="Times New Roman;sans-serif"/>
          <w:b/>
          <w:color w:val="000000"/>
          <w:sz w:val="20"/>
        </w:rPr>
      </w:pPr>
      <w:r>
        <w:rPr>
          <w:rFonts w:ascii="Times New Roman;sans-serif" w:hAnsi="Times New Roman;sans-serif"/>
          <w:b/>
          <w:color w:val="000000"/>
          <w:sz w:val="20"/>
        </w:rPr>
        <w:t>FORM S-8</w:t>
      </w:r>
    </w:p>
    <w:p>
      <w:pPr>
        <w:pStyle w:val="TextBody"/>
        <w:bidi w:val="0"/>
        <w:spacing w:lineRule="auto" w:line="297" w:before="0" w:after="0"/>
        <w:ind w:left="0" w:right="0" w:firstLine="128"/>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before="0" w:after="0"/>
        <w:ind w:left="0" w:right="0" w:firstLine="128"/>
        <w:jc w:val="center"/>
        <w:rPr/>
      </w:pPr>
      <w:r>
        <w:rPr/>
      </w:r>
    </w:p>
    <w:p>
      <w:pPr>
        <w:pStyle w:val="TextBody"/>
        <w:bidi w:val="0"/>
        <w:spacing w:lineRule="auto" w:line="297" w:before="0" w:after="0"/>
        <w:ind w:left="0" w:right="0" w:firstLine="128"/>
        <w:jc w:val="center"/>
        <w:rPr>
          <w:rFonts w:ascii="Times New Roman;sans-serif" w:hAnsi="Times New Roman;sans-serif"/>
          <w:b/>
          <w:color w:val="000000"/>
          <w:sz w:val="20"/>
        </w:rPr>
      </w:pPr>
      <w:r>
        <w:rPr>
          <w:rFonts w:ascii="Times New Roman;sans-serif" w:hAnsi="Times New Roman;sans-serif"/>
          <w:b/>
          <w:color w:val="000000"/>
          <w:sz w:val="20"/>
        </w:rPr>
        <w:t>PERELLA WEINBERG PARTNERS</w:t>
      </w:r>
    </w:p>
    <w:p>
      <w:pPr>
        <w:pStyle w:val="TextBody"/>
        <w:bidi w:val="0"/>
        <w:spacing w:lineRule="auto" w:line="297" w:before="0" w:after="0"/>
        <w:ind w:left="0" w:right="0" w:firstLine="128"/>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ind w:left="0" w:right="0" w:firstLine="127"/>
        <w:jc w:val="center"/>
        <w:rPr/>
      </w:pPr>
      <w:r>
        <w:rPr/>
      </w:r>
    </w:p>
    <w:p>
      <w:pPr>
        <w:pStyle w:val="TextBody"/>
        <w:bidi w:val="0"/>
        <w:spacing w:lineRule="auto" w:line="297" w:before="0" w:after="0"/>
        <w:ind w:left="0" w:right="0" w:firstLine="127"/>
        <w:jc w:val="center"/>
        <w:rPr/>
      </w:pPr>
      <w:r>
        <w:rPr>
          <w:rFonts w:ascii="Times New Roman;sans-serif" w:hAnsi="Times New Roman;sans-serif"/>
          <w:b/>
          <w:color w:val="000000"/>
          <w:sz w:val="20"/>
          <w:u w:val="single"/>
        </w:rPr>
        <w:t>Table I: Newl</w:t>
      </w:r>
      <w:r>
        <w:rPr>
          <w:rFonts w:ascii="Times New Roman;sans-serif" w:hAnsi="Times New Roman;sans-serif"/>
          <w:b/>
          <w:color w:val="000000"/>
          <w:sz w:val="20"/>
        </w:rPr>
        <w:t>y</w:t>
      </w:r>
      <w:r>
        <w:rPr>
          <w:color w:val="000000"/>
          <w:u w:val="single"/>
        </w:rPr>
        <w:t xml:space="preserve"> </w:t>
      </w:r>
      <w:r>
        <w:rPr>
          <w:rFonts w:ascii="Times New Roman;sans-serif" w:hAnsi="Times New Roman;sans-serif"/>
          <w:b/>
          <w:color w:val="000000"/>
          <w:sz w:val="20"/>
          <w:u w:val="single"/>
        </w:rPr>
        <w:t>Re</w:t>
      </w:r>
      <w:r>
        <w:rPr>
          <w:rFonts w:ascii="Times New Roman;sans-serif" w:hAnsi="Times New Roman;sans-serif"/>
          <w:b/>
          <w:color w:val="000000"/>
          <w:sz w:val="20"/>
        </w:rPr>
        <w:t>g</w:t>
      </w:r>
      <w:r>
        <w:rPr>
          <w:rFonts w:ascii="Times New Roman;sans-serif" w:hAnsi="Times New Roman;sans-serif"/>
          <w:b/>
          <w:color w:val="000000"/>
          <w:sz w:val="20"/>
          <w:u w:val="single"/>
        </w:rPr>
        <w:t>istered Securities</w:t>
      </w:r>
    </w:p>
    <w:p>
      <w:pPr>
        <w:pStyle w:val="TextBody"/>
        <w:bidi w:val="0"/>
        <w:spacing w:before="0" w:after="0"/>
        <w:ind w:left="0" w:right="0" w:firstLine="127"/>
        <w:jc w:val="center"/>
        <w:rPr/>
      </w:pPr>
      <w:r>
        <w:rPr/>
      </w:r>
    </w:p>
    <w:tbl>
      <w:tblPr>
        <w:tblW w:w="10205" w:type="dxa"/>
        <w:jc w:val="left"/>
        <w:tblInd w:w="0" w:type="dxa"/>
        <w:tblLayout w:type="fixed"/>
        <w:tblCellMar>
          <w:top w:w="28" w:type="dxa"/>
          <w:left w:w="28" w:type="dxa"/>
          <w:bottom w:w="28" w:type="dxa"/>
          <w:right w:w="28" w:type="dxa"/>
        </w:tblCellMar>
      </w:tblPr>
      <w:tblGrid>
        <w:gridCol w:w="309"/>
        <w:gridCol w:w="271"/>
        <w:gridCol w:w="273"/>
        <w:gridCol w:w="574"/>
        <w:gridCol w:w="509"/>
        <w:gridCol w:w="511"/>
        <w:gridCol w:w="387"/>
        <w:gridCol w:w="387"/>
        <w:gridCol w:w="388"/>
        <w:gridCol w:w="472"/>
        <w:gridCol w:w="355"/>
        <w:gridCol w:w="356"/>
        <w:gridCol w:w="429"/>
        <w:gridCol w:w="429"/>
        <w:gridCol w:w="430"/>
        <w:gridCol w:w="999"/>
        <w:gridCol w:w="421"/>
        <w:gridCol w:w="404"/>
        <w:gridCol w:w="333"/>
        <w:gridCol w:w="333"/>
        <w:gridCol w:w="311"/>
        <w:gridCol w:w="384"/>
        <w:gridCol w:w="384"/>
        <w:gridCol w:w="556"/>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8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Security Type</w:t>
            </w:r>
          </w:p>
        </w:tc>
        <w:tc>
          <w:tcPr>
            <w:tcW w:w="15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Security Class Title</w:t>
            </w:r>
          </w:p>
        </w:tc>
        <w:tc>
          <w:tcPr>
            <w:tcW w:w="11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Fee Calculation Rule</w:t>
            </w:r>
          </w:p>
        </w:tc>
        <w:tc>
          <w:tcPr>
            <w:tcW w:w="11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 Registered</w:t>
            </w:r>
          </w:p>
        </w:tc>
        <w:tc>
          <w:tcPr>
            <w:tcW w:w="12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Proposed Maximum Offering Price Per Unit</w:t>
            </w:r>
          </w:p>
        </w:tc>
        <w:tc>
          <w:tcPr>
            <w:tcW w:w="1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Maximum Aggregate Offering Price</w:t>
            </w:r>
          </w:p>
        </w:tc>
        <w:tc>
          <w:tcPr>
            <w:tcW w:w="9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Fee Rate</w:t>
            </w:r>
          </w:p>
        </w:tc>
        <w:tc>
          <w:tcPr>
            <w:tcW w:w="1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 of Registration Fee</w:t>
            </w:r>
          </w:p>
        </w:tc>
      </w:tr>
      <w:tr>
        <w:trPr/>
        <w:tc>
          <w:tcPr>
            <w:tcW w:w="8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5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 (“Class A Common Stock”)</w:t>
            </w:r>
          </w:p>
        </w:tc>
        <w:tc>
          <w:tcPr>
            <w:tcW w:w="11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457(a)</w:t>
            </w:r>
          </w:p>
        </w:tc>
        <w:tc>
          <w:tcPr>
            <w:tcW w:w="11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4"/>
              </w:rPr>
              <w:t>7,700,406</w:t>
            </w:r>
            <w:r>
              <w:rPr>
                <w:rFonts w:ascii="Times New Roman;sans-serif" w:hAnsi="Times New Roman;sans-serif"/>
                <w:b w:val="false"/>
                <w:color w:val="000000"/>
                <w:sz w:val="16"/>
              </w:rPr>
              <w:t>(1)</w:t>
            </w:r>
          </w:p>
        </w:tc>
        <w:tc>
          <w:tcPr>
            <w:tcW w:w="12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4"/>
              </w:rPr>
              <w:t>$11.69</w:t>
            </w:r>
            <w:r>
              <w:rPr>
                <w:rFonts w:ascii="Times New Roman;sans-serif" w:hAnsi="Times New Roman;sans-serif"/>
                <w:b w:val="false"/>
                <w:color w:val="000000"/>
                <w:sz w:val="16"/>
              </w:rPr>
              <w:t>(2)</w:t>
            </w:r>
          </w:p>
        </w:tc>
        <w:tc>
          <w:tcPr>
            <w:tcW w:w="1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rPr>
              <w:t>$90,017,746.10</w:t>
            </w:r>
            <w:r>
              <w:rPr>
                <w:rFonts w:ascii="Times New Roman;sans-serif" w:hAnsi="Times New Roman;sans-serif"/>
                <w:b w:val="false"/>
                <w:color w:val="000000"/>
                <w:sz w:val="16"/>
              </w:rPr>
              <w:t>(3)</w:t>
            </w:r>
          </w:p>
        </w:tc>
        <w:tc>
          <w:tcPr>
            <w:tcW w:w="9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$147.60 per million dollars</w:t>
            </w:r>
          </w:p>
        </w:tc>
        <w:tc>
          <w:tcPr>
            <w:tcW w:w="1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$13,286.62</w:t>
            </w:r>
          </w:p>
        </w:tc>
      </w:tr>
      <w:tr>
        <w:trPr/>
        <w:tc>
          <w:tcPr>
            <w:tcW w:w="4792"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Offering Amounts</w:t>
            </w:r>
          </w:p>
        </w:tc>
        <w:tc>
          <w:tcPr>
            <w:tcW w:w="128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rPr>
              <w:t>$90,017,746.10</w:t>
            </w:r>
            <w:r>
              <w:rPr>
                <w:rFonts w:ascii="Times New Roman;sans-serif" w:hAnsi="Times New Roman;sans-serif"/>
                <w:b w:val="false"/>
                <w:color w:val="000000"/>
                <w:sz w:val="16"/>
              </w:rPr>
              <w:t>(3)</w:t>
            </w:r>
          </w:p>
        </w:tc>
        <w:tc>
          <w:tcPr>
            <w:tcW w:w="9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$13,286.62</w:t>
            </w:r>
          </w:p>
        </w:tc>
      </w:tr>
      <w:tr>
        <w:trPr/>
        <w:tc>
          <w:tcPr>
            <w:tcW w:w="4792"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Fee Offsets</w:t>
            </w:r>
          </w:p>
        </w:tc>
        <w:tc>
          <w:tcPr>
            <w:tcW w:w="128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792"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Fee Due</w:t>
            </w:r>
          </w:p>
        </w:tc>
        <w:tc>
          <w:tcPr>
            <w:tcW w:w="128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$13,286.62</w:t>
            </w:r>
          </w:p>
        </w:tc>
      </w:tr>
    </w:tbl>
    <w:p>
      <w:pPr>
        <w:pStyle w:val="TextBody"/>
        <w:bidi w:val="0"/>
        <w:spacing w:before="0" w:after="0"/>
        <w:ind w:left="0" w:right="0" w:hanging="90"/>
        <w:jc w:val="both"/>
        <w:rPr/>
      </w:pPr>
      <w:r>
        <w:rPr/>
      </w:r>
    </w:p>
    <w:p>
      <w:pPr>
        <w:pStyle w:val="TextBody"/>
        <w:bidi w:val="0"/>
        <w:spacing w:lineRule="auto" w:line="297"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Pursuant to Rule 416 under the Securities Act of 1933, as amended (the “Securities Act”), this registration statement shall also cover an indeterminate number of additional shares of Class A Common Stock of Perella Weinberg Partners (the “Registrant”) that may, with respect to the shares of Class A Common Stock registered hereunder, become issuable under the Registrant’s 2021 Omnibus Incentive Plan by reason of any stock dividend, stock split, recapitalization or other similar transaction effected without the Registrant’s receipt of consideration, which results in an increase in the number of the Registrant’s outstanding shares of Class A Common Stock.</w:t>
      </w:r>
    </w:p>
    <w:p>
      <w:pPr>
        <w:pStyle w:val="TextBody"/>
        <w:bidi w:val="0"/>
        <w:spacing w:before="0" w:after="0"/>
        <w:ind w:left="0" w:right="0" w:hanging="90"/>
        <w:jc w:val="left"/>
        <w:rPr/>
      </w:pPr>
      <w:r>
        <w:rPr/>
      </w:r>
    </w:p>
    <w:p>
      <w:pPr>
        <w:pStyle w:val="TextBody"/>
        <w:bidi w:val="0"/>
        <w:spacing w:lineRule="auto" w:line="297" w:before="0" w:after="0"/>
        <w:ind w:left="0" w:right="0" w:hanging="9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Estimated solely for the purpose of calculating the registration fee pursuant to Rules 457(c) and (h) under the Securities Act, on the basis of the average of the high and low prices per share of the Class A Common Stock as reported on the Nasdaq Global Select Market on February 2, 2024.</w:t>
      </w:r>
    </w:p>
    <w:p>
      <w:pPr>
        <w:pStyle w:val="TextBody"/>
        <w:bidi w:val="0"/>
        <w:spacing w:before="0" w:after="0"/>
        <w:ind w:left="0" w:right="0" w:hanging="90"/>
        <w:jc w:val="left"/>
        <w:rPr/>
      </w:pPr>
      <w:r>
        <w:rPr/>
      </w:r>
    </w:p>
    <w:p>
      <w:pPr>
        <w:pStyle w:val="TextBody"/>
        <w:bidi w:val="0"/>
        <w:spacing w:lineRule="auto" w:line="297" w:before="0" w:after="0"/>
        <w:ind w:left="0" w:right="0" w:hanging="9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Estimated solely for the purpose of calculating the registration fee pursuant to Rule 457(o) under the Securities Act. Calculated in accordance with Section 6 of the Securities Act and Rule 457 under the Securities Act by multiplying 0.00014760 and the proposed maximum aggregate offering price.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5.1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552" w:type="dxa"/>
        <w:jc w:val="center"/>
        <w:tblInd w:w="0" w:type="dxa"/>
        <w:tblLayout w:type="fixed"/>
        <w:tblCellMar>
          <w:top w:w="28" w:type="dxa"/>
          <w:left w:w="28" w:type="dxa"/>
          <w:bottom w:w="28" w:type="dxa"/>
          <w:right w:w="28" w:type="dxa"/>
        </w:tblCellMar>
      </w:tblPr>
      <w:tblGrid>
        <w:gridCol w:w="828"/>
        <w:gridCol w:w="726"/>
        <w:gridCol w:w="726"/>
        <w:gridCol w:w="920"/>
        <w:gridCol w:w="920"/>
        <w:gridCol w:w="920"/>
        <w:gridCol w:w="726"/>
        <w:gridCol w:w="726"/>
        <w:gridCol w:w="1060"/>
      </w:tblGrid>
      <w:tr>
        <w:trPr/>
        <w:tc>
          <w:tcPr>
            <w:tcW w:w="82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7552"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28"/>
              </w:rPr>
            </w:pPr>
            <w:r>
              <w:rPr>
                <w:rFonts w:ascii="Arial;sans-serif" w:hAnsi="Arial;sans-serif"/>
                <w:b w:val="false"/>
                <w:color w:val="000000"/>
                <w:sz w:val="28"/>
              </w:rPr>
              <w:t>SKADDEN, ARPS, SLATE, MEAGHER &amp; FLOM LLP</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restart"/>
            <w:tcBorders/>
            <w:tcMar>
              <w:top w:w="0" w:type="dxa"/>
              <w:left w:w="0" w:type="dxa"/>
              <w:bottom w:w="0" w:type="dxa"/>
              <w:right w:w="0" w:type="dxa"/>
            </w:tcMar>
            <w:vAlign w:val="center"/>
          </w:tcPr>
          <w:p>
            <w:pPr>
              <w:pStyle w:val="TableContents"/>
              <w:bidi w:val="0"/>
              <w:spacing w:lineRule="auto" w:line="240" w:before="40" w:after="283"/>
              <w:jc w:val="center"/>
              <w:rPr>
                <w:rFonts w:ascii="Arial;sans-serif" w:hAnsi="Arial;sans-serif"/>
                <w:b w:val="false"/>
                <w:color w:val="000000"/>
                <w:sz w:val="22"/>
              </w:rPr>
            </w:pPr>
            <w:r>
              <w:rPr>
                <w:rFonts w:ascii="Arial;sans-serif" w:hAnsi="Arial;sans-serif"/>
                <w:b w:val="false"/>
                <w:color w:val="000000"/>
                <w:sz w:val="22"/>
              </w:rPr>
              <w:t>ONE MANHATTAN WEST</w:t>
            </w:r>
          </w:p>
          <w:p>
            <w:pPr>
              <w:pStyle w:val="TableContents"/>
              <w:bidi w:val="0"/>
              <w:spacing w:lineRule="auto" w:line="240" w:before="40" w:after="283"/>
              <w:jc w:val="center"/>
              <w:rPr>
                <w:rFonts w:ascii="Arial;sans-serif" w:hAnsi="Arial;sans-serif"/>
                <w:b w:val="false"/>
                <w:color w:val="000000"/>
                <w:sz w:val="22"/>
              </w:rPr>
            </w:pPr>
            <w:r>
              <w:rPr>
                <w:rFonts w:ascii="Arial;sans-serif" w:hAnsi="Arial;sans-serif"/>
                <w:b w:val="false"/>
                <w:color w:val="000000"/>
                <w:sz w:val="22"/>
              </w:rPr>
              <w:t>NEW YORK, NY 10001</w:t>
            </w:r>
          </w:p>
          <w:p>
            <w:pPr>
              <w:pStyle w:val="TableContents"/>
              <w:bidi w:val="0"/>
              <w:spacing w:lineRule="auto" w:line="240" w:before="0" w:after="0"/>
              <w:jc w:val="center"/>
              <w:rPr>
                <w:rFonts w:ascii="Arial;sans-serif" w:hAnsi="Arial;sans-serif"/>
                <w:b w:val="false"/>
                <w:color w:val="000000"/>
                <w:sz w:val="8"/>
              </w:rPr>
            </w:pPr>
            <w:r>
              <w:rPr>
                <w:rFonts w:ascii="Arial;sans-serif" w:hAnsi="Arial;sans-serif"/>
                <w:b w:val="false"/>
                <w:color w:val="000000"/>
                <w:sz w:val="8"/>
              </w:rPr>
              <w:t>________</w:t>
            </w:r>
          </w:p>
          <w:p>
            <w:pPr>
              <w:pStyle w:val="TableContents"/>
              <w:bidi w:val="0"/>
              <w:spacing w:before="0" w:after="0"/>
              <w:jc w:val="center"/>
              <w:rPr/>
            </w:pPr>
            <w:r>
              <w:rPr/>
            </w:r>
          </w:p>
          <w:p>
            <w:pPr>
              <w:pStyle w:val="TableContents"/>
              <w:bidi w:val="0"/>
              <w:spacing w:lineRule="auto" w:line="240" w:before="40" w:after="283"/>
              <w:jc w:val="center"/>
              <w:rPr>
                <w:rFonts w:ascii="Arial;sans-serif" w:hAnsi="Arial;sans-serif"/>
                <w:b w:val="false"/>
                <w:color w:val="000000"/>
                <w:sz w:val="18"/>
              </w:rPr>
            </w:pPr>
            <w:r>
              <w:rPr>
                <w:rFonts w:ascii="Arial;sans-serif" w:hAnsi="Arial;sans-serif"/>
                <w:b w:val="false"/>
                <w:color w:val="000000"/>
                <w:sz w:val="18"/>
              </w:rPr>
              <w:t>TEL: (212) 735-3000</w:t>
            </w:r>
          </w:p>
          <w:p>
            <w:pPr>
              <w:pStyle w:val="TableContents"/>
              <w:bidi w:val="0"/>
              <w:spacing w:lineRule="auto" w:line="240" w:before="40" w:after="283"/>
              <w:jc w:val="center"/>
              <w:rPr>
                <w:rFonts w:ascii="Arial;sans-serif" w:hAnsi="Arial;sans-serif"/>
                <w:b w:val="false"/>
                <w:color w:val="000000"/>
                <w:sz w:val="18"/>
              </w:rPr>
            </w:pPr>
            <w:r>
              <w:rPr>
                <w:rFonts w:ascii="Arial;sans-serif" w:hAnsi="Arial;sans-serif"/>
                <w:b w:val="false"/>
                <w:color w:val="000000"/>
                <w:sz w:val="18"/>
              </w:rPr>
              <w:t>FAX: (212) 735-2000</w:t>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www.skadden.com</w:t>
            </w:r>
          </w:p>
        </w:tc>
        <w:tc>
          <w:tcPr>
            <w:tcW w:w="2512"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3"/>
              </w:rPr>
            </w:pPr>
            <w:r>
              <w:rPr>
                <w:rFonts w:ascii="Arial;sans-serif" w:hAnsi="Arial;sans-serif"/>
                <w:b w:val="false"/>
                <w:color w:val="000000"/>
                <w:sz w:val="13"/>
              </w:rPr>
              <w:t>FIRM/AFFILIATE OFFICES</w:t>
            </w:r>
          </w:p>
          <w:p>
            <w:pPr>
              <w:pStyle w:val="TableContents"/>
              <w:bidi w:val="0"/>
              <w:spacing w:lineRule="auto" w:line="268" w:before="0" w:after="0"/>
              <w:jc w:val="center"/>
              <w:rPr>
                <w:rFonts w:ascii="Arial;sans-serif" w:hAnsi="Arial;sans-serif"/>
                <w:b w:val="false"/>
                <w:color w:val="000000"/>
                <w:sz w:val="10"/>
              </w:rPr>
            </w:pPr>
            <w:r>
              <w:rPr>
                <w:rFonts w:ascii="Arial;sans-serif" w:hAnsi="Arial;sans-serif"/>
                <w:b w:val="false"/>
                <w:color w:val="000000"/>
                <w:sz w:val="10"/>
              </w:rPr>
              <w:t>-----------</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BOSTON</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CHICAGO</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HOUSTON</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LOS ANGELES</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PALO ALTO</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WASHINGTON, D.C.</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WILMINGTON</w:t>
            </w:r>
          </w:p>
          <w:p>
            <w:pPr>
              <w:pStyle w:val="TableContents"/>
              <w:bidi w:val="0"/>
              <w:spacing w:lineRule="auto" w:line="268" w:before="0" w:after="0"/>
              <w:jc w:val="center"/>
              <w:rPr>
                <w:rFonts w:ascii="Arial;sans-serif" w:hAnsi="Arial;sans-serif"/>
                <w:b w:val="false"/>
                <w:color w:val="000000"/>
                <w:sz w:val="10"/>
              </w:rPr>
            </w:pPr>
            <w:r>
              <w:rPr>
                <w:rFonts w:ascii="Arial;sans-serif" w:hAnsi="Arial;sans-serif"/>
                <w:b w:val="false"/>
                <w:color w:val="000000"/>
                <w:sz w:val="10"/>
              </w:rPr>
              <w:t>-----------</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BEIJING</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BRUSSELS</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FRANKFURT</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HONG KONG</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LONDON</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MUNICH</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PARIS</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SÃO PAULO</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SEOUL</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SHANGHAI</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SINGAPORE</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TOKYO</w:t>
            </w:r>
          </w:p>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TORONTO</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c>
          <w:tcPr>
            <w:tcW w:w="25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c>
          <w:tcPr>
            <w:tcW w:w="25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c>
          <w:tcPr>
            <w:tcW w:w="25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c>
          <w:tcPr>
            <w:tcW w:w="25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February 9, 2024</w:t>
            </w:r>
          </w:p>
        </w:tc>
        <w:tc>
          <w:tcPr>
            <w:tcW w:w="25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Perella Weinberg Partners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767 Fifth Avenue</w:t>
      </w:r>
    </w:p>
    <w:p>
      <w:pPr>
        <w:pStyle w:val="TextBody"/>
        <w:bidi w:val="0"/>
        <w:spacing w:lineRule="auto" w:line="288" w:before="0" w:after="18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10153</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    Perella Weinberg Partners</w:t>
      </w:r>
    </w:p>
    <w:p>
      <w:pPr>
        <w:pStyle w:val="TextBody"/>
        <w:bidi w:val="0"/>
        <w:spacing w:lineRule="auto" w:line="288" w:before="0" w:after="180"/>
        <w:ind w:left="0" w:right="0" w:firstLine="720"/>
        <w:jc w:val="left"/>
        <w:rPr/>
      </w:pPr>
      <w:r>
        <w:rPr>
          <w:color w:val="000000"/>
        </w:rPr>
        <w:t>          </w:t>
      </w:r>
      <w:r>
        <w:rPr>
          <w:rFonts w:ascii="Times New Roman;sans-serif" w:hAnsi="Times New Roman;sans-serif"/>
          <w:b w:val="false"/>
          <w:color w:val="000000"/>
          <w:sz w:val="24"/>
          <w:u w:val="single"/>
        </w:rPr>
        <w:t>Registration Statement on Form S-8</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We have acted as special United States counsel to Perella Weinberg Partners,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in connection with the Company’s Registration Statement on Form S-8 (together with the exhibits thereto, the “Registration Statement”) to be filed on the date hereof with the Securities and Exchange Commission (the “</w:t>
      </w:r>
      <w:r>
        <w:rPr>
          <w:rFonts w:ascii="Times New Roman;sans-serif" w:hAnsi="Times New Roman;sans-serif"/>
          <w:b w:val="false"/>
          <w:color w:val="000000"/>
          <w:sz w:val="24"/>
          <w:u w:val="single"/>
        </w:rPr>
        <w:t>Commission</w:t>
      </w:r>
      <w:r>
        <w:rPr>
          <w:color w:val="000000"/>
        </w:rPr>
        <w:t>”</w:t>
      </w:r>
      <w:r>
        <w:rPr>
          <w:rFonts w:ascii="Times New Roman;sans-serif" w:hAnsi="Times New Roman;sans-serif"/>
          <w:b w:val="false"/>
          <w:color w:val="000000"/>
          <w:sz w:val="24"/>
        </w:rPr>
        <w:t>) under the Securities Act of 1933 (the “</w:t>
      </w:r>
      <w:r>
        <w:rPr>
          <w:rFonts w:ascii="Times New Roman;sans-serif" w:hAnsi="Times New Roman;sans-serif"/>
          <w:b w:val="false"/>
          <w:color w:val="000000"/>
          <w:sz w:val="24"/>
          <w:u w:val="single"/>
        </w:rPr>
        <w:t>Securities Act</w:t>
      </w:r>
      <w:r>
        <w:rPr>
          <w:color w:val="000000"/>
        </w:rPr>
        <w:t>”</w:t>
      </w:r>
      <w:r>
        <w:rPr>
          <w:rFonts w:ascii="Times New Roman;sans-serif" w:hAnsi="Times New Roman;sans-serif"/>
          <w:b w:val="false"/>
          <w:color w:val="000000"/>
          <w:sz w:val="24"/>
        </w:rPr>
        <w:t>), relating to the registration of 7,700,406 shares (the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of the Company’s Class A common stock, par value $0.0001 per share, available for future issuance under the Perella Weinberg Partners 2021 Omnibus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This opinion is being furnished in accordance with the requirements of Item 601(b)(5) of Regulation S-K of the General Rules and Regulations of the Commission promulgated under the Securities Act (the “</w:t>
      </w:r>
      <w:r>
        <w:rPr>
          <w:rFonts w:ascii="Times New Roman;sans-serif" w:hAnsi="Times New Roman;sans-serif"/>
          <w:b w:val="false"/>
          <w:color w:val="000000"/>
          <w:sz w:val="24"/>
          <w:u w:val="single"/>
        </w:rPr>
        <w:t>Rules and Regulations</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Perella Weinberg Partners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February 09, 2024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rendering the opinion stated herein, we have examined the following: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Registration Statement in the form to be filed with the Commission on the date hereof;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Plan;</w:t>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(c) an executed copy of a certificate of Alexandra Gottschalk, Chief Financial Officer, dated the date hereof (the “</w:t>
      </w:r>
      <w:r>
        <w:rPr>
          <w:rFonts w:ascii="Times New Roman;sans-serif" w:hAnsi="Times New Roman;sans-serif"/>
          <w:b w:val="false"/>
          <w:color w:val="000000"/>
          <w:sz w:val="24"/>
          <w:u w:val="single"/>
        </w:rPr>
        <w:t>Officer’s Certificate</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(d) a copy of the Company’s Amended and Restated Certificate of Incorporation (the “</w:t>
      </w:r>
      <w:r>
        <w:rPr>
          <w:rFonts w:ascii="Times New Roman;sans-serif" w:hAnsi="Times New Roman;sans-serif"/>
          <w:b w:val="false"/>
          <w:color w:val="000000"/>
          <w:sz w:val="24"/>
          <w:u w:val="single"/>
        </w:rPr>
        <w:t>Amended and Restated Certificate of Incorporation</w:t>
      </w:r>
      <w:r>
        <w:rPr>
          <w:color w:val="000000"/>
        </w:rPr>
        <w:t>”</w:t>
      </w:r>
      <w:r>
        <w:rPr>
          <w:rFonts w:ascii="Times New Roman;sans-serif" w:hAnsi="Times New Roman;sans-serif"/>
          <w:b w:val="false"/>
          <w:color w:val="000000"/>
          <w:sz w:val="24"/>
        </w:rPr>
        <w:t>), as in effect as of December 28, 2020, certified by the Secretary of State of the State of Delaware as of February 9, 2024, and certified pursuant to the Officer’s Certificate;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(e) a copy of the Company’s Restated Certificate of Incorporation (the “</w:t>
      </w:r>
      <w:r>
        <w:rPr>
          <w:rFonts w:ascii="Times New Roman;sans-serif" w:hAnsi="Times New Roman;sans-serif"/>
          <w:b w:val="false"/>
          <w:color w:val="000000"/>
          <w:sz w:val="24"/>
          <w:u w:val="single"/>
        </w:rPr>
        <w:t>Restated Certificate of Incorporation</w:t>
      </w:r>
      <w:r>
        <w:rPr>
          <w:color w:val="000000"/>
        </w:rPr>
        <w:t>”</w:t>
      </w:r>
      <w:r>
        <w:rPr>
          <w:rFonts w:ascii="Times New Roman;sans-serif" w:hAnsi="Times New Roman;sans-serif"/>
          <w:b w:val="false"/>
          <w:color w:val="000000"/>
          <w:sz w:val="24"/>
        </w:rPr>
        <w:t xml:space="preserve">), as currently in effect, certified by the Secretary of State of the State of Delaware as of February 9, 2024, and certified pursuant to the Officer’s Certificate;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(f) copies of the Company’s Bylaws (the “</w:t>
      </w:r>
      <w:r>
        <w:rPr>
          <w:rFonts w:ascii="Times New Roman;sans-serif" w:hAnsi="Times New Roman;sans-serif"/>
          <w:b w:val="false"/>
          <w:color w:val="000000"/>
          <w:sz w:val="24"/>
          <w:u w:val="single"/>
        </w:rPr>
        <w:t>Bylaws</w:t>
      </w:r>
      <w:r>
        <w:rPr>
          <w:color w:val="000000"/>
        </w:rPr>
        <w:t>”</w:t>
      </w:r>
      <w:r>
        <w:rPr>
          <w:rFonts w:ascii="Times New Roman;sans-serif" w:hAnsi="Times New Roman;sans-serif"/>
          <w:b w:val="false"/>
          <w:color w:val="000000"/>
          <w:sz w:val="24"/>
        </w:rPr>
        <w:t>), as amended and in effect as of December 28, 2020, and certified pursuant to the Officer’s Certificate;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(g) copies of the Company’s Amended and Restated Bylaws (the “</w:t>
      </w:r>
      <w:r>
        <w:rPr>
          <w:rFonts w:ascii="Times New Roman;sans-serif" w:hAnsi="Times New Roman;sans-serif"/>
          <w:b w:val="false"/>
          <w:color w:val="000000"/>
          <w:sz w:val="24"/>
          <w:u w:val="single"/>
        </w:rPr>
        <w:t>Amended and Restated Bylaws</w:t>
      </w:r>
      <w:r>
        <w:rPr>
          <w:color w:val="000000"/>
        </w:rPr>
        <w:t>”</w:t>
      </w:r>
      <w:r>
        <w:rPr>
          <w:rFonts w:ascii="Times New Roman;sans-serif" w:hAnsi="Times New Roman;sans-serif"/>
          <w:b w:val="false"/>
          <w:color w:val="000000"/>
          <w:sz w:val="24"/>
        </w:rPr>
        <w:t>), as amended and in effect as of the date hereof, and certified pursuant to the Officer’s Certificate; 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copies of certain resolutions of the Board of Directors of the Company relating to the approval of the Plan and certain related matters and certified pursuant to the Officer’s Certificate.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including the facts and conclusions set forth in the Officer’s Certificate.</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Perella Weinberg Partners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February 09, 2024</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Officer’s Certificate.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rendering the opinion set forth below, we have also assumed that (i) the Shares will be issued in book-entry form and an appropriate account statement evidencing the Shares credited to a recipient’s account maintained with the Company’s transfer agent and registrar will be issued by the Company’s transfer agent and registrar, (ii) each award agreement under which options, stock appreciation rights, restricted stock, restricted stock units, stock bonuses, other stock-based awards and certain other awards are granted pursuant to the Plan will be consistent with the Plan and will be duly authorized, executed and delivered by the parties thereto, and (iii) the issuance of the Shares does not violate or conflict with any agreement or instrument binding on the Company (except that we do not and will not make this assumption with respect to the Restated Certificate of Incorporation and the Amended and Restated Bylaws).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We do not express any opinion with respect to the laws of any jurisdiction other than the General Corporation Law of the State of Delaware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Based upon the foregoing and subject to the qualifications and assumptions stated herein, we are of the opinion that the Shares have been duly authorized by all requisite corporate action on the part of the Company under the DGCL and, when the Shares are issued to the Plan participants in accordance with the terms and conditions of the Plan and the applicable award agreement for consideration in an amount at least equal to the par value of such Shares, the Shares will be validly issued, fully paid and nonassessable.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hereby consent to the filing of this opinion with the Commission as an exhibit to the Registration Statement. In giving this consent, we do not thereby admit that we are included 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jc w:val="left"/>
        <w:rPr/>
      </w:pPr>
      <w:r>
        <w:rPr/>
      </w:r>
    </w:p>
    <w:p>
      <w:pPr>
        <w:pStyle w:val="TextBody"/>
        <w:bidi w:val="0"/>
        <w:spacing w:lineRule="auto" w:line="268" w:before="0" w:after="0"/>
        <w:ind w:left="0" w:right="0" w:firstLine="720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0"/>
        <w:ind w:left="0" w:right="0" w:firstLine="7200"/>
        <w:jc w:val="both"/>
        <w:rPr/>
      </w:pPr>
      <w:r>
        <w:rPr/>
      </w:r>
    </w:p>
    <w:p>
      <w:pPr>
        <w:pStyle w:val="TextBody"/>
        <w:bidi w:val="0"/>
        <w:spacing w:lineRule="auto" w:line="268"/>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/s/ Skadden, Arps, Slate, Meagher &amp; Flom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48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39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Registration Statement on Form S-8 pertaining to the Perella Weinberg Partners 2021 Omnibus Incentive Plan of our report dated February 28, 2023, with respect to the consolidated financial statements of Perella Weinberg Partners included in its Annual Report (Form 10-K) for the year ended December 31, 2022, filed with the Securities and Exchange Commission. </w:t>
      </w:r>
    </w:p>
    <w:p>
      <w:pPr>
        <w:pStyle w:val="TextBody"/>
        <w:bidi w:val="0"/>
        <w:spacing w:before="0" w:after="0"/>
        <w:jc w:val="left"/>
        <w:rPr/>
      </w:pPr>
      <w:r>
        <w:rPr/>
      </w:r>
    </w:p>
    <w:tbl>
      <w:tblPr>
        <w:tblW w:w="3823" w:type="dxa"/>
        <w:jc w:val="left"/>
        <w:tblInd w:w="0" w:type="dxa"/>
        <w:tblLayout w:type="fixed"/>
        <w:tblCellMar>
          <w:top w:w="28" w:type="dxa"/>
          <w:left w:w="28" w:type="dxa"/>
          <w:bottom w:w="28" w:type="dxa"/>
          <w:right w:w="28" w:type="dxa"/>
        </w:tblCellMar>
      </w:tblPr>
      <w:tblGrid>
        <w:gridCol w:w="663"/>
        <w:gridCol w:w="580"/>
        <w:gridCol w:w="586"/>
        <w:gridCol w:w="584"/>
        <w:gridCol w:w="584"/>
        <w:gridCol w:w="826"/>
      </w:tblGrid>
      <w:tr>
        <w:trPr/>
        <w:tc>
          <w:tcPr>
            <w:tcW w:w="6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9, 2024</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7835/000177783523000030/pwp-20221231.htm" TargetMode="External"/><Relationship Id="rId3" Type="http://schemas.openxmlformats.org/officeDocument/2006/relationships/hyperlink" Target="https://www.sec.gov/Archives/edgar/data/1777835/000177783523000095/pwp-20230331.htm" TargetMode="External"/><Relationship Id="rId4" Type="http://schemas.openxmlformats.org/officeDocument/2006/relationships/hyperlink" Target="https://www.sec.gov/Archives/edgar/data/1777835/000177783523000116/pwp-20230630.htm" TargetMode="External"/><Relationship Id="rId5" Type="http://schemas.openxmlformats.org/officeDocument/2006/relationships/hyperlink" Target="https://www.sec.gov/Archives/edgar/data/1777835/000177783523000132/pwp-20230930.htm" TargetMode="External"/><Relationship Id="rId6" Type="http://schemas.openxmlformats.org/officeDocument/2006/relationships/hyperlink" Target="https://www.sec.gov/Archives/edgar/data/1777835/000177783523000043/pwp-20230301.htm" TargetMode="External"/><Relationship Id="rId7" Type="http://schemas.openxmlformats.org/officeDocument/2006/relationships/hyperlink" Target="https://www.sec.gov/Archives/edgar/data/1777835/000177783523000048/pwp-20230306.htm" TargetMode="External"/><Relationship Id="rId8" Type="http://schemas.openxmlformats.org/officeDocument/2006/relationships/hyperlink" Target="https://www.sec.gov/Archives/edgar/data/1777835/000177783523000048/pwp-20230306.htm" TargetMode="External"/><Relationship Id="rId9" Type="http://schemas.openxmlformats.org/officeDocument/2006/relationships/hyperlink" Target="https://www.sec.gov/Archives/edgar/data/1777835/000177783523000048/pwp-20230306.htm" TargetMode="External"/><Relationship Id="rId10" Type="http://schemas.openxmlformats.org/officeDocument/2006/relationships/hyperlink" Target="https://www.sec.gov/Archives/edgar/data/1777835/000177783523000081/pwp-20230411.htm" TargetMode="External"/><Relationship Id="rId11" Type="http://schemas.openxmlformats.org/officeDocument/2006/relationships/hyperlink" Target="https://www.sec.gov/Archives/edgar/data/1777835/000177783523000098/pwp-20230524.htm" TargetMode="External"/><Relationship Id="rId12" Type="http://schemas.openxmlformats.org/officeDocument/2006/relationships/hyperlink" Target="https://www.sec.gov/Archives/edgar/data/1777835/000177783523000124/pwp-20230905.htm" TargetMode="External"/><Relationship Id="rId13" Type="http://schemas.openxmlformats.org/officeDocument/2006/relationships/hyperlink" Target="https://www.sec.gov/Archives/edgar/data/1777835/000177783523000138/pwp-20231201.htm" TargetMode="External"/><Relationship Id="rId14" Type="http://schemas.openxmlformats.org/officeDocument/2006/relationships/hyperlink" Target="https://www.sec.gov/Archives/edgar/data/1777835/000177783524000003/pwp-20231231.htm" TargetMode="External"/><Relationship Id="rId15" Type="http://schemas.openxmlformats.org/officeDocument/2006/relationships/hyperlink" Target="https://www.sec.gov/Archives/edgar/data/1777835/000177783523000030/pwp-20221231xexx44.htm" TargetMode="External"/><Relationship Id="rId16" Type="http://schemas.openxmlformats.org/officeDocument/2006/relationships/hyperlink" Target="https://www.sec.gov/Archives/edgar/data/1777835/000162828022000893/exhibit31-sx1a1.htm" TargetMode="External"/><Relationship Id="rId17" Type="http://schemas.openxmlformats.org/officeDocument/2006/relationships/hyperlink" Target="https://www.sec.gov/Archives/edgar/data/1777835/000119312521204696/d119701dex32.htm" TargetMode="External"/><Relationship Id="rId18" Type="http://schemas.openxmlformats.org/officeDocument/2006/relationships/hyperlink" Target="https://www.sec.gov/Archives/edgar/data/1777835/000119312521204696/d119701dex106.htm" TargetMode="External"/><Relationship Id="rId19" Type="http://schemas.openxmlformats.org/officeDocument/2006/relationships/hyperlink" Target="https://www.sec.gov/Archives/edgar/data/1777835/000119312521204696/d119701dex107.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3770</Words>
  <Characters>20304</Characters>
  <CharactersWithSpaces>23920</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