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333-257924</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120015</wp:posOffset>
            </wp:positionV>
            <wp:extent cx="17145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Perella Weinberg Partners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64,738,934 Shares of Class A Common Stock</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203,333 Warrants to Purchase Class A Common Stock</w:t>
      </w:r>
    </w:p>
    <w:p>
      <w:pPr>
        <w:spacing w:after="0" w:line="149"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This prospectus relates to: (1) the issuance by us of up to 7,869,975 shares of our Class A common stock, par value $0.0001 per share (“Class A common stock”)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“Selling Holders”), or their permitted transferees, of (i) up to 64,738,934 shares of Class A common stock and (ii) up to 203,333 Warrants (as defined below).</w:t>
      </w:r>
    </w:p>
    <w:p>
      <w:pPr>
        <w:spacing w:after="0" w:line="120" w:lineRule="exact"/>
        <w:rPr>
          <w:sz w:val="24"/>
          <w:szCs w:val="24"/>
          <w:color w:val="auto"/>
        </w:rPr>
      </w:pPr>
    </w:p>
    <w:p>
      <w:pPr>
        <w:ind w:right="20"/>
        <w:spacing w:after="0" w:line="231"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1" w:lineRule="exact"/>
        <w:rPr>
          <w:sz w:val="24"/>
          <w:szCs w:val="24"/>
          <w:color w:val="auto"/>
        </w:rPr>
      </w:pPr>
    </w:p>
    <w:p>
      <w:pPr>
        <w:ind w:right="100"/>
        <w:spacing w:after="0" w:line="231" w:lineRule="auto"/>
        <w:rPr>
          <w:sz w:val="20"/>
          <w:szCs w:val="20"/>
          <w:color w:val="auto"/>
        </w:rPr>
      </w:pPr>
      <w:r>
        <w:rPr>
          <w:rFonts w:ascii="Arial" w:cs="Arial" w:eastAsia="Arial" w:hAnsi="Arial"/>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21" w:lineRule="exact"/>
        <w:rPr>
          <w:sz w:val="24"/>
          <w:szCs w:val="24"/>
          <w:color w:val="auto"/>
        </w:rPr>
      </w:pPr>
    </w:p>
    <w:p>
      <w:pPr>
        <w:jc w:val="both"/>
        <w:ind w:right="180"/>
        <w:spacing w:after="0" w:line="235"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“Plan of Distribution.”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144"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Our Class A common stock and Warrants are traded on the Nasdaq Global Select Market (the “Nasdaq”) under the symbols “PWP” and “PWPPW,” respectively. On March 21, 2022, the closing price of our Class A common stock on the Nasdaq was $9.20 per share and the closing price of our Warrants on the Nasdaq was $2.03 per Warrant.</w:t>
      </w:r>
    </w:p>
    <w:p>
      <w:pPr>
        <w:spacing w:after="0" w:line="121"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Investing in our securities involves risks.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30 and in any applicable prospectus supplement.</w:t>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Neither the SEC nor any state securities commission has approved or disapproved of the securities or determined if this prospectus is truthful or complete.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Any representation to the contrary is a criminal offense.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March 22, 2022.</w:t>
      </w:r>
    </w:p>
    <w:p>
      <w:pPr>
        <w:sectPr>
          <w:pgSz w:w="11900" w:h="16838" w:orient="portrait"/>
          <w:cols w:equalWidth="0" w:num="1">
            <w:col w:w="11240"/>
          </w:cols>
          <w:pgMar w:left="320" w:top="1363"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2">
              <w:r>
                <w:rPr>
                  <w:rFonts w:ascii="Arial" w:cs="Arial" w:eastAsia="Arial" w:hAnsi="Arial"/>
                  <w:sz w:val="18"/>
                  <w:szCs w:val="18"/>
                  <w:color w:val="0000FF"/>
                  <w:w w:val="93"/>
                </w:rPr>
                <w:t>ABOUT THIS PROSPECTUS</w:t>
              </w:r>
            </w:hyperlink>
          </w:p>
        </w:tc>
        <w:tc>
          <w:tcPr>
            <w:tcW w:w="7580" w:type="dxa"/>
            <w:vAlign w:val="bottom"/>
            <w:gridSpan w:val="17"/>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0000FF"/>
            </w:tcBorders>
            <w:gridSpan w:val="2"/>
          </w:tcPr>
          <w:p>
            <w:pPr>
              <w:jc w:val="center"/>
              <w:ind w:right="20"/>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ii</w:t>
              </w:r>
            </w:hyperlink>
          </w:p>
        </w:tc>
        <w:tc>
          <w:tcPr>
            <w:tcW w:w="80" w:type="dxa"/>
            <w:vAlign w:val="bottom"/>
            <w:gridSpan w:val="2"/>
          </w:tcPr>
          <w:p>
            <w:pPr>
              <w:spacing w:after="0"/>
              <w:rPr>
                <w:sz w:val="24"/>
                <w:szCs w:val="24"/>
                <w:color w:val="auto"/>
              </w:rPr>
            </w:pPr>
          </w:p>
        </w:tc>
      </w:tr>
      <w:tr>
        <w:trPr>
          <w:trHeight w:val="209"/>
        </w:trPr>
        <w:tc>
          <w:tcPr>
            <w:tcW w:w="982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MARKET, RANKING AND OTHER INDUSTRY DATA</w:t>
              </w:r>
            </w:hyperlink>
          </w:p>
        </w:tc>
        <w:tc>
          <w:tcPr>
            <w:tcW w:w="1000" w:type="dxa"/>
            <w:vAlign w:val="bottom"/>
          </w:tcPr>
          <w:p>
            <w:pPr>
              <w:spacing w:after="0"/>
              <w:rPr>
                <w:sz w:val="18"/>
                <w:szCs w:val="18"/>
                <w:color w:val="auto"/>
              </w:rPr>
            </w:pPr>
          </w:p>
        </w:tc>
        <w:tc>
          <w:tcPr>
            <w:tcW w:w="180" w:type="dxa"/>
            <w:vAlign w:val="bottom"/>
            <w:gridSpan w:val="4"/>
          </w:tcPr>
          <w:p>
            <w:pPr>
              <w:jc w:val="center"/>
              <w:ind w:right="80"/>
              <w:spacing w:after="0"/>
              <w:rPr>
                <w:rFonts w:ascii="Arial" w:cs="Arial" w:eastAsia="Arial" w:hAnsi="Arial"/>
                <w:sz w:val="18"/>
                <w:szCs w:val="18"/>
                <w:color w:val="0000FF"/>
                <w:w w:val="76"/>
              </w:rPr>
            </w:pPr>
            <w:hyperlink w:anchor="page4">
              <w:r>
                <w:rPr>
                  <w:rFonts w:ascii="Arial" w:cs="Arial" w:eastAsia="Arial" w:hAnsi="Arial"/>
                  <w:sz w:val="18"/>
                  <w:szCs w:val="18"/>
                  <w:color w:val="0000FF"/>
                  <w:w w:val="76"/>
                </w:rPr>
                <w:t>iv</w:t>
              </w:r>
            </w:hyperlink>
          </w:p>
        </w:tc>
      </w:tr>
      <w:tr>
        <w:trPr>
          <w:trHeight w:val="209"/>
        </w:trPr>
        <w:tc>
          <w:tcPr>
            <w:tcW w:w="4200" w:type="dxa"/>
            <w:vAlign w:val="bottom"/>
            <w:tcBorders>
              <w:top w:val="single" w:sz="8" w:color="0000FF"/>
            </w:tcBorders>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NON-GAAP FINANCIAL MEASURES</w:t>
              </w:r>
            </w:hyperlink>
          </w:p>
        </w:tc>
        <w:tc>
          <w:tcPr>
            <w:tcW w:w="5620" w:type="dxa"/>
            <w:vAlign w:val="bottom"/>
            <w:gridSpan w:val="10"/>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top w:val="single" w:sz="8" w:color="0000FF"/>
            </w:tcBorders>
            <w:gridSpan w:val="2"/>
          </w:tcPr>
          <w:p>
            <w:pPr>
              <w:jc w:val="center"/>
              <w:ind w:right="20"/>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v</w:t>
              </w:r>
            </w:hyperlink>
          </w:p>
        </w:tc>
        <w:tc>
          <w:tcPr>
            <w:tcW w:w="80" w:type="dxa"/>
            <w:vAlign w:val="bottom"/>
            <w:gridSpan w:val="2"/>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20" w:type="dxa"/>
            <w:vAlign w:val="bottom"/>
            <w:gridSpan w:val="18"/>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TRADEMARKS, SERVICE MARKS AND TRADE NAMES</w:t>
              </w:r>
            </w:hyperlink>
          </w:p>
        </w:tc>
        <w:tc>
          <w:tcPr>
            <w:tcW w:w="5300" w:type="dxa"/>
            <w:vAlign w:val="bottom"/>
            <w:gridSpan w:val="9"/>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gridSpan w:val="4"/>
          </w:tcPr>
          <w:p>
            <w:pPr>
              <w:jc w:val="center"/>
              <w:ind w:right="10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80" w:type="dxa"/>
            <w:vAlign w:val="bottom"/>
            <w:gridSpan w:val="8"/>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SELECTED DEFINITIONS</w:t>
              </w:r>
            </w:hyperlink>
          </w:p>
        </w:tc>
        <w:tc>
          <w:tcPr>
            <w:tcW w:w="2440" w:type="dxa"/>
            <w:vAlign w:val="bottom"/>
            <w:gridSpan w:val="10"/>
          </w:tcPr>
          <w:p>
            <w:pPr>
              <w:spacing w:after="0"/>
              <w:rPr>
                <w:sz w:val="18"/>
                <w:szCs w:val="18"/>
                <w:color w:val="auto"/>
              </w:rPr>
            </w:pPr>
          </w:p>
        </w:tc>
        <w:tc>
          <w:tcPr>
            <w:tcW w:w="5300" w:type="dxa"/>
            <w:vAlign w:val="bottom"/>
            <w:gridSpan w:val="9"/>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gridSpan w:val="4"/>
          </w:tcPr>
          <w:p>
            <w:pPr>
              <w:jc w:val="center"/>
              <w:ind w:right="10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820" w:type="dxa"/>
            <w:vAlign w:val="bottom"/>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CAUTIONARY STATEMENT REGARDING FORWARD-LOOKING STATEMENTS</w:t>
              </w:r>
            </w:hyperlink>
          </w:p>
        </w:tc>
        <w:tc>
          <w:tcPr>
            <w:tcW w:w="1000" w:type="dxa"/>
            <w:vAlign w:val="bottom"/>
          </w:tcPr>
          <w:p>
            <w:pPr>
              <w:spacing w:after="0"/>
              <w:rPr>
                <w:sz w:val="18"/>
                <w:szCs w:val="18"/>
                <w:color w:val="auto"/>
              </w:rPr>
            </w:pPr>
          </w:p>
        </w:tc>
        <w:tc>
          <w:tcPr>
            <w:tcW w:w="180" w:type="dxa"/>
            <w:vAlign w:val="bottom"/>
            <w:gridSpan w:val="4"/>
          </w:tcPr>
          <w:p>
            <w:pPr>
              <w:jc w:val="center"/>
              <w:ind w:right="20"/>
              <w:spacing w:after="0"/>
              <w:rPr>
                <w:rFonts w:ascii="Arial" w:cs="Arial" w:eastAsia="Arial" w:hAnsi="Arial"/>
                <w:sz w:val="18"/>
                <w:szCs w:val="18"/>
                <w:color w:val="0000FF"/>
                <w:w w:val="75"/>
              </w:rPr>
            </w:pPr>
            <w:hyperlink w:anchor="page8">
              <w:r>
                <w:rPr>
                  <w:rFonts w:ascii="Arial" w:cs="Arial" w:eastAsia="Arial" w:hAnsi="Arial"/>
                  <w:sz w:val="18"/>
                  <w:szCs w:val="18"/>
                  <w:color w:val="0000FF"/>
                  <w:w w:val="75"/>
                </w:rPr>
                <w:t>viii</w:t>
              </w:r>
            </w:hyperlink>
          </w:p>
        </w:tc>
      </w:tr>
      <w:tr>
        <w:trPr>
          <w:trHeight w:val="210"/>
        </w:trPr>
        <w:tc>
          <w:tcPr>
            <w:tcW w:w="2080" w:type="dxa"/>
            <w:vAlign w:val="bottom"/>
            <w:tcBorders>
              <w:top w:val="single" w:sz="8" w:color="0000FF"/>
            </w:tcBorders>
            <w:gridSpan w:val="8"/>
          </w:tcPr>
          <w:p>
            <w:pPr>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PROSPECTUS SUMMARY</w:t>
              </w:r>
            </w:hyperlink>
          </w:p>
        </w:tc>
        <w:tc>
          <w:tcPr>
            <w:tcW w:w="4260" w:type="dxa"/>
            <w:vAlign w:val="bottom"/>
            <w:tcBorders>
              <w:top w:val="single" w:sz="8" w:color="0000FF"/>
            </w:tcBorders>
            <w:gridSpan w:val="15"/>
          </w:tcPr>
          <w:p>
            <w:pPr>
              <w:spacing w:after="0"/>
              <w:rPr>
                <w:sz w:val="18"/>
                <w:szCs w:val="18"/>
                <w:color w:val="auto"/>
              </w:rPr>
            </w:pPr>
          </w:p>
        </w:tc>
        <w:tc>
          <w:tcPr>
            <w:tcW w:w="3480" w:type="dxa"/>
            <w:vAlign w:val="bottom"/>
            <w:gridSpan w:val="4"/>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w:t>
              </w:r>
            </w:hyperlink>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80" w:type="dxa"/>
            <w:vAlign w:val="bottom"/>
            <w:gridSpan w:val="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THE OFFERING</w:t>
              </w:r>
            </w:hyperlink>
          </w:p>
        </w:tc>
        <w:tc>
          <w:tcPr>
            <w:tcW w:w="7740" w:type="dxa"/>
            <w:vAlign w:val="bottom"/>
            <w:gridSpan w:val="19"/>
          </w:tcPr>
          <w:p>
            <w:pPr>
              <w:spacing w:after="0"/>
              <w:rPr>
                <w:sz w:val="18"/>
                <w:szCs w:val="18"/>
                <w:color w:val="auto"/>
              </w:rPr>
            </w:pPr>
          </w:p>
        </w:tc>
        <w:tc>
          <w:tcPr>
            <w:tcW w:w="1120" w:type="dxa"/>
            <w:vAlign w:val="bottom"/>
            <w:gridSpan w:val="4"/>
          </w:tcPr>
          <w:p>
            <w:pPr>
              <w:jc w:val="center"/>
              <w:ind w:left="85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18</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20" w:type="dxa"/>
            <w:vAlign w:val="bottom"/>
            <w:gridSpan w:val="21"/>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SUMMARY HISTORICAL FINANCIAL AND OTHER INFORMATION</w:t>
              </w:r>
            </w:hyperlink>
          </w:p>
        </w:tc>
        <w:tc>
          <w:tcPr>
            <w:tcW w:w="4400" w:type="dxa"/>
            <w:vAlign w:val="bottom"/>
            <w:gridSpan w:val="6"/>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30">
              <w:r>
                <w:rPr>
                  <w:rFonts w:ascii="Arial" w:cs="Arial" w:eastAsia="Arial" w:hAnsi="Arial"/>
                  <w:sz w:val="15"/>
                  <w:szCs w:val="15"/>
                  <w:color w:val="0000FF"/>
                  <w:w w:val="71"/>
                </w:rPr>
                <w:t>21</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820" w:type="dxa"/>
            <w:vAlign w:val="bottom"/>
            <w:gridSpan w:val="2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SUMMARY UNAUDITED PRO FORMA CONDENSED COMBINED FINANCIAL INFORMATION</w:t>
              </w:r>
            </w:hyperlink>
          </w:p>
        </w:tc>
        <w:tc>
          <w:tcPr>
            <w:tcW w:w="1120" w:type="dxa"/>
            <w:vAlign w:val="bottom"/>
            <w:gridSpan w:val="4"/>
          </w:tcPr>
          <w:p>
            <w:pPr>
              <w:jc w:val="center"/>
              <w:ind w:left="85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28</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540" w:type="dxa"/>
            <w:vAlign w:val="bottom"/>
            <w:gridSpan w:val="2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COMPARATIVE PER SHARE INFORMATION</w:t>
              </w:r>
            </w:hyperlink>
          </w:p>
        </w:tc>
        <w:tc>
          <w:tcPr>
            <w:tcW w:w="22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29</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RISK FACTORS</w:t>
              </w:r>
            </w:hyperlink>
          </w:p>
        </w:tc>
        <w:tc>
          <w:tcPr>
            <w:tcW w:w="2300" w:type="dxa"/>
            <w:vAlign w:val="bottom"/>
            <w:gridSpan w:val="12"/>
          </w:tcPr>
          <w:p>
            <w:pPr>
              <w:spacing w:after="0"/>
              <w:rPr>
                <w:sz w:val="18"/>
                <w:szCs w:val="18"/>
                <w:color w:val="auto"/>
              </w:rPr>
            </w:pPr>
          </w:p>
        </w:tc>
        <w:tc>
          <w:tcPr>
            <w:tcW w:w="6260" w:type="dxa"/>
            <w:vAlign w:val="bottom"/>
            <w:gridSpan w:val="1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30</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rFonts w:ascii="Arial" w:cs="Arial" w:eastAsia="Arial" w:hAnsi="Arial"/>
                <w:sz w:val="18"/>
                <w:szCs w:val="18"/>
                <w:color w:val="0000FF"/>
                <w:w w:val="88"/>
              </w:rPr>
            </w:pPr>
            <w:hyperlink w:anchor="page72">
              <w:r>
                <w:rPr>
                  <w:rFonts w:ascii="Arial" w:cs="Arial" w:eastAsia="Arial" w:hAnsi="Arial"/>
                  <w:sz w:val="18"/>
                  <w:szCs w:val="18"/>
                  <w:color w:val="0000FF"/>
                  <w:w w:val="88"/>
                </w:rPr>
                <w:t>USE OF PROCEEDS</w:t>
              </w:r>
            </w:hyperlink>
          </w:p>
        </w:tc>
        <w:tc>
          <w:tcPr>
            <w:tcW w:w="8240" w:type="dxa"/>
            <w:vAlign w:val="bottom"/>
            <w:gridSpan w:val="21"/>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72">
              <w:r>
                <w:rPr>
                  <w:rFonts w:ascii="Arial" w:cs="Arial" w:eastAsia="Arial" w:hAnsi="Arial"/>
                  <w:sz w:val="15"/>
                  <w:szCs w:val="15"/>
                  <w:color w:val="0000FF"/>
                  <w:w w:val="71"/>
                </w:rPr>
                <w:t>63</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580" w:type="dxa"/>
            <w:vAlign w:val="bottom"/>
            <w:gridSpan w:val="6"/>
          </w:tcPr>
          <w:p>
            <w:pPr>
              <w:spacing w:after="0"/>
              <w:rPr>
                <w:rFonts w:ascii="Arial" w:cs="Arial" w:eastAsia="Arial" w:hAnsi="Arial"/>
                <w:sz w:val="18"/>
                <w:szCs w:val="18"/>
                <w:color w:val="0000FF"/>
                <w:w w:val="98"/>
              </w:rPr>
            </w:pPr>
            <w:hyperlink w:anchor="page73">
              <w:r>
                <w:rPr>
                  <w:rFonts w:ascii="Arial" w:cs="Arial" w:eastAsia="Arial" w:hAnsi="Arial"/>
                  <w:sz w:val="18"/>
                  <w:szCs w:val="18"/>
                  <w:color w:val="0000FF"/>
                  <w:w w:val="98"/>
                </w:rPr>
                <w:t>DIVIDEND POLICY</w:t>
              </w:r>
            </w:hyperlink>
          </w:p>
        </w:tc>
        <w:tc>
          <w:tcPr>
            <w:tcW w:w="8240" w:type="dxa"/>
            <w:vAlign w:val="bottom"/>
            <w:gridSpan w:val="21"/>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64</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820" w:type="dxa"/>
            <w:vAlign w:val="bottom"/>
            <w:gridSpan w:val="2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UNAUDITED PRO FORMA CONDENSED COMBINED FINANCIAL INFORMATION</w:t>
              </w:r>
            </w:hyperlink>
          </w:p>
        </w:tc>
        <w:tc>
          <w:tcPr>
            <w:tcW w:w="1120" w:type="dxa"/>
            <w:vAlign w:val="bottom"/>
            <w:gridSpan w:val="4"/>
          </w:tcPr>
          <w:p>
            <w:pPr>
              <w:jc w:val="center"/>
              <w:ind w:left="85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65</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580" w:type="dxa"/>
            <w:vAlign w:val="bottom"/>
            <w:gridSpan w:val="2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COMPARATIVE PER SHARE INFORMATION</w:t>
              </w:r>
            </w:hyperlink>
          </w:p>
        </w:tc>
        <w:tc>
          <w:tcPr>
            <w:tcW w:w="324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83">
              <w:r>
                <w:rPr>
                  <w:rFonts w:ascii="Arial" w:cs="Arial" w:eastAsia="Arial" w:hAnsi="Arial"/>
                  <w:sz w:val="15"/>
                  <w:szCs w:val="15"/>
                  <w:color w:val="0000FF"/>
                  <w:w w:val="71"/>
                </w:rPr>
                <w:t>74</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gridSpan w:val="15"/>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BUSINESS COMBINATION</w:t>
              </w:r>
            </w:hyperlink>
          </w:p>
        </w:tc>
        <w:tc>
          <w:tcPr>
            <w:tcW w:w="6260" w:type="dxa"/>
            <w:vAlign w:val="bottom"/>
            <w:gridSpan w:val="1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84">
              <w:r>
                <w:rPr>
                  <w:rFonts w:ascii="Arial" w:cs="Arial" w:eastAsia="Arial" w:hAnsi="Arial"/>
                  <w:sz w:val="15"/>
                  <w:szCs w:val="15"/>
                  <w:color w:val="0000FF"/>
                  <w:w w:val="71"/>
                </w:rPr>
                <w:t>75</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rFonts w:ascii="Arial" w:cs="Arial" w:eastAsia="Arial" w:hAnsi="Arial"/>
                <w:sz w:val="18"/>
                <w:szCs w:val="18"/>
                <w:color w:val="0000FF"/>
                <w:w w:val="92"/>
              </w:rPr>
            </w:pPr>
            <w:hyperlink w:anchor="page95">
              <w:r>
                <w:rPr>
                  <w:rFonts w:ascii="Arial" w:cs="Arial" w:eastAsia="Arial" w:hAnsi="Arial"/>
                  <w:sz w:val="18"/>
                  <w:szCs w:val="18"/>
                  <w:color w:val="0000FF"/>
                  <w:w w:val="92"/>
                </w:rPr>
                <w:t>BUSINESS</w:t>
              </w:r>
            </w:hyperlink>
          </w:p>
        </w:tc>
        <w:tc>
          <w:tcPr>
            <w:tcW w:w="1300" w:type="dxa"/>
            <w:vAlign w:val="bottom"/>
            <w:gridSpan w:val="7"/>
          </w:tcPr>
          <w:p>
            <w:pPr>
              <w:spacing w:after="0"/>
              <w:rPr>
                <w:sz w:val="18"/>
                <w:szCs w:val="18"/>
                <w:color w:val="auto"/>
              </w:rPr>
            </w:pPr>
          </w:p>
        </w:tc>
        <w:tc>
          <w:tcPr>
            <w:tcW w:w="7660" w:type="dxa"/>
            <w:vAlign w:val="bottom"/>
            <w:gridSpan w:val="18"/>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3"/>
          </w:tcPr>
          <w:p>
            <w:pPr>
              <w:jc w:val="center"/>
              <w:spacing w:after="0"/>
              <w:rPr>
                <w:rFonts w:ascii="Arial" w:cs="Arial" w:eastAsia="Arial" w:hAnsi="Arial"/>
                <w:sz w:val="15"/>
                <w:szCs w:val="15"/>
                <w:color w:val="0000FF"/>
                <w:w w:val="71"/>
              </w:rPr>
            </w:pPr>
            <w:hyperlink w:anchor="page95">
              <w:r>
                <w:rPr>
                  <w:rFonts w:ascii="Arial" w:cs="Arial" w:eastAsia="Arial" w:hAnsi="Arial"/>
                  <w:sz w:val="15"/>
                  <w:szCs w:val="15"/>
                  <w:color w:val="0000FF"/>
                  <w:w w:val="71"/>
                </w:rPr>
                <w:t>86</w:t>
              </w:r>
            </w:hyperlink>
          </w:p>
        </w:tc>
        <w:tc>
          <w:tcPr>
            <w:tcW w:w="6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20" w:type="dxa"/>
            <w:vAlign w:val="bottom"/>
            <w:tcBorders>
              <w:bottom w:val="single" w:sz="8" w:color="0000FF"/>
            </w:tcBorders>
            <w:gridSpan w:val="26"/>
          </w:tcPr>
          <w:p>
            <w:pPr>
              <w:spacing w:after="0"/>
              <w:rPr>
                <w:rFonts w:ascii="Arial" w:cs="Arial" w:eastAsia="Arial" w:hAnsi="Arial"/>
                <w:sz w:val="18"/>
                <w:szCs w:val="18"/>
                <w:color w:val="0000FF"/>
                <w:w w:val="97"/>
              </w:rPr>
            </w:pPr>
            <w:hyperlink w:anchor="page111">
              <w:r>
                <w:rPr>
                  <w:rFonts w:ascii="Arial" w:cs="Arial" w:eastAsia="Arial" w:hAnsi="Arial"/>
                  <w:sz w:val="18"/>
                  <w:szCs w:val="18"/>
                  <w:color w:val="0000FF"/>
                  <w:w w:val="97"/>
                </w:rPr>
                <w:t>MANAGEMENT’S DISCUSSION AND ANALYSIS OF FINANCIAL CONDITION AND RESULTS OF OPERATIONS</w:t>
              </w:r>
            </w:hyperlink>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11">
              <w:r>
                <w:rPr>
                  <w:rFonts w:ascii="Arial" w:cs="Arial" w:eastAsia="Arial" w:hAnsi="Arial"/>
                  <w:sz w:val="15"/>
                  <w:szCs w:val="15"/>
                  <w:color w:val="0000FF"/>
                  <w:w w:val="71"/>
                </w:rPr>
                <w:t>102</w:t>
              </w:r>
            </w:hyperlink>
          </w:p>
        </w:tc>
      </w:tr>
      <w:tr>
        <w:trPr>
          <w:trHeight w:val="210"/>
        </w:trPr>
        <w:tc>
          <w:tcPr>
            <w:tcW w:w="9820" w:type="dxa"/>
            <w:vAlign w:val="bottom"/>
            <w:gridSpan w:val="27"/>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EXECUTIVE COMPENSATION</w:t>
              </w:r>
            </w:hyperlink>
          </w:p>
        </w:tc>
        <w:tc>
          <w:tcPr>
            <w:tcW w:w="1180" w:type="dxa"/>
            <w:vAlign w:val="bottom"/>
            <w:gridSpan w:val="5"/>
          </w:tcPr>
          <w:p>
            <w:pPr>
              <w:jc w:val="center"/>
              <w:ind w:left="810"/>
              <w:spacing w:after="0"/>
              <w:rPr>
                <w:rFonts w:ascii="Arial" w:cs="Arial" w:eastAsia="Arial" w:hAnsi="Arial"/>
                <w:sz w:val="18"/>
                <w:szCs w:val="18"/>
                <w:color w:val="0000FF"/>
                <w:w w:val="93"/>
              </w:rPr>
            </w:pPr>
            <w:hyperlink w:anchor="page129">
              <w:r>
                <w:rPr>
                  <w:rFonts w:ascii="Arial" w:cs="Arial" w:eastAsia="Arial" w:hAnsi="Arial"/>
                  <w:sz w:val="18"/>
                  <w:szCs w:val="18"/>
                  <w:color w:val="0000FF"/>
                  <w:w w:val="93"/>
                </w:rPr>
                <w:t>120</w:t>
              </w:r>
            </w:hyperlink>
          </w:p>
        </w:tc>
      </w:tr>
      <w:tr>
        <w:trPr>
          <w:trHeight w:val="209"/>
        </w:trPr>
        <w:tc>
          <w:tcPr>
            <w:tcW w:w="2440" w:type="dxa"/>
            <w:vAlign w:val="bottom"/>
            <w:tcBorders>
              <w:top w:val="single" w:sz="8" w:color="0000FF"/>
            </w:tcBorders>
            <w:gridSpan w:val="11"/>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MANAGEMENT</w:t>
              </w:r>
            </w:hyperlink>
          </w:p>
        </w:tc>
        <w:tc>
          <w:tcPr>
            <w:tcW w:w="7380" w:type="dxa"/>
            <w:vAlign w:val="bottom"/>
            <w:gridSpan w:val="16"/>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0000FF"/>
            </w:tcBorders>
            <w:gridSpan w:val="4"/>
          </w:tcPr>
          <w:p>
            <w:pPr>
              <w:jc w:val="center"/>
              <w:spacing w:after="0"/>
              <w:rPr>
                <w:rFonts w:ascii="Arial" w:cs="Arial" w:eastAsia="Arial" w:hAnsi="Arial"/>
                <w:sz w:val="15"/>
                <w:szCs w:val="15"/>
                <w:color w:val="0000FF"/>
                <w:w w:val="71"/>
              </w:rPr>
            </w:pPr>
            <w:hyperlink w:anchor="page137">
              <w:r>
                <w:rPr>
                  <w:rFonts w:ascii="Arial" w:cs="Arial" w:eastAsia="Arial" w:hAnsi="Arial"/>
                  <w:sz w:val="15"/>
                  <w:szCs w:val="15"/>
                  <w:color w:val="0000FF"/>
                  <w:w w:val="71"/>
                </w:rPr>
                <w:t>128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10"/>
        </w:trPr>
        <w:tc>
          <w:tcPr>
            <w:tcW w:w="252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DESCRIPTION OF SECURITIES</w:t>
              </w:r>
            </w:hyperlink>
          </w:p>
        </w:tc>
        <w:tc>
          <w:tcPr>
            <w:tcW w:w="7300" w:type="dxa"/>
            <w:vAlign w:val="bottom"/>
            <w:gridSpan w:val="15"/>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43">
              <w:r>
                <w:rPr>
                  <w:rFonts w:ascii="Arial" w:cs="Arial" w:eastAsia="Arial" w:hAnsi="Arial"/>
                  <w:sz w:val="15"/>
                  <w:szCs w:val="15"/>
                  <w:color w:val="0000FF"/>
                  <w:w w:val="71"/>
                </w:rPr>
                <w:t>134</w:t>
              </w:r>
            </w:hyperlink>
          </w:p>
        </w:tc>
      </w:tr>
      <w:tr>
        <w:trPr>
          <w:trHeight w:val="210"/>
        </w:trPr>
        <w:tc>
          <w:tcPr>
            <w:tcW w:w="5120" w:type="dxa"/>
            <w:vAlign w:val="bottom"/>
            <w:tcBorders>
              <w:bottom w:val="single" w:sz="8" w:color="0000FF"/>
            </w:tcBorders>
            <w:gridSpan w:val="20"/>
          </w:tcPr>
          <w:p>
            <w:pPr>
              <w:spacing w:after="0"/>
              <w:rPr>
                <w:rFonts w:ascii="Arial" w:cs="Arial" w:eastAsia="Arial" w:hAnsi="Arial"/>
                <w:sz w:val="18"/>
                <w:szCs w:val="18"/>
                <w:color w:val="0000FF"/>
                <w:w w:val="94"/>
              </w:rPr>
            </w:pPr>
            <w:hyperlink w:anchor="page153">
              <w:r>
                <w:rPr>
                  <w:rFonts w:ascii="Arial" w:cs="Arial" w:eastAsia="Arial" w:hAnsi="Arial"/>
                  <w:sz w:val="18"/>
                  <w:szCs w:val="18"/>
                  <w:color w:val="0000FF"/>
                  <w:w w:val="94"/>
                </w:rPr>
                <w:t>SECURITIES ACT RESTRICTIONS ON RESALE OF SECURITIES</w:t>
              </w:r>
            </w:hyperlink>
          </w:p>
        </w:tc>
        <w:tc>
          <w:tcPr>
            <w:tcW w:w="4700" w:type="dxa"/>
            <w:vAlign w:val="bottom"/>
            <w:gridSpan w:val="7"/>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53">
              <w:r>
                <w:rPr>
                  <w:rFonts w:ascii="Arial" w:cs="Arial" w:eastAsia="Arial" w:hAnsi="Arial"/>
                  <w:sz w:val="15"/>
                  <w:szCs w:val="15"/>
                  <w:color w:val="0000FF"/>
                  <w:w w:val="71"/>
                </w:rPr>
                <w:t>144</w:t>
              </w:r>
            </w:hyperlink>
          </w:p>
        </w:tc>
      </w:tr>
      <w:tr>
        <w:trPr>
          <w:trHeight w:val="210"/>
        </w:trPr>
        <w:tc>
          <w:tcPr>
            <w:tcW w:w="9820" w:type="dxa"/>
            <w:vAlign w:val="bottom"/>
            <w:gridSpan w:val="27"/>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BENEFICIAL OWNERSHIP OF SECURITIES</w:t>
              </w:r>
            </w:hyperlink>
          </w:p>
        </w:tc>
        <w:tc>
          <w:tcPr>
            <w:tcW w:w="1180" w:type="dxa"/>
            <w:vAlign w:val="bottom"/>
            <w:gridSpan w:val="5"/>
          </w:tcPr>
          <w:p>
            <w:pPr>
              <w:jc w:val="center"/>
              <w:ind w:left="810"/>
              <w:spacing w:after="0"/>
              <w:rPr>
                <w:rFonts w:ascii="Arial" w:cs="Arial" w:eastAsia="Arial" w:hAnsi="Arial"/>
                <w:sz w:val="18"/>
                <w:szCs w:val="18"/>
                <w:color w:val="0000FF"/>
                <w:w w:val="93"/>
              </w:rPr>
            </w:pPr>
            <w:hyperlink w:anchor="page157">
              <w:r>
                <w:rPr>
                  <w:rFonts w:ascii="Arial" w:cs="Arial" w:eastAsia="Arial" w:hAnsi="Arial"/>
                  <w:sz w:val="18"/>
                  <w:szCs w:val="18"/>
                  <w:color w:val="0000FF"/>
                  <w:w w:val="93"/>
                </w:rPr>
                <w:t>148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9820" w:type="dxa"/>
            <w:vAlign w:val="bottom"/>
            <w:gridSpan w:val="27"/>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CERTAIN RELATIONSHIPS AND RELATED PERSONS TRANSACTIONS</w:t>
              </w:r>
            </w:hyperlink>
          </w:p>
        </w:tc>
        <w:tc>
          <w:tcPr>
            <w:tcW w:w="1180" w:type="dxa"/>
            <w:vAlign w:val="bottom"/>
            <w:gridSpan w:val="5"/>
          </w:tcPr>
          <w:p>
            <w:pPr>
              <w:jc w:val="center"/>
              <w:ind w:left="810"/>
              <w:spacing w:after="0"/>
              <w:rPr>
                <w:rFonts w:ascii="Arial" w:cs="Arial" w:eastAsia="Arial" w:hAnsi="Arial"/>
                <w:sz w:val="18"/>
                <w:szCs w:val="18"/>
                <w:color w:val="0000FF"/>
                <w:w w:val="93"/>
              </w:rPr>
            </w:pPr>
            <w:hyperlink w:anchor="page162">
              <w:r>
                <w:rPr>
                  <w:rFonts w:ascii="Arial" w:cs="Arial" w:eastAsia="Arial" w:hAnsi="Arial"/>
                  <w:sz w:val="18"/>
                  <w:szCs w:val="18"/>
                  <w:color w:val="0000FF"/>
                  <w:w w:val="93"/>
                </w:rPr>
                <w:t>153</w:t>
              </w:r>
            </w:hyperlink>
          </w:p>
        </w:tc>
      </w:tr>
      <w:tr>
        <w:trPr>
          <w:trHeight w:val="210"/>
        </w:trPr>
        <w:tc>
          <w:tcPr>
            <w:tcW w:w="16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6"/>
              </w:rPr>
            </w:pPr>
            <w:hyperlink w:anchor="page169">
              <w:r>
                <w:rPr>
                  <w:rFonts w:ascii="Arial" w:cs="Arial" w:eastAsia="Arial" w:hAnsi="Arial"/>
                  <w:sz w:val="18"/>
                  <w:szCs w:val="18"/>
                  <w:color w:val="0000FF"/>
                  <w:w w:val="96"/>
                </w:rPr>
                <w:t>SELLING HOLDERS</w:t>
              </w:r>
            </w:hyperlink>
          </w:p>
        </w:tc>
        <w:tc>
          <w:tcPr>
            <w:tcW w:w="4060" w:type="dxa"/>
            <w:vAlign w:val="bottom"/>
            <w:tcBorders>
              <w:top w:val="single" w:sz="8" w:color="0000FF"/>
            </w:tcBorders>
            <w:gridSpan w:val="15"/>
          </w:tcPr>
          <w:p>
            <w:pPr>
              <w:spacing w:after="0"/>
              <w:rPr>
                <w:sz w:val="18"/>
                <w:szCs w:val="18"/>
                <w:color w:val="auto"/>
              </w:rPr>
            </w:pPr>
          </w:p>
        </w:tc>
        <w:tc>
          <w:tcPr>
            <w:tcW w:w="412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5"/>
                <w:szCs w:val="15"/>
                <w:color w:val="0000FF"/>
                <w:w w:val="71"/>
              </w:rPr>
            </w:pPr>
            <w:hyperlink w:anchor="page169">
              <w:r>
                <w:rPr>
                  <w:rFonts w:ascii="Arial" w:cs="Arial" w:eastAsia="Arial" w:hAnsi="Arial"/>
                  <w:sz w:val="15"/>
                  <w:szCs w:val="15"/>
                  <w:color w:val="0000FF"/>
                  <w:w w:val="71"/>
                </w:rPr>
                <w:t>160</w:t>
              </w:r>
            </w:hyperlink>
          </w:p>
        </w:tc>
      </w:tr>
      <w:tr>
        <w:trPr>
          <w:trHeight w:val="210"/>
        </w:trPr>
        <w:tc>
          <w:tcPr>
            <w:tcW w:w="208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174">
              <w:r>
                <w:rPr>
                  <w:rFonts w:ascii="Arial" w:cs="Arial" w:eastAsia="Arial" w:hAnsi="Arial"/>
                  <w:sz w:val="18"/>
                  <w:szCs w:val="18"/>
                  <w:color w:val="0000FF"/>
                  <w:w w:val="97"/>
                </w:rPr>
                <w:t>PLAN OF DISTRIBUTION</w:t>
              </w:r>
            </w:hyperlink>
          </w:p>
        </w:tc>
        <w:tc>
          <w:tcPr>
            <w:tcW w:w="7740" w:type="dxa"/>
            <w:vAlign w:val="bottom"/>
            <w:gridSpan w:val="19"/>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74">
              <w:r>
                <w:rPr>
                  <w:rFonts w:ascii="Arial" w:cs="Arial" w:eastAsia="Arial" w:hAnsi="Arial"/>
                  <w:sz w:val="15"/>
                  <w:szCs w:val="15"/>
                  <w:color w:val="0000FF"/>
                  <w:w w:val="71"/>
                </w:rPr>
                <w:t>165</w:t>
              </w:r>
            </w:hyperlink>
          </w:p>
        </w:tc>
      </w:tr>
      <w:tr>
        <w:trPr>
          <w:trHeight w:val="210"/>
        </w:trPr>
        <w:tc>
          <w:tcPr>
            <w:tcW w:w="4940" w:type="dxa"/>
            <w:vAlign w:val="bottom"/>
            <w:tcBorders>
              <w:bottom w:val="single" w:sz="8" w:color="0000FF"/>
            </w:tcBorders>
            <w:gridSpan w:val="19"/>
          </w:tcPr>
          <w:p>
            <w:pPr>
              <w:spacing w:after="0"/>
              <w:rPr>
                <w:rFonts w:ascii="Arial" w:cs="Arial" w:eastAsia="Arial" w:hAnsi="Arial"/>
                <w:sz w:val="18"/>
                <w:szCs w:val="18"/>
                <w:color w:val="0000FF"/>
                <w:w w:val="95"/>
              </w:rPr>
            </w:pPr>
            <w:hyperlink w:anchor="page176">
              <w:r>
                <w:rPr>
                  <w:rFonts w:ascii="Arial" w:cs="Arial" w:eastAsia="Arial" w:hAnsi="Arial"/>
                  <w:sz w:val="18"/>
                  <w:szCs w:val="18"/>
                  <w:color w:val="0000FF"/>
                  <w:w w:val="95"/>
                </w:rPr>
                <w:t>UNITED STATES FEDERAL INCOME TAX CONSIDERATIONS</w:t>
              </w:r>
            </w:hyperlink>
          </w:p>
        </w:tc>
        <w:tc>
          <w:tcPr>
            <w:tcW w:w="4880" w:type="dxa"/>
            <w:vAlign w:val="bottom"/>
            <w:gridSpan w:val="8"/>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76">
              <w:r>
                <w:rPr>
                  <w:rFonts w:ascii="Arial" w:cs="Arial" w:eastAsia="Arial" w:hAnsi="Arial"/>
                  <w:sz w:val="15"/>
                  <w:szCs w:val="15"/>
                  <w:color w:val="0000FF"/>
                  <w:w w:val="71"/>
                </w:rPr>
                <w:t>167</w:t>
              </w:r>
            </w:hyperlink>
          </w:p>
        </w:tc>
      </w:tr>
      <w:tr>
        <w:trPr>
          <w:trHeight w:val="209"/>
        </w:trPr>
        <w:tc>
          <w:tcPr>
            <w:tcW w:w="9820" w:type="dxa"/>
            <w:vAlign w:val="bottom"/>
            <w:gridSpan w:val="27"/>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LEGAL MATTERS</w:t>
              </w:r>
            </w:hyperlink>
          </w:p>
        </w:tc>
        <w:tc>
          <w:tcPr>
            <w:tcW w:w="1180" w:type="dxa"/>
            <w:vAlign w:val="bottom"/>
            <w:gridSpan w:val="5"/>
          </w:tcPr>
          <w:p>
            <w:pPr>
              <w:jc w:val="center"/>
              <w:ind w:left="810"/>
              <w:spacing w:after="0"/>
              <w:rPr>
                <w:rFonts w:ascii="Arial" w:cs="Arial" w:eastAsia="Arial" w:hAnsi="Arial"/>
                <w:sz w:val="18"/>
                <w:szCs w:val="18"/>
                <w:color w:val="0000FF"/>
                <w:w w:val="93"/>
              </w:rPr>
            </w:pPr>
            <w:hyperlink w:anchor="page181">
              <w:r>
                <w:rPr>
                  <w:rFonts w:ascii="Arial" w:cs="Arial" w:eastAsia="Arial" w:hAnsi="Arial"/>
                  <w:sz w:val="18"/>
                  <w:szCs w:val="18"/>
                  <w:color w:val="0000FF"/>
                  <w:w w:val="93"/>
                </w:rPr>
                <w:t>172</w:t>
              </w:r>
            </w:hyperlink>
          </w:p>
        </w:tc>
      </w:tr>
      <w:tr>
        <w:trPr>
          <w:trHeight w:val="210"/>
        </w:trPr>
        <w:tc>
          <w:tcPr>
            <w:tcW w:w="7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82">
              <w:r>
                <w:rPr>
                  <w:rFonts w:ascii="Arial" w:cs="Arial" w:eastAsia="Arial" w:hAnsi="Arial"/>
                  <w:sz w:val="18"/>
                  <w:szCs w:val="18"/>
                  <w:color w:val="0000FF"/>
                  <w:w w:val="90"/>
                </w:rPr>
                <w:t>EXPERTS</w:t>
              </w:r>
            </w:hyperlink>
          </w:p>
        </w:tc>
        <w:tc>
          <w:tcPr>
            <w:tcW w:w="680" w:type="dxa"/>
            <w:vAlign w:val="bottom"/>
            <w:tcBorders>
              <w:top w:val="single" w:sz="8" w:color="0000FF"/>
            </w:tcBorders>
            <w:gridSpan w:val="4"/>
          </w:tcPr>
          <w:p>
            <w:pPr>
              <w:spacing w:after="0"/>
              <w:rPr>
                <w:sz w:val="18"/>
                <w:szCs w:val="18"/>
                <w:color w:val="auto"/>
              </w:rPr>
            </w:pPr>
          </w:p>
        </w:tc>
        <w:tc>
          <w:tcPr>
            <w:tcW w:w="8360" w:type="dxa"/>
            <w:vAlign w:val="bottom"/>
            <w:gridSpan w:val="22"/>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5"/>
                <w:szCs w:val="15"/>
                <w:color w:val="0000FF"/>
                <w:w w:val="71"/>
              </w:rPr>
            </w:pPr>
            <w:hyperlink w:anchor="page182">
              <w:r>
                <w:rPr>
                  <w:rFonts w:ascii="Arial" w:cs="Arial" w:eastAsia="Arial" w:hAnsi="Arial"/>
                  <w:sz w:val="15"/>
                  <w:szCs w:val="15"/>
                  <w:color w:val="0000FF"/>
                  <w:w w:val="71"/>
                </w:rPr>
                <w:t>172</w:t>
              </w:r>
            </w:hyperlink>
          </w:p>
        </w:tc>
      </w:tr>
      <w:tr>
        <w:trPr>
          <w:trHeight w:val="210"/>
        </w:trPr>
        <w:tc>
          <w:tcPr>
            <w:tcW w:w="3820" w:type="dxa"/>
            <w:vAlign w:val="bottom"/>
            <w:tcBorders>
              <w:bottom w:val="single" w:sz="8" w:color="0000FF"/>
            </w:tcBorders>
            <w:gridSpan w:val="16"/>
          </w:tcPr>
          <w:p>
            <w:pPr>
              <w:spacing w:after="0"/>
              <w:rPr>
                <w:rFonts w:ascii="Arial" w:cs="Arial" w:eastAsia="Arial" w:hAnsi="Arial"/>
                <w:sz w:val="18"/>
                <w:szCs w:val="18"/>
                <w:color w:val="0000FF"/>
                <w:w w:val="97"/>
              </w:rPr>
            </w:pPr>
            <w:hyperlink w:anchor="page182">
              <w:r>
                <w:rPr>
                  <w:rFonts w:ascii="Arial" w:cs="Arial" w:eastAsia="Arial" w:hAnsi="Arial"/>
                  <w:sz w:val="18"/>
                  <w:szCs w:val="18"/>
                  <w:color w:val="0000FF"/>
                  <w:w w:val="97"/>
                </w:rPr>
                <w:t>WHERE YOU CAN FIND MORE INFORMATION</w:t>
              </w:r>
            </w:hyperlink>
          </w:p>
        </w:tc>
        <w:tc>
          <w:tcPr>
            <w:tcW w:w="6000" w:type="dxa"/>
            <w:vAlign w:val="bottom"/>
            <w:gridSpan w:val="11"/>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rFonts w:ascii="Arial" w:cs="Arial" w:eastAsia="Arial" w:hAnsi="Arial"/>
                <w:sz w:val="15"/>
                <w:szCs w:val="15"/>
                <w:color w:val="0000FF"/>
                <w:w w:val="71"/>
              </w:rPr>
            </w:pPr>
            <w:hyperlink w:anchor="page182">
              <w:r>
                <w:rPr>
                  <w:rFonts w:ascii="Arial" w:cs="Arial" w:eastAsia="Arial" w:hAnsi="Arial"/>
                  <w:sz w:val="15"/>
                  <w:szCs w:val="15"/>
                  <w:color w:val="0000FF"/>
                  <w:w w:val="71"/>
                </w:rPr>
                <w:t>172</w:t>
              </w:r>
            </w:hyperlink>
          </w:p>
        </w:tc>
      </w:tr>
      <w:tr>
        <w:trPr>
          <w:trHeight w:val="210"/>
        </w:trPr>
        <w:tc>
          <w:tcPr>
            <w:tcW w:w="9820" w:type="dxa"/>
            <w:vAlign w:val="bottom"/>
            <w:gridSpan w:val="27"/>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INDEX TO CONSOLIDATED FINANCIAL INFORMATION</w:t>
              </w:r>
            </w:hyperlink>
          </w:p>
        </w:tc>
        <w:tc>
          <w:tcPr>
            <w:tcW w:w="1000" w:type="dxa"/>
            <w:vAlign w:val="bottom"/>
          </w:tcPr>
          <w:p>
            <w:pPr>
              <w:spacing w:after="0"/>
              <w:rPr>
                <w:sz w:val="18"/>
                <w:szCs w:val="18"/>
                <w:color w:val="auto"/>
              </w:rPr>
            </w:pPr>
          </w:p>
        </w:tc>
        <w:tc>
          <w:tcPr>
            <w:tcW w:w="180" w:type="dxa"/>
            <w:vAlign w:val="bottom"/>
            <w:gridSpan w:val="4"/>
          </w:tcPr>
          <w:p>
            <w:pPr>
              <w:jc w:val="center"/>
              <w:ind w:right="20"/>
              <w:spacing w:after="0"/>
              <w:rPr>
                <w:rFonts w:ascii="Arial" w:cs="Arial" w:eastAsia="Arial" w:hAnsi="Arial"/>
                <w:sz w:val="15"/>
                <w:szCs w:val="15"/>
                <w:color w:val="0000FF"/>
                <w:w w:val="70"/>
              </w:rPr>
            </w:pPr>
            <w:hyperlink w:anchor="page182">
              <w:r>
                <w:rPr>
                  <w:rFonts w:ascii="Arial" w:cs="Arial" w:eastAsia="Arial" w:hAnsi="Arial"/>
                  <w:sz w:val="15"/>
                  <w:szCs w:val="15"/>
                  <w:color w:val="0000FF"/>
                  <w:w w:val="70"/>
                </w:rPr>
                <w:t>F-1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340" w:top="1440" w:right="559" w:bottom="1440" w:gutter="0" w:footer="0" w:header="0"/>
        </w:sectPr>
      </w:pPr>
    </w:p>
    <w:bookmarkStart w:id="2" w:name="page3"/>
    <w:bookmarkEnd w:id="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is part of a registration statement on Form S-1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7,869,975 shares of Class A common stock upon exercise of the Public Warrants and Private Placement Warrants. The Selling Holders may use the shelf registration statement to sell up to an aggregate of 64,738,934 shares of Class A common stock and up to 203,333 Warrants from time to time through any means described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More specific terms of any securities that the Selling Holders offer and sell may be provided in a prospectus supplement that describes, among other things, the specific amounts and prices of the Class A common stock and/or Warrants being offered and the terms of the offering.</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or any applicable prospectus supplement.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3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Neither we nor the Selling Holders have authorized anyone to provide any information or to make any representations other than those contained in this prospectus or any accompanying prospectus supplement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12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June 24,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Perella Weinberg Partners (formerly known as FinTech Acquisition Corp. IV (“</w:t>
      </w:r>
      <w:r>
        <w:rPr>
          <w:rFonts w:ascii="Arial" w:cs="Arial" w:eastAsia="Arial" w:hAnsi="Arial"/>
          <w:sz w:val="16"/>
          <w:szCs w:val="16"/>
          <w:u w:val="single" w:color="auto"/>
          <w:color w:val="auto"/>
        </w:rPr>
        <w:t>FTIV</w:t>
      </w:r>
      <w:r>
        <w:rPr>
          <w:rFonts w:ascii="Arial" w:cs="Arial" w:eastAsia="Arial" w:hAnsi="Arial"/>
          <w:sz w:val="16"/>
          <w:szCs w:val="16"/>
          <w:color w:val="auto"/>
        </w:rPr>
        <w:t>”)), consummated its previously announced business combination pursuant to that certain Business Combination Agreement, dated as of December 29, 2020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6"/>
          <w:szCs w:val="16"/>
          <w:u w:val="single" w:color="auto"/>
          <w:color w:val="auto"/>
        </w:rPr>
        <w:t>Sponsor</w:t>
      </w:r>
      <w:r>
        <w:rPr>
          <w:rFonts w:ascii="Arial" w:cs="Arial" w:eastAsia="Arial" w:hAnsi="Arial"/>
          <w:sz w:val="16"/>
          <w:szCs w:val="16"/>
          <w:color w:val="auto"/>
        </w:rPr>
        <w:t>”), PWP Holdings LP, a Delaware limited partnership (“</w:t>
      </w:r>
      <w:r>
        <w:rPr>
          <w:rFonts w:ascii="Arial" w:cs="Arial" w:eastAsia="Arial" w:hAnsi="Arial"/>
          <w:sz w:val="16"/>
          <w:szCs w:val="16"/>
          <w:u w:val="single" w:color="auto"/>
          <w:color w:val="auto"/>
        </w:rPr>
        <w:t>PWP OpCo</w:t>
      </w:r>
      <w:r>
        <w:rPr>
          <w:rFonts w:ascii="Arial" w:cs="Arial" w:eastAsia="Arial" w:hAnsi="Arial"/>
          <w:sz w:val="16"/>
          <w:szCs w:val="16"/>
          <w:color w:val="auto"/>
        </w:rPr>
        <w:t>”), PWP GP LLC, a Delaware limited liability company and the general partner of PWP OpCo (“</w:t>
      </w:r>
      <w:r>
        <w:rPr>
          <w:rFonts w:ascii="Arial" w:cs="Arial" w:eastAsia="Arial" w:hAnsi="Arial"/>
          <w:sz w:val="16"/>
          <w:szCs w:val="16"/>
          <w:u w:val="single" w:color="auto"/>
          <w:color w:val="auto"/>
        </w:rPr>
        <w:t>PWP GP</w:t>
      </w:r>
      <w:r>
        <w:rPr>
          <w:rFonts w:ascii="Arial" w:cs="Arial" w:eastAsia="Arial" w:hAnsi="Arial"/>
          <w:sz w:val="16"/>
          <w:szCs w:val="16"/>
          <w:color w:val="auto"/>
        </w:rPr>
        <w:t>”), PWP Professional Partners LP, a Delaware limited partnership and a limited partner of PWP OpCo (“</w:t>
      </w:r>
      <w:r>
        <w:rPr>
          <w:rFonts w:ascii="Arial" w:cs="Arial" w:eastAsia="Arial" w:hAnsi="Arial"/>
          <w:sz w:val="16"/>
          <w:szCs w:val="16"/>
          <w:u w:val="single" w:color="auto"/>
          <w:color w:val="auto"/>
        </w:rPr>
        <w:t>Professional Partners</w:t>
      </w:r>
      <w:r>
        <w:rPr>
          <w:rFonts w:ascii="Arial" w:cs="Arial" w:eastAsia="Arial" w:hAnsi="Arial"/>
          <w:sz w:val="16"/>
          <w:szCs w:val="16"/>
          <w:color w:val="auto"/>
        </w:rPr>
        <w:t>”), and Perella Weinberg Partners LLC, a Delaware limited liability company and the general partner of Professional Partners (“</w:t>
      </w:r>
      <w:r>
        <w:rPr>
          <w:rFonts w:ascii="Arial" w:cs="Arial" w:eastAsia="Arial" w:hAnsi="Arial"/>
          <w:sz w:val="16"/>
          <w:szCs w:val="16"/>
          <w:u w:val="single" w:color="auto"/>
          <w:color w:val="auto"/>
        </w:rPr>
        <w:t>Professionals GP</w:t>
      </w:r>
      <w:r>
        <w:rPr>
          <w:rFonts w:ascii="Arial" w:cs="Arial" w:eastAsia="Arial" w:hAnsi="Arial"/>
          <w:sz w:val="16"/>
          <w:szCs w:val="16"/>
          <w:color w:val="auto"/>
        </w:rPr>
        <w:t>”). As contemplated by the Business Combination Agreement,</w:t>
      </w:r>
    </w:p>
    <w:p>
      <w:pPr>
        <w:spacing w:after="0" w:line="2" w:lineRule="exact"/>
        <w:rPr>
          <w:sz w:val="20"/>
          <w:szCs w:val="20"/>
          <w:color w:val="auto"/>
        </w:rPr>
      </w:pPr>
    </w:p>
    <w:p>
      <w:pPr>
        <w:ind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w:t>
      </w:r>
    </w:p>
    <w:p>
      <w:pPr>
        <w:spacing w:after="0" w:line="10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we present certain non-GAAP financial measures in this prospectus, including Adjusted total compensation and benefits, Adjusted non-compensation expense, Adjusted operating income (loss), Adjusted non-operating income (expenses), Adjusted income (loss) before income taxes, Adjusted income tax benefit (expense) and Adjusted net income (loss), which we monitor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 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income tax benefit (expense)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 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w:t>
      </w:r>
      <w:r>
        <w:rPr>
          <w:rFonts w:ascii="Arial" w:cs="Arial" w:eastAsia="Arial" w:hAnsi="Arial"/>
          <w:sz w:val="17"/>
          <w:szCs w:val="17"/>
          <w:i w:val="1"/>
          <w:iCs w:val="1"/>
          <w:color w:val="auto"/>
        </w:rPr>
        <w:t>Summary Historical Financial and Other Information</w:t>
      </w:r>
      <w:r>
        <w:rPr>
          <w:rFonts w:ascii="Arial" w:cs="Arial" w:eastAsia="Arial" w:hAnsi="Arial"/>
          <w:sz w:val="17"/>
          <w:szCs w:val="17"/>
          <w:color w:val="auto"/>
        </w:rPr>
        <w: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2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stated in this prospectus or the context otherwise requires, references to:</w:t>
      </w:r>
    </w:p>
    <w:p>
      <w:pPr>
        <w:spacing w:after="0" w:line="171" w:lineRule="exact"/>
        <w:rPr>
          <w:sz w:val="20"/>
          <w:szCs w:val="20"/>
          <w:color w:val="auto"/>
        </w:rPr>
      </w:pPr>
    </w:p>
    <w:p>
      <w:pPr>
        <w:ind w:left="660" w:right="5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29" w:lineRule="exact"/>
        <w:rPr>
          <w:rFonts w:ascii="Arial" w:cs="Arial" w:eastAsia="Arial" w:hAnsi="Arial"/>
          <w:sz w:val="18"/>
          <w:szCs w:val="18"/>
          <w:color w:val="auto"/>
        </w:rPr>
      </w:pPr>
    </w:p>
    <w:p>
      <w:pPr>
        <w:ind w:left="660" w:right="140" w:hanging="328"/>
        <w:spacing w:after="0" w:line="279"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Notes</w:t>
      </w:r>
      <w:r>
        <w:rPr>
          <w:rFonts w:ascii="Arial" w:cs="Arial" w:eastAsia="Arial" w:hAnsi="Arial"/>
          <w:sz w:val="16"/>
          <w:szCs w:val="16"/>
          <w:color w:val="auto"/>
        </w:rPr>
        <w:t>” are to PWP’s 7.0% subordinated unsecured convertible notes due 2026, which were redeemed in connection with the Closing.</w:t>
      </w:r>
    </w:p>
    <w:p>
      <w:pPr>
        <w:spacing w:after="0" w:line="194"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71" w:lineRule="exact"/>
        <w:rPr>
          <w:rFonts w:ascii="Arial" w:cs="Arial" w:eastAsia="Arial" w:hAnsi="Arial"/>
          <w:sz w:val="18"/>
          <w:szCs w:val="18"/>
          <w:color w:val="auto"/>
        </w:rPr>
      </w:pPr>
    </w:p>
    <w:p>
      <w:pPr>
        <w:ind w:left="328" w:right="22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are to shares of Class A common stock issued or issuable in exchange for PWP OpCo Class A partnership units and Class B common stock pursuant to the PWP OpCo LPA (as defined below);</w:t>
      </w:r>
    </w:p>
    <w:p>
      <w:pPr>
        <w:spacing w:after="0" w:line="116" w:lineRule="exact"/>
        <w:rPr>
          <w:rFonts w:ascii="Arial" w:cs="Arial" w:eastAsia="Arial" w:hAnsi="Arial"/>
          <w:sz w:val="18"/>
          <w:szCs w:val="18"/>
          <w:color w:val="auto"/>
        </w:rPr>
      </w:pPr>
    </w:p>
    <w:p>
      <w:pPr>
        <w:ind w:left="328" w:hanging="328"/>
        <w:spacing w:after="0" w:line="259"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Stockholders</w:t>
      </w:r>
      <w:r>
        <w:rPr>
          <w:rFonts w:ascii="Arial" w:cs="Arial" w:eastAsia="Arial" w:hAnsi="Arial"/>
          <w:sz w:val="18"/>
          <w:szCs w:val="18"/>
          <w:color w:val="auto"/>
        </w:rPr>
        <w:t>” are to the Sponsor and any other holders of Class B common stock prior to FTIV’s initial public offering;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Shares</w:t>
      </w:r>
      <w:r>
        <w:rPr>
          <w:rFonts w:ascii="Arial" w:cs="Arial" w:eastAsia="Arial" w:hAnsi="Arial"/>
          <w:sz w:val="16"/>
          <w:szCs w:val="16"/>
          <w:color w:val="auto"/>
        </w:rPr>
        <w:t>” are to the 12,500,000 shares of Class A common stock issued to the PIPE Investors pursuant to the Subscription Agreements;</w:t>
      </w:r>
    </w:p>
    <w:p>
      <w:pPr>
        <w:spacing w:after="0" w:line="194" w:lineRule="exact"/>
        <w:rPr>
          <w:rFonts w:ascii="Arial" w:cs="Arial" w:eastAsia="Arial" w:hAnsi="Arial"/>
          <w:sz w:val="16"/>
          <w:szCs w:val="16"/>
          <w:color w:val="auto"/>
        </w:rPr>
      </w:pPr>
    </w:p>
    <w:p>
      <w:pPr>
        <w:ind w:left="328" w:right="10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29" w:lineRule="exact"/>
        <w:rPr>
          <w:rFonts w:ascii="Arial" w:cs="Arial" w:eastAsia="Arial" w:hAnsi="Arial"/>
          <w:sz w:val="18"/>
          <w:szCs w:val="18"/>
          <w:color w:val="auto"/>
        </w:rPr>
      </w:pPr>
    </w:p>
    <w:p>
      <w:pPr>
        <w:ind w:left="328" w:right="40" w:hanging="328"/>
        <w:spacing w:after="0" w:line="342"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71" w:lineRule="exact"/>
        <w:rPr>
          <w:rFonts w:ascii="Arial" w:cs="Arial" w:eastAsia="Arial" w:hAnsi="Arial"/>
          <w:sz w:val="18"/>
          <w:szCs w:val="18"/>
          <w:color w:val="auto"/>
        </w:rPr>
      </w:pPr>
    </w:p>
    <w:p>
      <w:pPr>
        <w:ind w:left="328" w:right="48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08"/>
          </w:cols>
          <w:pgMar w:left="652" w:top="1440" w:right="339" w:bottom="1440" w:gutter="0" w:footer="0" w:header="0"/>
        </w:sectPr>
      </w:pPr>
    </w:p>
    <w:bookmarkStart w:id="7" w:name="page8"/>
    <w:bookmarkEnd w:id="7"/>
    <w:p>
      <w:pPr>
        <w:spacing w:after="0" w:line="144" w:lineRule="exact"/>
        <w:rPr>
          <w:sz w:val="20"/>
          <w:szCs w:val="20"/>
          <w:color w:val="auto"/>
        </w:rPr>
      </w:pPr>
    </w:p>
    <w:p>
      <w:pPr>
        <w:ind w:left="328" w:right="22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116" w:lineRule="exact"/>
        <w:rPr>
          <w:rFonts w:ascii="Arial" w:cs="Arial" w:eastAsia="Arial" w:hAnsi="Arial"/>
          <w:sz w:val="18"/>
          <w:szCs w:val="18"/>
          <w:color w:val="auto"/>
        </w:rPr>
      </w:pPr>
    </w:p>
    <w:p>
      <w:pPr>
        <w:ind w:left="328" w:right="6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16" w:lineRule="exact"/>
        <w:rPr>
          <w:rFonts w:ascii="Arial" w:cs="Arial" w:eastAsia="Arial" w:hAnsi="Arial"/>
          <w:sz w:val="18"/>
          <w:szCs w:val="18"/>
          <w:color w:val="auto"/>
        </w:rPr>
      </w:pPr>
    </w:p>
    <w:p>
      <w:pPr>
        <w:jc w:val="both"/>
        <w:ind w:left="328" w:right="80" w:hanging="328"/>
        <w:spacing w:after="0" w:line="25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Redeeming Holders</w:t>
      </w:r>
      <w:r>
        <w:rPr>
          <w:rFonts w:ascii="Arial" w:cs="Arial" w:eastAsia="Arial" w:hAnsi="Arial"/>
          <w:sz w:val="18"/>
          <w:szCs w:val="18"/>
          <w:color w:val="auto"/>
        </w:rPr>
        <w:t>” are to all of the holders who agreed to collectively tender for redemption $150 million aggregate principal amount of the Convertible Notes (such convertible notes, the “Redeemed Notes”) for cash, pursuant to the terms of the letter agreements at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w:t>
      </w:r>
    </w:p>
    <w:p>
      <w:pPr>
        <w:spacing w:after="0" w:line="133" w:lineRule="exact"/>
        <w:rPr>
          <w:rFonts w:ascii="Arial" w:cs="Arial" w:eastAsia="Arial" w:hAnsi="Arial"/>
          <w:sz w:val="18"/>
          <w:szCs w:val="18"/>
          <w:color w:val="auto"/>
        </w:rPr>
      </w:pPr>
    </w:p>
    <w:p>
      <w:pPr>
        <w:ind w:left="328" w:right="14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 including certain parties affiliated with the Sponsor who became a party to the Amended and Restated Registration Rights Agreement in connection with the Sponsor Distribution;</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71" w:lineRule="exact"/>
        <w:rPr>
          <w:rFonts w:ascii="Arial" w:cs="Arial" w:eastAsia="Arial" w:hAnsi="Arial"/>
          <w:sz w:val="18"/>
          <w:szCs w:val="18"/>
          <w:color w:val="auto"/>
        </w:rPr>
      </w:pPr>
    </w:p>
    <w:p>
      <w:pPr>
        <w:ind w:left="328" w:right="200" w:hanging="328"/>
        <w:spacing w:after="0" w:line="30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3"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71"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Holders</w:t>
      </w:r>
      <w:r>
        <w:rPr>
          <w:rFonts w:ascii="Arial" w:cs="Arial" w:eastAsia="Arial" w:hAnsi="Arial"/>
          <w:sz w:val="18"/>
          <w:szCs w:val="18"/>
          <w:color w:val="auto"/>
        </w:rPr>
        <w:t>” are to the selling holders identified in this prospectus and the pledgees, donees, transferees, assignees, successors and others who later come to hold any of the Selling Holders’ interest in the shares of Class A common stock or Warrants, as applicable, after the date of this prospectus such that registration rights shall apply to those securities;</w:t>
      </w:r>
    </w:p>
    <w:p>
      <w:pPr>
        <w:spacing w:after="0" w:line="129" w:lineRule="exact"/>
        <w:rPr>
          <w:rFonts w:ascii="Arial" w:cs="Arial" w:eastAsia="Arial" w:hAnsi="Arial"/>
          <w:sz w:val="18"/>
          <w:szCs w:val="18"/>
          <w:color w:val="auto"/>
        </w:rPr>
      </w:pPr>
    </w:p>
    <w:p>
      <w:pPr>
        <w:ind w:left="328" w:right="340" w:hanging="328"/>
        <w:spacing w:after="0" w:line="31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Distribution</w:t>
      </w:r>
      <w:r>
        <w:rPr>
          <w:rFonts w:ascii="Arial" w:cs="Arial" w:eastAsia="Arial" w:hAnsi="Arial"/>
          <w:sz w:val="16"/>
          <w:szCs w:val="16"/>
          <w:color w:val="auto"/>
        </w:rPr>
        <w:t>” are to the distribution by the Sponsor of 5,456,667 shares of Class A common stock (Founder Shares and Placement Shares) and 203,333 Private Placement Warrants to its members on January 7, 2022 pursuant to its contractual obligation under the limited liability company agreement, after which the Sponsor owned 1,000,000 shares of Class A common stock and no Private Placement Warrants.</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Related PIPE Investors</w:t>
      </w:r>
      <w:r>
        <w:rPr>
          <w:rFonts w:ascii="Arial" w:cs="Arial" w:eastAsia="Arial" w:hAnsi="Arial"/>
          <w:sz w:val="16"/>
          <w:szCs w:val="16"/>
          <w:color w:val="auto"/>
        </w:rPr>
        <w:t>” are to the certain PIPE Investors that subscribed to $1.5 million in the PIPE Investment (as defined below);</w:t>
      </w:r>
    </w:p>
    <w:p>
      <w:pPr>
        <w:spacing w:after="0" w:line="194" w:lineRule="exact"/>
        <w:rPr>
          <w:rFonts w:ascii="Arial" w:cs="Arial" w:eastAsia="Arial" w:hAnsi="Arial"/>
          <w:sz w:val="16"/>
          <w:szCs w:val="16"/>
          <w:color w:val="auto"/>
        </w:rPr>
      </w:pPr>
    </w:p>
    <w:p>
      <w:pPr>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828"/>
          </w:cols>
          <w:pgMar w:left="652" w:top="1440" w:right="419" w:bottom="1440" w:gutter="0" w:footer="0" w:header="0"/>
        </w:sectPr>
      </w:pPr>
    </w:p>
    <w:bookmarkStart w:id="8" w:name="page9"/>
    <w:bookmarkEnd w:id="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380" w:hanging="324"/>
        <w:spacing w:after="0" w:line="263"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8"/>
          <w:szCs w:val="18"/>
          <w:u w:val="single" w:color="auto"/>
          <w:color w:val="auto"/>
        </w:rPr>
        <w:t>COVID-19</w:t>
      </w:r>
      <w:r>
        <w:rPr>
          <w:rFonts w:ascii="Arial" w:cs="Arial" w:eastAsia="Arial" w:hAnsi="Arial"/>
          <w:sz w:val="18"/>
          <w:szCs w:val="18"/>
          <w:color w:val="auto"/>
        </w:rPr>
        <w:t>”), as well as the impact of recent hostilities between Russia and Ukraine;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20"/>
          </w:cols>
          <w:pgMar w:left="320" w:top="1440" w:right="359" w:bottom="1440" w:gutter="0" w:footer="0" w:header="0"/>
        </w:sectPr>
      </w:pPr>
    </w:p>
    <w:bookmarkStart w:id="9" w:name="page10"/>
    <w:bookmarkEnd w:id="9"/>
    <w:p>
      <w:pPr>
        <w:spacing w:after="0" w:line="144" w:lineRule="exact"/>
        <w:rPr>
          <w:sz w:val="20"/>
          <w:szCs w:val="20"/>
          <w:color w:val="auto"/>
        </w:rPr>
      </w:pPr>
    </w:p>
    <w:p>
      <w:pPr>
        <w:ind w:left="980" w:hanging="324"/>
        <w:spacing w:after="0" w:line="308" w:lineRule="auto"/>
        <w:tabs>
          <w:tab w:leader="none" w:pos="9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460" w:hanging="324"/>
        <w:spacing w:after="0" w:line="342" w:lineRule="auto"/>
        <w:tabs>
          <w:tab w:leader="none" w:pos="9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040"/>
          </w:cols>
          <w:pgMar w:left="320" w:top="1440" w:right="5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13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 Looking Statements,”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80"/>
          </w:cols>
          <w:pgMar w:left="1000" w:top="1440" w:right="10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60"/>
          </w:cols>
          <w:pgMar w:left="1000" w:top="1440" w:right="10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16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founded our 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11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i w:val="1"/>
          <w:iCs w:val="1"/>
          <w:color w:val="auto"/>
        </w:rPr>
        <w:t xml:space="preserve">Dynamic Mergers &amp; Acquisitions Activity: </w:t>
      </w:r>
      <w:r>
        <w:rPr>
          <w:rFonts w:ascii="Arial" w:cs="Arial" w:eastAsia="Arial" w:hAnsi="Arial"/>
          <w:sz w:val="16"/>
          <w:szCs w:val="16"/>
          <w:color w:val="auto"/>
        </w:rPr>
        <w:t>We believe the M&amp;A environment will remain active based on a variety of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strategic 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00"/>
          </w:cols>
          <w:pgMar w:left="1000" w:top="1440" w:right="9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often rely on us to assist them in assessing opportunities and challenges throughout their corporate evolution.</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rigor, and intensity. Working together is a critical ingredient of our success.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markets worldwide. Our closely integrated partnership approach enables us to efficiently leverage our deep industry expertise with clients across geographies.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thinking and personalized approach to partner with our clients to achieve their objectives.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Deep Industry Insights: </w:t>
      </w:r>
      <w:r>
        <w:rPr>
          <w:rFonts w:ascii="Arial" w:cs="Arial" w:eastAsia="Arial" w:hAnsi="Arial"/>
          <w:sz w:val="16"/>
          <w:szCs w:val="16"/>
          <w:color w:val="auto"/>
        </w:rPr>
        <w:t>We believe our clients increasingly value advisors with deep industry insights when making strategic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 exceptional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Rigorous Work Ethic: </w:t>
      </w:r>
      <w:r>
        <w:rPr>
          <w:rFonts w:ascii="Arial" w:cs="Arial" w:eastAsia="Arial" w:hAnsi="Arial"/>
          <w:sz w:val="16"/>
          <w:szCs w:val="16"/>
          <w:color w:val="auto"/>
        </w:rPr>
        <w:t>As an advisory firm, the primary assets we bring to bear on any engagement are deep insights and creative ideas.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 relationships,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foundation 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00"/>
          </w:cols>
          <w:pgMar w:left="1000" w:top="1440" w:right="9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 xml:space="preserve">Investing to Drive Innovation and Insights: </w:t>
      </w:r>
      <w:r>
        <w:rPr>
          <w:rFonts w:ascii="Arial" w:cs="Arial" w:eastAsia="Arial" w:hAnsi="Arial"/>
          <w:sz w:val="16"/>
          <w:szCs w:val="16"/>
          <w:color w:val="auto"/>
        </w:rPr>
        <w:t>We believe that the market for advisory services is undergoing a period of transition away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0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Company: </w:t>
      </w:r>
      <w:r>
        <w:rPr>
          <w:rFonts w:ascii="Arial" w:cs="Arial" w:eastAsia="Arial" w:hAnsi="Arial"/>
          <w:sz w:val="17"/>
          <w:szCs w:val="17"/>
          <w:color w:val="auto"/>
        </w:rPr>
        <w:t>Attracting and retaining world-class talent at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44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9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w:t>
      </w:r>
      <w:r>
        <w:rPr>
          <w:rFonts w:ascii="Arial" w:cs="Arial" w:eastAsia="Arial" w:hAnsi="Arial"/>
          <w:sz w:val="18"/>
          <w:szCs w:val="18"/>
          <w:u w:val="single" w:color="auto"/>
          <w:color w:val="auto"/>
        </w:rPr>
        <w:t>U.K.</w:t>
      </w:r>
      <w:r>
        <w:rPr>
          <w:rFonts w:ascii="Arial" w:cs="Arial" w:eastAsia="Arial" w:hAnsi="Arial"/>
          <w:sz w:val="18"/>
          <w:szCs w:val="18"/>
          <w:color w:val="auto"/>
        </w:rPr>
        <w:t>”), France and Germany, and we have deep international experience that has enabled us to work extensively with clients worldwide. Since our inception, we have advised over 1,000 clients on transactions in over 40 countries.</w:t>
      </w:r>
    </w:p>
    <w:p>
      <w:pPr>
        <w:spacing w:after="0" w:line="13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00"/>
          </w:cols>
          <w:pgMar w:left="1000" w:top="1440" w:right="9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Company Investments Including Special Purpose Acquisition Companies: </w:t>
      </w:r>
      <w:r>
        <w:rPr>
          <w:rFonts w:ascii="Arial" w:cs="Arial" w:eastAsia="Arial" w:hAnsi="Arial"/>
          <w:sz w:val="18"/>
          <w:szCs w:val="18"/>
          <w:color w:val="auto"/>
        </w:rPr>
        <w:t>We have a relationship with the sponsor of PWP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I (“</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3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96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4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0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3"/>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10"/>
        </w:trPr>
        <w:tc>
          <w:tcPr>
            <w:tcW w:w="960" w:type="dxa"/>
            <w:vAlign w:val="bottom"/>
            <w:tcBorders>
              <w:left w:val="single" w:sz="8" w:color="auto"/>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restart"/>
            <w:shd w:val="clear" w:color="auto" w:fill="01649D"/>
          </w:tcPr>
          <w:p>
            <w:pPr>
              <w:jc w:val="center"/>
              <w:ind w:right="923"/>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6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60" w:type="dxa"/>
            <w:vAlign w:val="bottom"/>
            <w:tcBorders>
              <w:left w:val="single" w:sz="8" w:color="auto"/>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4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60"/>
              <w:spacing w:after="0"/>
              <w:rPr>
                <w:sz w:val="20"/>
                <w:szCs w:val="20"/>
                <w:color w:val="auto"/>
              </w:rPr>
            </w:pPr>
            <w:r>
              <w:rPr>
                <w:rFonts w:ascii="Arial" w:cs="Arial" w:eastAsia="Arial" w:hAnsi="Arial"/>
                <w:sz w:val="14"/>
                <w:szCs w:val="14"/>
                <w:b w:val="1"/>
                <w:bCs w:val="1"/>
                <w:color w:val="FFFFFF"/>
              </w:rPr>
              <w:t>Client</w:t>
            </w:r>
          </w:p>
        </w:tc>
        <w:tc>
          <w:tcPr>
            <w:tcW w:w="160" w:type="dxa"/>
            <w:vAlign w:val="bottom"/>
            <w:tcBorders>
              <w:bottom w:val="single" w:sz="8" w:color="auto"/>
              <w:right w:val="single" w:sz="8" w:color="auto"/>
            </w:tcBorders>
            <w:shd w:val="clear" w:color="auto" w:fill="9CB3D5"/>
          </w:tcPr>
          <w:p>
            <w:pPr>
              <w:spacing w:after="0"/>
              <w:rPr>
                <w:sz w:val="15"/>
                <w:szCs w:val="15"/>
                <w:color w:val="auto"/>
              </w:rPr>
            </w:pP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60" w:type="dxa"/>
            <w:vAlign w:val="bottom"/>
            <w:tcBorders>
              <w:left w:val="single" w:sz="8" w:color="auto"/>
            </w:tcBorders>
          </w:tcPr>
          <w:p>
            <w:pPr>
              <w:spacing w:after="0"/>
              <w:rPr>
                <w:sz w:val="13"/>
                <w:szCs w:val="13"/>
                <w:color w:val="auto"/>
              </w:rPr>
            </w:pPr>
          </w:p>
        </w:tc>
        <w:tc>
          <w:tcPr>
            <w:tcW w:w="23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Shell in connection with the $9.5B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960" w:type="dxa"/>
            <w:vAlign w:val="bottom"/>
            <w:tcBorders>
              <w:left w:val="single" w:sz="8" w:color="auto"/>
            </w:tcBorders>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60" w:type="dxa"/>
            <w:vAlign w:val="bottom"/>
            <w:tcBorders>
              <w:left w:val="single" w:sz="8" w:color="auto"/>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100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920"/>
          </w:cols>
          <w:pgMar w:left="1000" w:top="1440" w:right="979" w:bottom="1440" w:gutter="0" w:footer="0" w:header="0"/>
          <w:type w:val="continuous"/>
        </w:sectPr>
      </w:pPr>
    </w:p>
    <w:bookmarkStart w:id="18" w:name="page19"/>
    <w:bookmarkEnd w:id="18"/>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692"/>
        </w:trPr>
        <w:tc>
          <w:tcPr>
            <w:tcW w:w="70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Lead financial advisor to Baxter in</w:t>
            </w:r>
          </w:p>
        </w:tc>
        <w:tc>
          <w:tcPr>
            <w:tcW w:w="94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HELLA in</w:t>
            </w:r>
          </w:p>
        </w:tc>
        <w:tc>
          <w:tcPr>
            <w:tcW w:w="92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Invitae</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Corporation in connection with its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Baxter's $12.4B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$1.15B Convertible Notes Offering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acquisition of Hillrom</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Faurecia</w:t>
            </w:r>
          </w:p>
        </w:tc>
        <w:tc>
          <w:tcPr>
            <w:tcW w:w="92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to SB Management</w:t>
            </w: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Vonovia in</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Garrett Motion</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Vonovia's €29B</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 connection with its Chapter 11</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process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Deutsche Wohnen</w:t>
            </w: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the Independent</w:t>
            </w:r>
          </w:p>
        </w:tc>
        <w:tc>
          <w:tcPr>
            <w:tcW w:w="94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Transaction Committee of</w:t>
            </w:r>
          </w:p>
        </w:tc>
        <w:tc>
          <w:tcPr>
            <w:tcW w:w="94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Luminex in</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Capital markets advisor to Maravai</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Discovery, Inc. in connection with</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Discovery’s $22.2B business</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DiaSorin</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Initial Public Offering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combination with AT&amp;T’s</w:t>
            </w:r>
          </w:p>
        </w:tc>
        <w:tc>
          <w:tcPr>
            <w:tcW w:w="94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WarnerMedia</w:t>
            </w:r>
          </w:p>
        </w:tc>
        <w:tc>
          <w:tcPr>
            <w:tcW w:w="94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Veolia in</w:t>
            </w:r>
          </w:p>
        </w:tc>
        <w:tc>
          <w:tcPr>
            <w:tcW w:w="94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Exclusive financial advisor to Kraft</w:t>
            </w:r>
          </w:p>
        </w:tc>
        <w:tc>
          <w:tcPr>
            <w:tcW w:w="92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Independent capital markets</w:t>
            </w: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advisor to Maravai LifeSciences on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Veolia's €25.9B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$3.35B sale of its Planters brand to</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its follow-on offering of common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merger with Suez</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Hormel Foods Corporation</w:t>
            </w:r>
          </w:p>
        </w:tc>
        <w:tc>
          <w:tcPr>
            <w:tcW w:w="92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stock</w:t>
            </w: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Owl Rock Capital</w:t>
            </w:r>
          </w:p>
        </w:tc>
        <w:tc>
          <w:tcPr>
            <w:tcW w:w="94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Partners LP in executing a</w:t>
            </w:r>
          </w:p>
        </w:tc>
        <w:tc>
          <w:tcPr>
            <w:tcW w:w="94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Royal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definitive business combination</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Financial advisor to PureCycle</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Caribbean Cruises Ltd. in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agreement with Dyal Capital</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connection with multiple financing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transactions across both the debt</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4"/>
              </w:rPr>
              <w:t>Inc. and list on NYSE via a $12.5B</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$1.2B listing on the Nasdaq</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and equity capital markets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business combination with Altimar</w:t>
            </w:r>
          </w:p>
        </w:tc>
        <w:tc>
          <w:tcPr>
            <w:tcW w:w="940" w:type="dxa"/>
            <w:vAlign w:val="bottom"/>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Acquisition Corporation</w:t>
            </w:r>
          </w:p>
        </w:tc>
        <w:tc>
          <w:tcPr>
            <w:tcW w:w="94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w:t>
            </w:r>
          </w:p>
        </w:tc>
        <w:tc>
          <w:tcPr>
            <w:tcW w:w="940" w:type="dxa"/>
            <w:vAlign w:val="bottom"/>
          </w:tcPr>
          <w:p>
            <w:pPr>
              <w:spacing w:after="0"/>
              <w:rPr>
                <w:sz w:val="19"/>
                <w:szCs w:val="19"/>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Precision</w:t>
            </w:r>
          </w:p>
        </w:tc>
        <w:tc>
          <w:tcPr>
            <w:tcW w:w="92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9"/>
              </w:rPr>
              <w:t>Northrop Grumman Corp. on the</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Advisor to the Ad Hoc Committee</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 Pacific Gas and Electric</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Support Services Business to</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transaction led by The Blackstone</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Company’s debt restructuring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Veritas Capital Fund Management,</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Group Inc.</w:t>
            </w: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 for $3.4B</w:t>
            </w:r>
          </w:p>
        </w:tc>
        <w:tc>
          <w:tcPr>
            <w:tcW w:w="94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94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in</w:t>
            </w:r>
          </w:p>
        </w:tc>
        <w:tc>
          <w:tcPr>
            <w:tcW w:w="92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Alta Mesa</w:t>
            </w: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Grumman Corp. in its $9.2B</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92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Resources, Inc. in connection with</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Orbital ATK, Inc.</w:t>
            </w:r>
          </w:p>
        </w:tc>
        <w:tc>
          <w:tcPr>
            <w:tcW w:w="94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Cloudera</w:t>
            </w:r>
          </w:p>
        </w:tc>
        <w:tc>
          <w:tcPr>
            <w:tcW w:w="92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its Chapter 11 process</w:t>
            </w: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700" w:type="dxa"/>
            <w:vAlign w:val="bottom"/>
            <w:tcBorders>
              <w:left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&amp; Co.</w:t>
            </w:r>
          </w:p>
        </w:tc>
        <w:tc>
          <w:tcPr>
            <w:tcW w:w="9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8"/>
              </w:rPr>
              <w:t>Advisor to the Supervisory Board</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Del Monte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of Peugeot S.A. on its $26B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Foods, Inc. and Del Monte Pacific</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merger with Fiat Chrysler</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Limited on capital structure</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Automobiles N.V.</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refinancing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92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9"/>
              </w:rPr>
              <w:t>Sole financial advisor to Oaktree</w:t>
            </w:r>
          </w:p>
        </w:tc>
        <w:tc>
          <w:tcPr>
            <w:tcW w:w="94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920" w:type="dxa"/>
            <w:vAlign w:val="bottom"/>
          </w:tcPr>
          <w:p>
            <w:pPr>
              <w:spacing w:after="0"/>
              <w:rPr>
                <w:sz w:val="13"/>
                <w:szCs w:val="13"/>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2"/>
              </w:rPr>
              <w:t>Financial advisor to Sabre Corp. on</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Capital Group, LLC in 62% sale to</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its $1.1 billion secured and</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Brookfield Asset Management Inc.</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exchangeable note offerings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ArcherDX, Inc.</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7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-6173470</wp:posOffset>
            </wp:positionV>
            <wp:extent cx="4800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-6233795</wp:posOffset>
            </wp:positionV>
            <wp:extent cx="42862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-6139180</wp:posOffset>
            </wp:positionV>
            <wp:extent cx="37719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-5693410</wp:posOffset>
            </wp:positionV>
            <wp:extent cx="42862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-5719445</wp:posOffset>
            </wp:positionV>
            <wp:extent cx="4800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-5710555</wp:posOffset>
            </wp:positionV>
            <wp:extent cx="42862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-5067935</wp:posOffset>
            </wp:positionV>
            <wp:extent cx="40259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-5059045</wp:posOffset>
            </wp:positionV>
            <wp:extent cx="39433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6858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-4845050</wp:posOffset>
            </wp:positionV>
            <wp:extent cx="4286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-4433570</wp:posOffset>
            </wp:positionV>
            <wp:extent cx="42862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-4458970</wp:posOffset>
            </wp:positionV>
            <wp:extent cx="3943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43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-3730625</wp:posOffset>
            </wp:positionV>
            <wp:extent cx="42862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-3713480</wp:posOffset>
            </wp:positionV>
            <wp:extent cx="4286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-3713480</wp:posOffset>
            </wp:positionV>
            <wp:extent cx="4286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-2675890</wp:posOffset>
            </wp:positionV>
            <wp:extent cx="4286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-3001645</wp:posOffset>
            </wp:positionV>
            <wp:extent cx="48006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0060" cy="29146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-2933065</wp:posOffset>
            </wp:positionV>
            <wp:extent cx="4114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-1835785</wp:posOffset>
            </wp:positionV>
            <wp:extent cx="39433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1200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-2307590</wp:posOffset>
            </wp:positionV>
            <wp:extent cx="37719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190" cy="9461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-1647190</wp:posOffset>
            </wp:positionV>
            <wp:extent cx="33401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-1647190</wp:posOffset>
            </wp:positionV>
            <wp:extent cx="2571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 cy="18859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-909955</wp:posOffset>
            </wp:positionV>
            <wp:extent cx="42862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-909955</wp:posOffset>
            </wp:positionV>
            <wp:extent cx="37719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7190" cy="1200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-892810</wp:posOffset>
            </wp:positionV>
            <wp:extent cx="41148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940" w:type="dxa"/>
            <w:vAlign w:val="bottom"/>
            <w:tcBorders>
              <w:top w:val="single" w:sz="8" w:color="auto"/>
              <w:left w:val="single" w:sz="8" w:color="auto"/>
            </w:tcBorders>
          </w:tcPr>
          <w:p>
            <w:pPr>
              <w:spacing w:after="0"/>
              <w:rPr>
                <w:sz w:val="15"/>
                <w:szCs w:val="15"/>
                <w:color w:val="auto"/>
              </w:rPr>
            </w:pPr>
          </w:p>
        </w:tc>
        <w:tc>
          <w:tcPr>
            <w:tcW w:w="2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w:t>
            </w:r>
          </w:p>
        </w:tc>
        <w:tc>
          <w:tcPr>
            <w:tcW w:w="3320" w:type="dxa"/>
            <w:vAlign w:val="bottom"/>
            <w:tcBorders>
              <w:top w:val="single" w:sz="8" w:color="auto"/>
              <w:right w:val="single" w:sz="8" w:color="auto"/>
            </w:tcBorders>
            <w:vMerge w:val="restart"/>
          </w:tcPr>
          <w:p>
            <w:pPr>
              <w:ind w:left="960"/>
              <w:spacing w:after="0"/>
              <w:rPr>
                <w:sz w:val="20"/>
                <w:szCs w:val="20"/>
                <w:color w:val="auto"/>
              </w:rPr>
            </w:pPr>
            <w:r>
              <w:rPr>
                <w:rFonts w:ascii="Arial" w:cs="Arial" w:eastAsia="Arial" w:hAnsi="Arial"/>
                <w:sz w:val="16"/>
                <w:szCs w:val="16"/>
                <w:color w:val="auto"/>
              </w:rPr>
              <w:t>Sole financial advisor to PayPal</w:t>
            </w:r>
          </w:p>
        </w:tc>
        <w:tc>
          <w:tcPr>
            <w:tcW w:w="3300" w:type="dxa"/>
            <w:vAlign w:val="bottom"/>
            <w:tcBorders>
              <w:top w:val="single" w:sz="8" w:color="auto"/>
              <w:right w:val="single" w:sz="8" w:color="auto"/>
            </w:tcBorders>
          </w:tcPr>
          <w:p>
            <w:pPr>
              <w:ind w:left="940"/>
              <w:spacing w:after="0" w:line="179" w:lineRule="exact"/>
              <w:rPr>
                <w:sz w:val="20"/>
                <w:szCs w:val="20"/>
                <w:color w:val="auto"/>
              </w:rPr>
            </w:pPr>
            <w:r>
              <w:rPr>
                <w:rFonts w:ascii="Arial" w:cs="Arial" w:eastAsia="Arial" w:hAnsi="Arial"/>
                <w:sz w:val="16"/>
                <w:szCs w:val="16"/>
                <w:color w:val="auto"/>
              </w:rPr>
              <w:t>Financial advisor to the Ad Hoc</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Group of Constitutional</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stake in</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Holdings, Inc. on its $4B</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Debtholders on settlement with</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SABMiller plc’s $107B sale to</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acquisition of Honey Science</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Puerto Rico Oversight and</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Anheuser-Busch InBev SA/NV</w:t>
            </w:r>
          </w:p>
        </w:tc>
        <w:tc>
          <w:tcPr>
            <w:tcW w:w="3320" w:type="dxa"/>
            <w:vAlign w:val="bottom"/>
            <w:tcBorders>
              <w:right w:val="single" w:sz="8" w:color="auto"/>
            </w:tcBorders>
            <w:vMerge w:val="restart"/>
          </w:tcPr>
          <w:p>
            <w:pPr>
              <w:ind w:left="960"/>
              <w:spacing w:after="0"/>
              <w:rPr>
                <w:sz w:val="20"/>
                <w:szCs w:val="20"/>
                <w:color w:val="auto"/>
              </w:rPr>
            </w:pPr>
            <w:r>
              <w:rPr>
                <w:rFonts w:ascii="Arial" w:cs="Arial" w:eastAsia="Arial" w:hAnsi="Arial"/>
                <w:sz w:val="16"/>
                <w:szCs w:val="16"/>
                <w:color w:val="auto"/>
              </w:rPr>
              <w:t>Corporation</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Management Board</w:t>
            </w:r>
          </w:p>
        </w:tc>
        <w:tc>
          <w:tcPr>
            <w:tcW w:w="0" w:type="dxa"/>
            <w:vAlign w:val="bottom"/>
          </w:tcPr>
          <w:p>
            <w:pPr>
              <w:spacing w:after="0"/>
              <w:rPr>
                <w:sz w:val="1"/>
                <w:szCs w:val="1"/>
                <w:color w:val="auto"/>
              </w:rPr>
            </w:pPr>
          </w:p>
        </w:tc>
      </w:tr>
      <w:tr>
        <w:trPr>
          <w:trHeight w:val="84"/>
        </w:trPr>
        <w:tc>
          <w:tcPr>
            <w:tcW w:w="940" w:type="dxa"/>
            <w:vAlign w:val="bottom"/>
            <w:tcBorders>
              <w:lef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Advisor to Altria Group, Inc. in its</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Advisor to Occidental Petroleum</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w w:val="94"/>
              </w:rPr>
              <w:t>Advisor to Legacy Reserves Inc. in</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6"/>
              </w:rPr>
              <w:t>$12.8B investment in JUUL Labs,</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rPr>
              <w:t>Corp. on formation of Midland</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rPr>
              <w:t>its joint Chapter 11 plan of</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w w:val="96"/>
              </w:rPr>
              <w:t>Basin JV with EcoPetrol for $1.5B</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reorganization</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940" w:type="dxa"/>
            <w:vAlign w:val="bottom"/>
            <w:tcBorders>
              <w:lef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Exclusive financial advisor to</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$1.8B acquisition of</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4"/>
              </w:rPr>
              <w:t>Cantel Medical Corp. on its $775M</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w w:val="94"/>
              </w:rPr>
              <w:t>Special Committee of the WeWork</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Cronos Group Inc.</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w w:val="99"/>
              </w:rPr>
              <w:t>acquisition of Hu-Friedy Mfg. Co.</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9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E.ON SE in its $54B</w:t>
            </w:r>
          </w:p>
        </w:tc>
        <w:tc>
          <w:tcPr>
            <w:tcW w:w="3320" w:type="dxa"/>
            <w:vAlign w:val="bottom"/>
            <w:tcBorders>
              <w:right w:val="single" w:sz="8" w:color="auto"/>
            </w:tcBorders>
          </w:tcPr>
          <w:p>
            <w:pPr>
              <w:ind w:left="960"/>
              <w:spacing w:after="0" w:line="159" w:lineRule="exact"/>
              <w:rPr>
                <w:sz w:val="20"/>
                <w:szCs w:val="20"/>
                <w:color w:val="auto"/>
              </w:rPr>
            </w:pPr>
            <w:r>
              <w:rPr>
                <w:rFonts w:ascii="Arial" w:cs="Arial" w:eastAsia="Arial" w:hAnsi="Arial"/>
                <w:sz w:val="16"/>
                <w:szCs w:val="16"/>
                <w:color w:val="auto"/>
                <w:w w:val="98"/>
              </w:rPr>
              <w:t>Exclusive advisor to SodaStream</w:t>
            </w:r>
          </w:p>
        </w:tc>
        <w:tc>
          <w:tcPr>
            <w:tcW w:w="3300" w:type="dxa"/>
            <w:vAlign w:val="bottom"/>
            <w:tcBorders>
              <w:right w:val="single" w:sz="8" w:color="auto"/>
            </w:tcBorders>
          </w:tcPr>
          <w:p>
            <w:pPr>
              <w:ind w:left="940"/>
              <w:spacing w:after="0" w:line="159" w:lineRule="exact"/>
              <w:rPr>
                <w:sz w:val="20"/>
                <w:szCs w:val="20"/>
                <w:color w:val="auto"/>
              </w:rPr>
            </w:pPr>
            <w:r>
              <w:rPr>
                <w:rFonts w:ascii="Arial" w:cs="Arial" w:eastAsia="Arial" w:hAnsi="Arial"/>
                <w:sz w:val="16"/>
                <w:szCs w:val="16"/>
                <w:color w:val="auto"/>
              </w:rPr>
              <w:t>Advisor to one of the largest</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acquisition of innogy SE and</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6"/>
              </w:rPr>
              <w:t>International, Ltd. in its $3.2B sale</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rPr>
              <w:t>creditors in Sears, Roebuck and</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5"/>
              </w:rPr>
              <w:t>exchange of assets with RWE AG</w:t>
            </w:r>
          </w:p>
        </w:tc>
        <w:tc>
          <w:tcPr>
            <w:tcW w:w="332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6"/>
                <w:szCs w:val="16"/>
                <w:color w:val="auto"/>
              </w:rPr>
              <w:t>to PepsiCo Inc.</w:t>
            </w:r>
          </w:p>
        </w:tc>
        <w:tc>
          <w:tcPr>
            <w:tcW w:w="330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6"/>
                <w:szCs w:val="16"/>
                <w:color w:val="auto"/>
              </w:rPr>
              <w:t>Co.’s debt restructuring</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Lead advisor to Becton, Dickinson</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8"/>
              </w:rPr>
              <w:t>Advisor to Apache Corporation in</w:t>
            </w: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and Co. in its $24B acquisition of</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the $3.5B formation of Altus</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94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C.R. Bard, Inc.</w:t>
            </w:r>
          </w:p>
        </w:tc>
        <w:tc>
          <w:tcPr>
            <w:tcW w:w="3320" w:type="dxa"/>
            <w:vAlign w:val="bottom"/>
            <w:tcBorders>
              <w:right w:val="single" w:sz="8" w:color="auto"/>
            </w:tcBorders>
            <w:vMerge w:val="restart"/>
          </w:tcPr>
          <w:p>
            <w:pPr>
              <w:ind w:left="960"/>
              <w:spacing w:after="0"/>
              <w:rPr>
                <w:sz w:val="20"/>
                <w:szCs w:val="20"/>
                <w:color w:val="auto"/>
              </w:rPr>
            </w:pPr>
            <w:r>
              <w:rPr>
                <w:rFonts w:ascii="Arial" w:cs="Arial" w:eastAsia="Arial" w:hAnsi="Arial"/>
                <w:sz w:val="16"/>
                <w:szCs w:val="16"/>
                <w:color w:val="auto"/>
              </w:rPr>
              <w:t>Midstream LP</w:t>
            </w:r>
          </w:p>
        </w:tc>
        <w:tc>
          <w:tcPr>
            <w:tcW w:w="3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40" w:type="dxa"/>
            <w:vAlign w:val="bottom"/>
            <w:tcBorders>
              <w:left w:val="single" w:sz="8" w:color="auto"/>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3320" w:type="dxa"/>
            <w:vAlign w:val="bottom"/>
            <w:tcBorders>
              <w:bottom w:val="single" w:sz="8" w:color="auto"/>
              <w:right w:val="single" w:sz="8" w:color="auto"/>
            </w:tcBorders>
            <w:vMerge w:val="continue"/>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believe that leadership in the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19" w:lineRule="exact"/>
        <w:rPr>
          <w:sz w:val="20"/>
          <w:szCs w:val="20"/>
          <w:color w:val="auto"/>
        </w:rPr>
      </w:pPr>
    </w:p>
    <w:p>
      <w:pPr>
        <w:ind w:left="640" w:right="120" w:hanging="322"/>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1" w:lineRule="exact"/>
        <w:rPr>
          <w:rFonts w:ascii="Arial" w:cs="Arial" w:eastAsia="Arial" w:hAnsi="Arial"/>
          <w:sz w:val="18"/>
          <w:szCs w:val="18"/>
          <w:color w:val="auto"/>
        </w:rPr>
      </w:pPr>
    </w:p>
    <w:p>
      <w:pPr>
        <w:ind w:left="640" w:right="220" w:hanging="322"/>
        <w:spacing w:after="0" w:line="312"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Social. </w:t>
      </w:r>
      <w:r>
        <w:rPr>
          <w:rFonts w:ascii="Arial" w:cs="Arial" w:eastAsia="Arial" w:hAnsi="Arial"/>
          <w:sz w:val="17"/>
          <w:szCs w:val="17"/>
          <w:color w:val="auto"/>
        </w:rPr>
        <w:t>The Social pillar is focused on promoting diversity and inclusion, reinforcing our commitment to engage, develop and</w:t>
      </w:r>
      <w:r>
        <w:rPr>
          <w:rFonts w:ascii="Arial" w:cs="Arial" w:eastAsia="Arial" w:hAnsi="Arial"/>
          <w:sz w:val="17"/>
          <w:szCs w:val="17"/>
          <w:b w:val="1"/>
          <w:b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85" w:lineRule="exact"/>
        <w:rPr>
          <w:rFonts w:ascii="Arial" w:cs="Arial" w:eastAsia="Arial" w:hAnsi="Arial"/>
          <w:sz w:val="17"/>
          <w:szCs w:val="17"/>
          <w:color w:val="auto"/>
        </w:rPr>
      </w:pPr>
    </w:p>
    <w:p>
      <w:pPr>
        <w:jc w:val="both"/>
        <w:ind w:left="640" w:right="40" w:hanging="322"/>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Governance. </w:t>
      </w:r>
      <w:r>
        <w:rPr>
          <w:rFonts w:ascii="Arial" w:cs="Arial" w:eastAsia="Arial" w:hAnsi="Arial"/>
          <w:sz w:val="18"/>
          <w:szCs w:val="18"/>
          <w:color w:val="auto"/>
        </w:rPr>
        <w:t>The Governance pillar is focused on upholding our commitment to ethical business conduct, professional integrity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ectPr>
          <w:pgSz w:w="11900" w:h="16838" w:orient="portrait"/>
          <w:cols w:equalWidth="0" w:num="1">
            <w:col w:w="9920"/>
          </w:cols>
          <w:pgMar w:left="100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20"/>
          </w:cols>
          <w:pgMar w:left="1000" w:top="1440" w:right="9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drivers of the growth of the Company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47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30, 2016, we completed a business combination with TPH, an independent advisory firm focused on the energy industry (the “</w:t>
      </w:r>
      <w:r>
        <w:rPr>
          <w:rFonts w:ascii="Arial" w:cs="Arial" w:eastAsia="Arial" w:hAnsi="Arial"/>
          <w:sz w:val="18"/>
          <w:szCs w:val="18"/>
          <w:u w:val="single" w:color="auto"/>
          <w:color w:val="auto"/>
        </w:rPr>
        <w:t>TPH Business Combination</w:t>
      </w:r>
      <w:r>
        <w:rPr>
          <w:rFonts w:ascii="Arial" w:cs="Arial" w:eastAsia="Arial" w:hAnsi="Arial"/>
          <w:sz w:val="18"/>
          <w:szCs w:val="18"/>
          <w:color w:val="auto"/>
        </w:rPr>
        <w:t>”). TPH was founded in 2007 and is headquartered in Houston, Texas.</w:t>
      </w:r>
    </w:p>
    <w:p>
      <w:pPr>
        <w:spacing w:after="0" w:line="11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February 28, 2019, we effected the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(the "PWP Separation"). For additional information about the PWP Separation and our relationship with PWP Capital, see “</w:t>
      </w:r>
      <w:r>
        <w:rPr>
          <w:rFonts w:ascii="Arial" w:cs="Arial" w:eastAsia="Arial" w:hAnsi="Arial"/>
          <w:sz w:val="17"/>
          <w:szCs w:val="17"/>
          <w:i w:val="1"/>
          <w:iCs w:val="1"/>
          <w:color w:val="auto"/>
        </w:rPr>
        <w:t>Certain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Persons Transactions—PWP’s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440" w:right="10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40" w:right="140" w:hanging="322"/>
        <w:spacing w:after="0" w:line="259"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40" w:right="60" w:hanging="322"/>
        <w:spacing w:after="0" w:line="27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40" w:right="60" w:hanging="322"/>
        <w:spacing w:after="0" w:line="301" w:lineRule="auto"/>
        <w:tabs>
          <w:tab w:leader="none" w:pos="63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repaid certain indebtedness of PWP OpCo and its subsidiaries, including the repayment of all outstanding borrowings under the Revolving Credit Agreement (as defined below)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the PIPE Investment in the amount of $125,000,000.</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(as defined herein), Amended and Restated Registration Rights Agreement and Stockholders Agreement (as defined herein)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00"/>
          </w:cols>
          <w:pgMar w:left="1000"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93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Class A Common Stock</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21, 2022, we completed an underwritten public offering of 3,502,033 shares of our Class A common stock (the “</w:t>
      </w:r>
      <w:r>
        <w:rPr>
          <w:rFonts w:ascii="Arial" w:cs="Arial" w:eastAsia="Arial" w:hAnsi="Arial"/>
          <w:sz w:val="17"/>
          <w:szCs w:val="17"/>
          <w:u w:val="single" w:color="auto"/>
          <w:color w:val="auto"/>
        </w:rPr>
        <w:t>January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2022 Offering</w:t>
      </w:r>
      <w:r>
        <w:rPr>
          <w:rFonts w:ascii="Arial" w:cs="Arial" w:eastAsia="Arial" w:hAnsi="Arial"/>
          <w:sz w:val="17"/>
          <w:szCs w:val="17"/>
          <w:color w:val="auto"/>
        </w:rPr>
        <w:t>”). The shares of Class A common stock were issued and sold pursuant to an underwriting agreement, dated January 18, 2022, by and between us and JMP Securities LLC, at a public offering price of $10.75 per share, before deducting underwriting discounts and commissions. The proceeds from the January 2022 Offering, net of underwriting discounts and commissions, were used by us to purchase from certain non-employee holders (i) outstanding PWP OpCo Class A partnership units and (ii) outstanding shares of our Class B common stock. We did not retain any proceeds from the January 2022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January 2022 Offering and the application of the proceeds therefrom:</w:t>
      </w:r>
    </w:p>
    <w:p>
      <w:pPr>
        <w:spacing w:after="0" w:line="171"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held PWP OpCo Class A partnership units representing 49.7% of the total number of PWP OpCo Class A partnership units;</w:t>
      </w:r>
    </w:p>
    <w:p>
      <w:pPr>
        <w:spacing w:after="0" w:line="194" w:lineRule="exact"/>
        <w:rPr>
          <w:rFonts w:ascii="Arial" w:cs="Arial" w:eastAsia="Arial" w:hAnsi="Arial"/>
          <w:sz w:val="16"/>
          <w:szCs w:val="16"/>
          <w:color w:val="auto"/>
        </w:rPr>
      </w:pPr>
    </w:p>
    <w:p>
      <w:pPr>
        <w:ind w:left="640" w:right="2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ILPs held PWP OpCo Class A partnership units representing 2.5% of the total number of PWP OpCo Class A partnership units; and</w:t>
      </w:r>
    </w:p>
    <w:p>
      <w:pPr>
        <w:spacing w:after="0" w:line="116" w:lineRule="exact"/>
        <w:rPr>
          <w:rFonts w:ascii="Arial" w:cs="Arial" w:eastAsia="Arial" w:hAnsi="Arial"/>
          <w:sz w:val="18"/>
          <w:szCs w:val="18"/>
          <w:color w:val="auto"/>
        </w:rPr>
      </w:pPr>
    </w:p>
    <w:p>
      <w:pPr>
        <w:ind w:left="640" w:right="6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Partners held PWP OpCo Class A partnership units representing 47.8% of the total number of PWP OpCo Class A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80"/>
          </w:cols>
          <w:pgMar w:left="1000" w:top="1440" w:right="10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diagram illustrates our organizational structure immediately following the January 2022 Offering and the application of the proceeds of our issuance and sale of 3,502,033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16, 2022, we announced that our board of directors approved a stock repurchase program under which we are authorized to repurchase up to $100,000,000 of our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manner, timing, pricing and amount of any transactions will be subject to our discretion and may be based upon market conditions and alternative opportunities that we may have for the use or investment of its capital. We may also from time to time establish one or more plans under Rule 10b5-1 of the Exchange Act. The repurchase program may be modified, suspended or discontinued at any time.</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820"/>
          </w:cols>
          <w:pgMar w:left="1000" w:top="1440" w:right="107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this prospectus beginning on page </w:t>
      </w:r>
      <w:hyperlink w:anchor="page39">
        <w:r>
          <w:rPr>
            <w:rFonts w:ascii="Arial" w:cs="Arial" w:eastAsia="Arial" w:hAnsi="Arial"/>
            <w:sz w:val="16"/>
            <w:szCs w:val="16"/>
            <w:u w:val="single" w:color="auto"/>
            <w:color w:val="0000FF"/>
          </w:rPr>
          <w:t>30</w:t>
        </w:r>
      </w:hyperlink>
      <w:r>
        <w:rPr>
          <w:rFonts w:ascii="Arial" w:cs="Arial" w:eastAsia="Arial" w:hAnsi="Arial"/>
          <w:sz w:val="16"/>
          <w:szCs w:val="16"/>
          <w:color w:val="auto"/>
        </w:rPr>
        <w:t>.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240" w:hanging="322"/>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71" w:lineRule="exact"/>
        <w:rPr>
          <w:rFonts w:ascii="Arial" w:cs="Arial" w:eastAsia="Arial" w:hAnsi="Arial"/>
          <w:sz w:val="18"/>
          <w:szCs w:val="18"/>
          <w:color w:val="auto"/>
        </w:rPr>
      </w:pPr>
    </w:p>
    <w:p>
      <w:pPr>
        <w:ind w:left="640" w:right="20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16" w:lineRule="exact"/>
        <w:rPr>
          <w:rFonts w:ascii="Arial" w:cs="Arial" w:eastAsia="Arial" w:hAnsi="Arial"/>
          <w:sz w:val="18"/>
          <w:szCs w:val="18"/>
          <w:color w:val="auto"/>
        </w:rPr>
      </w:pPr>
    </w:p>
    <w:p>
      <w:pPr>
        <w:ind w:left="640" w:right="740" w:hanging="322"/>
        <w:spacing w:after="0" w:line="30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40"/>
          </w:cols>
          <w:pgMar w:left="1000" w:top="1440" w:right="105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76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16" w:lineRule="exact"/>
        <w:rPr>
          <w:rFonts w:ascii="Arial" w:cs="Arial" w:eastAsia="Arial" w:hAnsi="Arial"/>
          <w:sz w:val="18"/>
          <w:szCs w:val="18"/>
          <w:color w:val="auto"/>
        </w:rPr>
      </w:pPr>
    </w:p>
    <w:p>
      <w:pPr>
        <w:ind w:left="640" w:right="2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29" w:lineRule="exact"/>
        <w:rPr>
          <w:rFonts w:ascii="Arial" w:cs="Arial" w:eastAsia="Arial" w:hAnsi="Arial"/>
          <w:sz w:val="18"/>
          <w:szCs w:val="18"/>
          <w:color w:val="auto"/>
        </w:rPr>
      </w:pPr>
    </w:p>
    <w:p>
      <w:pPr>
        <w:ind w:left="640" w:right="10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29"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71" w:lineRule="exact"/>
        <w:rPr>
          <w:rFonts w:ascii="Arial" w:cs="Arial" w:eastAsia="Arial" w:hAnsi="Arial"/>
          <w:sz w:val="18"/>
          <w:szCs w:val="18"/>
          <w:color w:val="auto"/>
        </w:rPr>
      </w:pPr>
    </w:p>
    <w:p>
      <w:pPr>
        <w:ind w:left="640" w:right="56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16" w:lineRule="exact"/>
        <w:rPr>
          <w:rFonts w:ascii="Arial" w:cs="Arial" w:eastAsia="Arial" w:hAnsi="Arial"/>
          <w:sz w:val="18"/>
          <w:szCs w:val="18"/>
          <w:color w:val="auto"/>
        </w:rPr>
      </w:pPr>
    </w:p>
    <w:p>
      <w:pPr>
        <w:ind w:left="640" w:right="60" w:hanging="322"/>
        <w:spacing w:after="0" w:line="311"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94"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71" w:lineRule="exact"/>
        <w:rPr>
          <w:rFonts w:ascii="Arial" w:cs="Arial" w:eastAsia="Arial" w:hAnsi="Arial"/>
          <w:sz w:val="18"/>
          <w:szCs w:val="18"/>
          <w:color w:val="auto"/>
        </w:rPr>
      </w:pPr>
    </w:p>
    <w:p>
      <w:pPr>
        <w:ind w:left="640" w:right="28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consolidated financial information for periods prior to the Business Combination on June 24, 2021 and the unaudited pro forma financial information in this prospectus is not representative of the results we would have achieved as a stand-alone public company and may not permit you to predict our future results.</w:t>
      </w:r>
    </w:p>
    <w:p>
      <w:pPr>
        <w:spacing w:after="0" w:line="129" w:lineRule="exact"/>
        <w:rPr>
          <w:rFonts w:ascii="Arial" w:cs="Arial" w:eastAsia="Arial" w:hAnsi="Arial"/>
          <w:sz w:val="18"/>
          <w:szCs w:val="18"/>
          <w:color w:val="auto"/>
        </w:rPr>
      </w:pPr>
    </w:p>
    <w:p>
      <w:pPr>
        <w:jc w:val="both"/>
        <w:ind w:left="640" w:right="38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880"/>
          </w:cols>
          <w:pgMar w:left="1000" w:top="1440" w:right="10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84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708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and (ii) up to 203,333 Warrants. Any investment in the securities offered hereby is speculative and involves a high degree of risk. You should carefully consider the information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on page </w:t>
      </w:r>
      <w:hyperlink w:anchor="page39">
        <w:r>
          <w:rPr>
            <w:rFonts w:ascii="Arial" w:cs="Arial" w:eastAsia="Arial" w:hAnsi="Arial"/>
            <w:sz w:val="17"/>
            <w:szCs w:val="17"/>
            <w:u w:val="single" w:color="auto"/>
            <w:color w:val="0000FF"/>
          </w:rPr>
          <w:t>30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Class A Common Stock</w:t>
      </w:r>
    </w:p>
    <w:p>
      <w:pPr>
        <w:spacing w:after="0" w:line="17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following information is as of February 28, 2022 and does not give effect to issuances of our Class A common stock or Warrants after such date, the exercise of Warrants or settlement of restricted stock units after such date or the exchange of PWP OpCo Class A</w:t>
      </w:r>
    </w:p>
    <w:p>
      <w:pPr>
        <w:sectPr>
          <w:pgSz w:w="11900" w:h="16838" w:orient="portrait"/>
          <w:cols w:equalWidth="0" w:num="1">
            <w:col w:w="9860"/>
          </w:cols>
          <w:pgMar w:left="1000" w:top="1440" w:right="1039" w:bottom="1440" w:gutter="0" w:footer="0" w:header="0"/>
        </w:sectPr>
      </w:pPr>
    </w:p>
    <w:p>
      <w:pPr>
        <w:spacing w:after="0"/>
        <w:rPr>
          <w:sz w:val="20"/>
          <w:szCs w:val="20"/>
          <w:color w:val="auto"/>
        </w:rPr>
      </w:pPr>
      <w:r>
        <w:rPr>
          <w:rFonts w:ascii="Arial" w:cs="Arial" w:eastAsia="Arial" w:hAnsi="Arial"/>
          <w:sz w:val="18"/>
          <w:szCs w:val="18"/>
          <w:color w:val="auto"/>
        </w:rPr>
        <w:t>partnership units or shares of Class B common stock.</w:t>
      </w:r>
    </w:p>
    <w:p>
      <w:pPr>
        <w:spacing w:after="0" w:line="197" w:lineRule="exact"/>
        <w:rPr>
          <w:sz w:val="20"/>
          <w:szCs w:val="20"/>
          <w:color w:val="auto"/>
        </w:rPr>
      </w:pPr>
    </w:p>
    <w:p>
      <w:pPr>
        <w:ind w:left="180" w:right="160" w:hanging="161"/>
        <w:spacing w:after="0" w:line="258" w:lineRule="auto"/>
        <w:rPr>
          <w:sz w:val="20"/>
          <w:szCs w:val="20"/>
          <w:color w:val="auto"/>
        </w:rPr>
      </w:pPr>
      <w:r>
        <w:rPr>
          <w:rFonts w:ascii="Arial" w:cs="Arial" w:eastAsia="Arial" w:hAnsi="Arial"/>
          <w:sz w:val="17"/>
          <w:szCs w:val="17"/>
          <w:color w:val="auto"/>
        </w:rPr>
        <w:t>Shares of our Class A common stock to be issued upon exercise of all Public Warrants and Private Placement Warrants</w:t>
      </w:r>
    </w:p>
    <w:p>
      <w:pPr>
        <w:spacing w:after="0" w:line="39" w:lineRule="exact"/>
        <w:rPr>
          <w:sz w:val="20"/>
          <w:szCs w:val="20"/>
          <w:color w:val="auto"/>
        </w:rPr>
      </w:pPr>
    </w:p>
    <w:p>
      <w:pPr>
        <w:ind w:left="180" w:hanging="161"/>
        <w:spacing w:after="0" w:line="258" w:lineRule="auto"/>
        <w:rPr>
          <w:sz w:val="20"/>
          <w:szCs w:val="20"/>
          <w:color w:val="auto"/>
        </w:rPr>
      </w:pPr>
      <w:r>
        <w:rPr>
          <w:rFonts w:ascii="Arial" w:cs="Arial" w:eastAsia="Arial" w:hAnsi="Arial"/>
          <w:sz w:val="17"/>
          <w:szCs w:val="17"/>
          <w:color w:val="auto"/>
        </w:rPr>
        <w:t>Shares of our Class A common stock outstanding prior to exercise of all Public Warrants and Private Placement Warrants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216" w:lineRule="exact"/>
        <w:rPr>
          <w:sz w:val="20"/>
          <w:szCs w:val="20"/>
          <w:color w:val="auto"/>
        </w:rPr>
      </w:pPr>
    </w:p>
    <w:p>
      <w:pPr>
        <w:ind w:left="180" w:right="20" w:hanging="161"/>
        <w:spacing w:after="0" w:line="216" w:lineRule="auto"/>
        <w:rPr>
          <w:sz w:val="20"/>
          <w:szCs w:val="20"/>
          <w:color w:val="auto"/>
        </w:rPr>
      </w:pPr>
      <w:r>
        <w:rPr>
          <w:rFonts w:ascii="Arial" w:cs="Arial" w:eastAsia="Arial" w:hAnsi="Arial"/>
          <w:sz w:val="18"/>
          <w:szCs w:val="18"/>
          <w:color w:val="auto"/>
        </w:rPr>
        <w:t>Shares of Class A common stock offered by the Selling Holders (including 203,333 shares of Class A common stock that may be issued upon exercise of the Private Placement Warrants, 5,846,667 Founder Shares, 610,000 Placement Shares, 12,500,000 PIPE Shares, and 45,578,934 Exchange Shares)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offered by the Selling Holders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Price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7,869,975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46,939,793 shares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ind w:right="20"/>
        <w:spacing w:after="0" w:line="235" w:lineRule="auto"/>
        <w:rPr>
          <w:sz w:val="20"/>
          <w:szCs w:val="20"/>
          <w:color w:val="auto"/>
        </w:rPr>
      </w:pPr>
      <w:r>
        <w:rPr>
          <w:rFonts w:ascii="Arial" w:cs="Arial" w:eastAsia="Arial" w:hAnsi="Arial"/>
          <w:sz w:val="16"/>
          <w:szCs w:val="16"/>
          <w:color w:val="auto"/>
        </w:rPr>
        <w:t>$90,504,712.50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64,738,934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203,333 Warrants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subject to adjustment as described herein</w:t>
      </w:r>
    </w:p>
    <w:p>
      <w:pPr>
        <w:spacing w:after="0" w:line="100"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Warrants are redeemable in certain circumstances. See “Description of Securities—Private Placement Warrants” for further discussion.</w:t>
      </w:r>
    </w:p>
    <w:p>
      <w:pPr>
        <w:spacing w:after="0" w:line="39" w:lineRule="exact"/>
        <w:rPr>
          <w:sz w:val="20"/>
          <w:szCs w:val="20"/>
          <w:color w:val="auto"/>
        </w:rPr>
      </w:pPr>
    </w:p>
    <w:p>
      <w:pPr>
        <w:sectPr>
          <w:pgSz w:w="11900" w:h="16838" w:orient="portrait"/>
          <w:cols w:equalWidth="0" w:num="2">
            <w:col w:w="5200" w:space="140"/>
            <w:col w:w="4520"/>
          </w:cols>
          <w:pgMar w:left="1000" w:top="1440" w:right="1039" w:bottom="1440" w:gutter="0" w:footer="0" w:header="0"/>
          <w:type w:val="continuous"/>
        </w:sectPr>
      </w:pPr>
    </w:p>
    <w:p>
      <w:pPr>
        <w:ind w:left="20"/>
        <w:spacing w:after="0"/>
        <w:tabs>
          <w:tab w:leader="none" w:pos="53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the Class A</w:t>
      </w:r>
    </w:p>
    <w:p>
      <w:pPr>
        <w:ind w:left="5340"/>
        <w:spacing w:after="0" w:line="215" w:lineRule="auto"/>
        <w:rPr>
          <w:sz w:val="20"/>
          <w:szCs w:val="20"/>
          <w:color w:val="auto"/>
        </w:rPr>
      </w:pPr>
      <w:r>
        <w:rPr>
          <w:rFonts w:ascii="Arial" w:cs="Arial" w:eastAsia="Arial" w:hAnsi="Arial"/>
          <w:sz w:val="17"/>
          <w:szCs w:val="17"/>
          <w:color w:val="auto"/>
        </w:rPr>
        <w:t>common stock and Warrants to be offered by the Selling</w:t>
      </w:r>
    </w:p>
    <w:p>
      <w:pPr>
        <w:ind w:left="5340"/>
        <w:spacing w:after="0" w:line="215" w:lineRule="auto"/>
        <w:rPr>
          <w:sz w:val="20"/>
          <w:szCs w:val="20"/>
          <w:color w:val="auto"/>
        </w:rPr>
      </w:pPr>
      <w:r>
        <w:rPr>
          <w:rFonts w:ascii="Arial" w:cs="Arial" w:eastAsia="Arial" w:hAnsi="Arial"/>
          <w:sz w:val="17"/>
          <w:szCs w:val="17"/>
          <w:color w:val="auto"/>
        </w:rPr>
        <w:t>Holders. With respect to shares of Class A common stock</w:t>
      </w:r>
    </w:p>
    <w:p>
      <w:pPr>
        <w:ind w:left="5340"/>
        <w:spacing w:after="0" w:line="216" w:lineRule="auto"/>
        <w:rPr>
          <w:sz w:val="20"/>
          <w:szCs w:val="20"/>
          <w:color w:val="auto"/>
        </w:rPr>
      </w:pPr>
      <w:r>
        <w:rPr>
          <w:rFonts w:ascii="Arial" w:cs="Arial" w:eastAsia="Arial" w:hAnsi="Arial"/>
          <w:sz w:val="17"/>
          <w:szCs w:val="17"/>
          <w:color w:val="auto"/>
        </w:rPr>
        <w:t>underlying the Warrants, we will not receive any proceeds</w:t>
      </w:r>
    </w:p>
    <w:p>
      <w:pPr>
        <w:ind w:left="5340"/>
        <w:spacing w:after="0" w:line="229" w:lineRule="auto"/>
        <w:rPr>
          <w:sz w:val="20"/>
          <w:szCs w:val="20"/>
          <w:color w:val="auto"/>
        </w:rPr>
      </w:pPr>
      <w:r>
        <w:rPr>
          <w:rFonts w:ascii="Arial" w:cs="Arial" w:eastAsia="Arial" w:hAnsi="Arial"/>
          <w:sz w:val="16"/>
          <w:szCs w:val="16"/>
          <w:color w:val="auto"/>
        </w:rPr>
        <w:t>from such shares except with respect to amounts received by</w:t>
      </w:r>
    </w:p>
    <w:p>
      <w:pPr>
        <w:ind w:left="5340"/>
        <w:spacing w:after="0"/>
        <w:rPr>
          <w:sz w:val="20"/>
          <w:szCs w:val="20"/>
          <w:color w:val="auto"/>
        </w:rPr>
      </w:pPr>
      <w:r>
        <w:rPr>
          <w:rFonts w:ascii="Arial" w:cs="Arial" w:eastAsia="Arial" w:hAnsi="Arial"/>
          <w:sz w:val="15"/>
          <w:szCs w:val="15"/>
          <w:color w:val="auto"/>
        </w:rPr>
        <w:t>us upon exercise of such Warrants to the extent such Warrants</w:t>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are exercised for cash.</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860"/>
          </w:cols>
          <w:pgMar w:left="1000" w:top="1440" w:right="1039" w:bottom="1440" w:gutter="0" w:footer="0" w:header="0"/>
          <w:type w:val="continuous"/>
        </w:sectPr>
      </w:pPr>
    </w:p>
    <w:bookmarkStart w:id="28" w:name="page29"/>
    <w:bookmarkEnd w:id="28"/>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920"/>
        </w:trPr>
        <w:tc>
          <w:tcPr>
            <w:tcW w:w="3700" w:type="dxa"/>
            <w:vAlign w:val="bottom"/>
            <w:tcBorders>
              <w:top w:val="single" w:sz="8" w:color="auto"/>
              <w:left w:val="single" w:sz="8" w:color="auto"/>
            </w:tcBorders>
          </w:tcPr>
          <w:p>
            <w:pPr>
              <w:ind w:left="700"/>
              <w:spacing w:after="0"/>
              <w:rPr>
                <w:sz w:val="20"/>
                <w:szCs w:val="20"/>
                <w:color w:val="auto"/>
              </w:rPr>
            </w:pPr>
            <w:r>
              <w:rPr>
                <w:rFonts w:ascii="Arial" w:cs="Arial" w:eastAsia="Arial" w:hAnsi="Arial"/>
                <w:sz w:val="18"/>
                <w:szCs w:val="18"/>
                <w:color w:val="auto"/>
              </w:rPr>
              <w:t>Lock-ups</w:t>
            </w:r>
          </w:p>
        </w:tc>
        <w:tc>
          <w:tcPr>
            <w:tcW w:w="7540" w:type="dxa"/>
            <w:vAlign w:val="bottom"/>
            <w:tcBorders>
              <w:top w:val="single" w:sz="8" w:color="auto"/>
              <w:right w:val="single" w:sz="8" w:color="auto"/>
            </w:tcBorders>
          </w:tcPr>
          <w:p>
            <w:pPr>
              <w:ind w:left="2320"/>
              <w:spacing w:after="0"/>
              <w:rPr>
                <w:sz w:val="20"/>
                <w:szCs w:val="20"/>
                <w:color w:val="auto"/>
              </w:rPr>
            </w:pPr>
            <w:r>
              <w:rPr>
                <w:rFonts w:ascii="Arial" w:cs="Arial" w:eastAsia="Arial" w:hAnsi="Arial"/>
                <w:sz w:val="18"/>
                <w:szCs w:val="18"/>
                <w:color w:val="auto"/>
              </w:rPr>
              <w:t>Pursuant to the Sponsor Share Surrender and Share Restriction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Agreement (as defined herein), the Founder Shares and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Placement Shares owned by the Sponsor were subject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transfer restrictions for six months following the closing of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Business Combination and 80% of the Founder Shares held by</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 Sponsor as of the Closing of the Business Combination are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transfer restrictions based on certain closing share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price thresholds of our Class A common stock for 20 out of</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any 30 consecutive trading days. On January 7, 2022,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Sponsor distributed 5,456,667 shares of Class A common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stock (Founder Shares and Placement Shares) and 203,333</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Private Placement Warrants to its members, after which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Sponsor owns 1,000,000 shares of Class A common stock and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no Private Placement Warrants. The 1,000,000 shares of Class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 common stock retained by the Sponsor continue to be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transfer restrictions until the $15 Threshold (as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defined herein) is met. 1,067,274 of the shares distributed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affiliates of the Sponsor and 671,406 of the shares distributed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to non-affiliates of the Sponsor remain subject to transfer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restrictions until either the $15 Threshold or the $17 Threshold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(as defined herein) is met. See “Business Combination—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Related Agreements—Sponsor Share Surrender and Share</w:t>
            </w:r>
          </w:p>
        </w:tc>
      </w:tr>
      <w:tr>
        <w:trPr>
          <w:trHeight w:val="230"/>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Restriction Agreement” for further discussion.</w:t>
            </w:r>
          </w:p>
        </w:tc>
      </w:tr>
      <w:tr>
        <w:trPr>
          <w:trHeight w:val="364"/>
        </w:trPr>
        <w:tc>
          <w:tcPr>
            <w:tcW w:w="370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In connection with the January 2022 Offering, our officers,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directors and certain affiliated stockholders entered into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lockup agreements pursuant to which they have agreed,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certain exceptions, not to dispose of or hedge any of</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their Class A common stock or securities convertible into or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exchangeable for shares of Class A common stock during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period from the date of the prospectus for the January 2022</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Offering, January 18, 2022, continuing through the date that is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90 days after the date of the prospectus for the Offering,</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except with the prior written consent of the underwriter for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January 2022 Offering. The Sponsor and certain of its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affiliates are subject to such restrictions, except with respect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 2,481,572 shares of Class A common stock and 203,330</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Warrants distributed in connection with the Sponsor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Distribution to certain of its members which are not affiliated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with the Sponsor. Of such 2,481,572 shares, 671,406 shares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are subject to transfer restrictions until either the $15</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Threshold or the $17 Threshold, as applicable, is met pursuant</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to the Sponsor Share Surrender and Share Restriction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Agreement described above. See “Securities Act Restrictions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on Resale of Securities—Lock-Up Agreements” for further</w:t>
            </w:r>
          </w:p>
        </w:tc>
      </w:tr>
      <w:tr>
        <w:trPr>
          <w:trHeight w:val="230"/>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discussion.</w:t>
            </w:r>
          </w:p>
        </w:tc>
      </w:tr>
      <w:tr>
        <w:trPr>
          <w:trHeight w:val="766"/>
        </w:trPr>
        <w:tc>
          <w:tcPr>
            <w:tcW w:w="3700" w:type="dxa"/>
            <w:vAlign w:val="bottom"/>
            <w:tcBorders>
              <w:left w:val="single" w:sz="8" w:color="auto"/>
              <w:bottom w:val="single" w:sz="8" w:color="auto"/>
            </w:tcBorders>
          </w:tcPr>
          <w:p>
            <w:pPr>
              <w:spacing w:after="0"/>
              <w:rPr>
                <w:sz w:val="24"/>
                <w:szCs w:val="24"/>
                <w:color w:val="auto"/>
              </w:rPr>
            </w:pPr>
          </w:p>
        </w:tc>
        <w:tc>
          <w:tcPr>
            <w:tcW w:w="75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590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In addition, the PWP OpCo LPA (as defined herein) contains</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restrictions on the ability of to exchange PWP OpCo Class A</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partnership units for Exchange Shares or cash from an offering</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of shares of Class A common stock, for the following periods:</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 PWP OpCo Class A partnership units held by Professional</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Partners will be subject to a restriction for time periods that</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are fully back-to-back with the lock-up periods contemplated</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in the amended and restated limited partnership agreement of</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Professional Partners (generally speaking, such lock-up</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periods (a) for Legacy Partners, the lock-up period expired on</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December 24, 2021; and (b) for Working Partners, will be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between three to five years after the closing of the Business</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Combination, (ii) the restriction on PWP OpCo Class A</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partnership units held by ILPs existing at the time of the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Business Combination expired on December 24, 2021, and</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(iii) any other outstanding PWP OpCo Class A partnership</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units not previously covered by clauses (i) and (ii) above will</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be subject to such restriction for a period of at least twelve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months following the date on which such PWP OpCo Class A</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partnership units were acquired. PWP GP may waive the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foregoing restrictions for any single holder with respect to all</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or a portion of such holder's units, with no obligation to do so</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for any other holder. See “Securities Act Restrictions on</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Resale of Securities—Lock-Up Agreements” for further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discussion.</w:t>
      </w:r>
    </w:p>
    <w:p>
      <w:pPr>
        <w:spacing w:after="0" w:line="10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Nasdaq Ticker Symbols</w:t>
      </w:r>
      <w:r>
        <w:rPr>
          <w:sz w:val="20"/>
          <w:szCs w:val="20"/>
          <w:color w:val="auto"/>
        </w:rPr>
        <w:tab/>
      </w:r>
      <w:r>
        <w:rPr>
          <w:rFonts w:ascii="Arial" w:cs="Arial" w:eastAsia="Arial" w:hAnsi="Arial"/>
          <w:sz w:val="16"/>
          <w:szCs w:val="16"/>
          <w:color w:val="auto"/>
        </w:rPr>
        <w:t>Class A common stock: “PWP” Warrants: “PWPPW”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840"/>
          </w:cols>
          <w:pgMar w:left="1020" w:top="1440" w:right="10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6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36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w:t>
      </w:r>
    </w:p>
    <w:p>
      <w:pPr>
        <w:spacing w:after="0" w:line="175" w:lineRule="exact"/>
        <w:rPr>
          <w:sz w:val="20"/>
          <w:szCs w:val="20"/>
          <w:color w:val="auto"/>
        </w:rPr>
      </w:pPr>
    </w:p>
    <w:p>
      <w:pPr>
        <w:ind w:left="20" w:right="60"/>
        <w:spacing w:after="0" w:line="275" w:lineRule="auto"/>
        <w:rPr>
          <w:sz w:val="20"/>
          <w:szCs w:val="20"/>
          <w:color w:val="auto"/>
        </w:rPr>
      </w:pPr>
      <w:r>
        <w:rPr>
          <w:rFonts w:ascii="Arial" w:cs="Arial" w:eastAsia="Arial" w:hAnsi="Arial"/>
          <w:sz w:val="17"/>
          <w:szCs w:val="17"/>
          <w:color w:val="auto"/>
        </w:rPr>
        <w:t>The summary historical financial and operating data of PWP is presented below as of the dates and for the periods indicated. The statements of operations data for the years ended December 31, 2021, 2020 and 2019 and the statements of financial condition data as of December 31, 2021 and 2020 have been derived from PWP’s audited historical consolidated financial statements included elsewhere in this prospectus. The statements of financial condition data as of December 31, 2019 has been derived from PWP’s audited historical consolidated financial statements not included in this prospectus.</w:t>
      </w:r>
    </w:p>
    <w:p>
      <w:pPr>
        <w:spacing w:after="0" w:line="122" w:lineRule="exact"/>
        <w:rPr>
          <w:sz w:val="20"/>
          <w:szCs w:val="20"/>
          <w:color w:val="auto"/>
        </w:rPr>
      </w:pPr>
    </w:p>
    <w:p>
      <w:pPr>
        <w:ind w:left="20" w:right="380"/>
        <w:spacing w:after="0" w:line="308" w:lineRule="auto"/>
        <w:rPr>
          <w:sz w:val="20"/>
          <w:szCs w:val="20"/>
          <w:color w:val="auto"/>
        </w:rPr>
      </w:pPr>
      <w:r>
        <w:rPr>
          <w:rFonts w:ascii="Arial" w:cs="Arial" w:eastAsia="Arial" w:hAnsi="Arial"/>
          <w:sz w:val="17"/>
          <w:szCs w:val="17"/>
          <w:color w:val="auto"/>
        </w:rPr>
        <w:t>PWP’s historical results and revenue information presented below are not necessarily indicative of the results to be expected for any future period. In connection with the Business Combination, PWP was determined to be the accounting acquirer.</w:t>
      </w:r>
    </w:p>
    <w:p>
      <w:pPr>
        <w:spacing w:after="0" w:line="92"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The following selected financial and other data should be read together with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PWP’s historical consolidated financial statements and related notes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6"/>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12"/>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r>
      <w:tr>
        <w:trPr>
          <w:trHeight w:val="229"/>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r>
      <w:tr>
        <w:trPr>
          <w:trHeight w:val="223"/>
        </w:trPr>
        <w:tc>
          <w:tcPr>
            <w:tcW w:w="5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Non-compensation expenses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145,298</w:t>
            </w:r>
          </w:p>
        </w:tc>
      </w:tr>
      <w:tr>
        <w:trPr>
          <w:trHeight w:val="223"/>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688,416</w:t>
            </w:r>
          </w:p>
        </w:tc>
      </w:tr>
      <w:tr>
        <w:trPr>
          <w:trHeight w:val="223"/>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(155,119)</w:t>
            </w: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Related party revenues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8,810</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w:t>
            </w:r>
          </w:p>
        </w:tc>
      </w:tr>
      <w:tr>
        <w:trPr>
          <w:trHeight w:val="223"/>
        </w:trPr>
        <w:tc>
          <w:tcPr>
            <w:tcW w:w="5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non-operating income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(161,596)</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(164,019)</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8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13,444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00"/>
          </w:cols>
          <w:pgMar w:left="980" w:top="1440" w:right="10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Financial Condition Data (period end)</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718,327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542,953</w:t>
            </w:r>
          </w:p>
        </w:tc>
        <w:tc>
          <w:tcPr>
            <w:tcW w:w="540" w:type="dxa"/>
            <w:vAlign w:val="bottom"/>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2"/>
              </w:rPr>
              <w:t>524,845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net of unamortized debt discounts and issuance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146,965</w:t>
            </w: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153,001</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446,975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468,770</w:t>
            </w:r>
          </w:p>
        </w:tc>
        <w:tc>
          <w:tcPr>
            <w:tcW w:w="540" w:type="dxa"/>
            <w:vAlign w:val="bottom"/>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2"/>
              </w:rPr>
              <w:t>442,940</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271,352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74,183</w:t>
            </w: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81,905</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Data and Metrics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professionals at period-end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402</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Advisory Partners at period-end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54</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fee-paying clients during the period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Number of fee-paying clients $1 million or more during the period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100</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Percentage of total revenues from top 10 transactions during the period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466"/>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187"/>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524,126</w:t>
            </w:r>
          </w:p>
        </w:tc>
      </w:tr>
      <w:tr>
        <w:trPr>
          <w:trHeight w:val="230"/>
        </w:trPr>
        <w:tc>
          <w:tcPr>
            <w:tcW w:w="5540" w:type="dxa"/>
            <w:vAlign w:val="bottom"/>
          </w:tcPr>
          <w:p>
            <w:pPr>
              <w:ind w:left="40"/>
              <w:spacing w:after="0" w:line="230" w:lineRule="exact"/>
              <w:rPr>
                <w:sz w:val="20"/>
                <w:szCs w:val="20"/>
                <w:color w:val="auto"/>
              </w:rPr>
            </w:pPr>
            <w:r>
              <w:rPr>
                <w:rFonts w:ascii="Arial" w:cs="Arial" w:eastAsia="Arial" w:hAnsi="Arial"/>
                <w:sz w:val="18"/>
                <w:szCs w:val="18"/>
                <w:color w:val="auto"/>
              </w:rPr>
              <w:t>Reimbursed expenses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6,729</w:t>
            </w: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Co-advisor advisory fees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23"/>
        </w:trPr>
        <w:tc>
          <w:tcPr>
            <w:tcW w:w="55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801,662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r>
      <w:tr>
        <w:trPr>
          <w:trHeight w:val="21"/>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40" w:hanging="326"/>
        <w:spacing w:after="0" w:line="276" w:lineRule="auto"/>
        <w:tabs>
          <w:tab w:leader="none" w:pos="332"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p>
      <w:pPr>
        <w:jc w:val="center"/>
        <w:ind w:right="-19"/>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00" w:type="dxa"/>
            <w:vAlign w:val="bottom"/>
            <w:tcBorders>
              <w:top w:val="single" w:sz="8" w:color="auto"/>
            </w:tcBorders>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8"/>
              </w:rPr>
              <w:t>September 30,</w:t>
            </w:r>
          </w:p>
        </w:tc>
        <w:tc>
          <w:tcPr>
            <w:tcW w:w="1120" w:type="dxa"/>
            <w:vAlign w:val="bottom"/>
            <w:tcBorders>
              <w:top w:val="single" w:sz="8" w:color="auto"/>
            </w:tcBorders>
            <w:gridSpan w:val="3"/>
          </w:tcPr>
          <w:p>
            <w:pPr>
              <w:ind w:left="100"/>
              <w:spacing w:after="0" w:line="141" w:lineRule="exact"/>
              <w:rPr>
                <w:sz w:val="20"/>
                <w:szCs w:val="20"/>
                <w:color w:val="auto"/>
              </w:rPr>
            </w:pPr>
            <w:r>
              <w:rPr>
                <w:rFonts w:ascii="Arial" w:cs="Arial" w:eastAsia="Arial" w:hAnsi="Arial"/>
                <w:sz w:val="14"/>
                <w:szCs w:val="14"/>
                <w:b w:val="1"/>
                <w:bCs w:val="1"/>
                <w:color w:val="auto"/>
              </w:rPr>
              <w:t>June 30, 2021</w:t>
            </w:r>
          </w:p>
        </w:tc>
        <w:tc>
          <w:tcPr>
            <w:tcW w:w="11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2021</w:t>
            </w:r>
          </w:p>
        </w:tc>
        <w:tc>
          <w:tcPr>
            <w:tcW w:w="1100" w:type="dxa"/>
            <w:vAlign w:val="bottom"/>
            <w:tcBorders>
              <w:top w:val="single" w:sz="8" w:color="auto"/>
            </w:tcBorders>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8"/>
              </w:rPr>
              <w:t>September 30,</w:t>
            </w:r>
          </w:p>
        </w:tc>
        <w:tc>
          <w:tcPr>
            <w:tcW w:w="11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171,881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2021 and 2020, have been derived from the books and records of PWP. Such quarterly revenue information has not been audited or reviewed in accordance with US generally accepted auditing standards.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In addition to financial measures presented in accordance with GAAP, PWP monitors Adjusted total compensation and benefits, Adjusted non-compensation expense, Adjusted operating income (loss), Adjusted non-operating income (expenses), Adjusted income (loss) before income taxes and Adjusted net income (loss), each of which is a non-GAAP measure, to manage its business, make planning decisions, evaluate its performance and allocate resources.</w:t>
      </w:r>
    </w:p>
    <w:p>
      <w:pPr>
        <w:spacing w:after="0" w:line="133" w:lineRule="exact"/>
        <w:rPr>
          <w:sz w:val="20"/>
          <w:szCs w:val="20"/>
          <w:color w:val="auto"/>
        </w:rPr>
      </w:pPr>
    </w:p>
    <w:p>
      <w:pPr>
        <w:ind w:left="660" w:right="140" w:hanging="322"/>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PWP defines “Adjusted total compensation and benefits” as total compensation and benefits excluding (i) certain equity-based compensation related to Professional Partners ownership which is not dilutive to investors in PWP or PWP OpCo, and (ii) transaction-related compensation directly related to the Business Combination process and reorganization.</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900"/>
          </w:cols>
          <w:pgMar w:left="980" w:top="1440" w:right="101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84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40" w:right="260" w:hanging="322"/>
        <w:spacing w:after="0" w:line="26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non-compensation expense”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100" w:hanging="322"/>
        <w:spacing w:after="0" w:line="25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operating income (loss)” as operating income (loss) excluding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and, (vi) transaction-related non-compensation expenses associated with the Business Combination.</w:t>
      </w:r>
    </w:p>
    <w:p>
      <w:pPr>
        <w:spacing w:after="0" w:line="133"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non-operating income (expenses)” as non-operating income (expenses)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40" w:hanging="322"/>
        <w:spacing w:after="0" w:line="273"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PWP defines “Adjusted income (loss) before income taxes” as income (loss) excluding income taxes before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3" w:lineRule="exact"/>
        <w:rPr>
          <w:rFonts w:ascii="Arial" w:cs="Arial" w:eastAsia="Arial" w:hAnsi="Arial"/>
          <w:sz w:val="17"/>
          <w:szCs w:val="17"/>
          <w:color w:val="auto"/>
        </w:rPr>
      </w:pPr>
    </w:p>
    <w:p>
      <w:pPr>
        <w:ind w:left="640" w:right="240" w:hanging="322"/>
        <w:spacing w:after="0" w:line="28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PWP defines “Adjusted income tax benefit (expense)" as income tax benefit (expense) adjusted using the non-GAAP tax rate representing the Company's calculated tax expense on adjusted non-GAAP income excluding the impact on income taxes of certain transaction-related items and other items not reflected in our adjusted non-GAAP results.</w:t>
      </w:r>
    </w:p>
    <w:p>
      <w:pPr>
        <w:spacing w:after="0" w:line="111" w:lineRule="exact"/>
        <w:rPr>
          <w:rFonts w:ascii="Arial" w:cs="Arial" w:eastAsia="Arial" w:hAnsi="Arial"/>
          <w:sz w:val="17"/>
          <w:szCs w:val="17"/>
          <w:color w:val="auto"/>
        </w:rPr>
      </w:pPr>
    </w:p>
    <w:p>
      <w:pPr>
        <w:ind w:left="640" w:right="40" w:hanging="322"/>
        <w:spacing w:after="0" w:line="287" w:lineRule="auto"/>
        <w:tabs>
          <w:tab w:leader="none" w:pos="6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PWP defines “Adjusted net income (loss)” as net income (loss) excluding amounts for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 and applying the calculated adjusted tax rate which excludes the impact on income taxes of certain transaction-related items and other items not reflected in our adjusted non-GAAP results. 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00"/>
          </w:cols>
          <w:pgMar w:left="1000" w:top="1440" w:right="9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64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696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0" w:right="180"/>
        <w:spacing w:after="0" w:line="263"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GAAP</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Adjusted (non-GAAP)</w:t>
            </w:r>
          </w:p>
        </w:tc>
        <w:tc>
          <w:tcPr>
            <w:tcW w:w="720" w:type="dxa"/>
            <w:vAlign w:val="bottom"/>
            <w:tcBorders>
              <w:bottom w:val="single" w:sz="8" w:color="auto"/>
            </w:tcBorders>
          </w:tcPr>
          <w:p>
            <w:pPr>
              <w:spacing w:after="0"/>
              <w:rPr>
                <w:sz w:val="16"/>
                <w:szCs w:val="16"/>
                <w:color w:val="auto"/>
              </w:rPr>
            </w:pPr>
          </w:p>
        </w:tc>
      </w:tr>
      <w:tr>
        <w:trPr>
          <w:trHeight w:val="187"/>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3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r>
      <w:tr>
        <w:trPr>
          <w:trHeight w:val="183"/>
        </w:trPr>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7"/>
        </w:trPr>
        <w:tc>
          <w:tcPr>
            <w:tcW w:w="368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600,694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399,147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543,118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504,257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365,618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349,224</w:t>
            </w:r>
          </w:p>
        </w:tc>
      </w:tr>
      <w:tr>
        <w:trPr>
          <w:trHeight w:val="216"/>
        </w:trPr>
        <w:tc>
          <w:tcPr>
            <w:tcW w:w="368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134,384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134,435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145,298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122,973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113,024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134,561</w:t>
            </w:r>
          </w:p>
        </w:tc>
      </w:tr>
      <w:tr>
        <w:trPr>
          <w:trHeight w:val="216"/>
        </w:trPr>
        <w:tc>
          <w:tcPr>
            <w:tcW w:w="36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66,584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(155,119)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174,432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40,344</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49,512</w:t>
            </w:r>
          </w:p>
        </w:tc>
      </w:tr>
      <w:tr>
        <w:trPr>
          <w:trHeight w:val="216"/>
        </w:trPr>
        <w:tc>
          <w:tcPr>
            <w:tcW w:w="3680" w:type="dxa"/>
            <w:vAlign w:val="bottom"/>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22,950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(20,889)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(161,596)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177,190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38,015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46,670</w:t>
            </w:r>
          </w:p>
        </w:tc>
      </w:tr>
      <w:tr>
        <w:trPr>
          <w:trHeight w:val="216"/>
        </w:trPr>
        <w:tc>
          <w:tcPr>
            <w:tcW w:w="36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tax benefit (expense)</w:t>
            </w:r>
            <w:r>
              <w:rPr>
                <w:rFonts w:ascii="Arial" w:cs="Arial" w:eastAsia="Arial" w:hAnsi="Arial"/>
                <w:sz w:val="21"/>
                <w:szCs w:val="21"/>
                <w:color w:val="auto"/>
                <w:vertAlign w:val="superscript"/>
              </w:rPr>
              <w:t>(5)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(16,654)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r>
      <w:tr>
        <w:trPr>
          <w:trHeight w:val="279"/>
        </w:trPr>
        <w:tc>
          <w:tcPr>
            <w:tcW w:w="368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(24,342)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(164,019)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160,536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34,562</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44,247</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$96.4 million, $33.5 million and $193.9 million for the years ended December 31, 2021, 2020 and 2019,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$11.4 million, $21.4 million and $10.7 million, for the years ended December 31, 2021, 2020 and 2019,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spacing w:after="0" w:line="1" w:lineRule="exact"/>
        <w:rPr>
          <w:rFonts w:ascii="Arial" w:cs="Arial" w:eastAsia="Arial" w:hAnsi="Arial"/>
          <w:sz w:val="14"/>
          <w:szCs w:val="14"/>
          <w:color w:val="auto"/>
        </w:rPr>
      </w:pPr>
    </w:p>
    <w:p>
      <w:pPr>
        <w:ind w:left="340" w:right="48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$107.8 million, $54.9 million and $204.6 million, for the years ended December 31, 2021, 2020 and 2019, respectively, in the Adjusted non-GAAP presentation, for the items noted in (1) and (2) above.</w:t>
      </w:r>
    </w:p>
    <w:p>
      <w:pPr>
        <w:ind w:left="340" w:right="200" w:hanging="326"/>
        <w:spacing w:after="0" w:line="260"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Reflects adjustments to remove $154.2 million, $58.9 million and $208.3 million, for the years ended December 31, 2021, 2020 and 2019, respectively, in the Adjusted non-GAAP presentation, for the items noted in (1) and (2) above as well as the change in fair value of warrant liabilities, the loss on debt extinguishment and amortization of debt costs composed of the amortization of debt discounts and issuance costs which is included in interest expense.</w:t>
      </w:r>
    </w:p>
    <w:p>
      <w:pPr>
        <w:ind w:left="340" w:hanging="326"/>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income tax impact from these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187"/>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compensation and benefits—GAAP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(193,299)</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total compensation and benefits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349,224</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60"/>
        </w:trPr>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r>
      <w:tr>
        <w:trPr>
          <w:trHeight w:val="187"/>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145,298</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23"/>
        </w:trPr>
        <w:tc>
          <w:tcPr>
            <w:tcW w:w="6800" w:type="dxa"/>
            <w:vAlign w:val="bottom"/>
          </w:tcPr>
          <w:p>
            <w:pPr>
              <w:ind w:left="40"/>
              <w:spacing w:after="0" w:line="223" w:lineRule="exact"/>
              <w:rPr>
                <w:sz w:val="20"/>
                <w:szCs w:val="20"/>
                <w:color w:val="auto"/>
              </w:rPr>
            </w:pPr>
            <w:r>
              <w:rPr>
                <w:rFonts w:ascii="Arial" w:cs="Arial" w:eastAsia="Arial" w:hAnsi="Arial"/>
                <w:sz w:val="18"/>
                <w:szCs w:val="18"/>
                <w:b w:val="1"/>
                <w:bCs w:val="1"/>
                <w:color w:val="auto"/>
              </w:rPr>
              <w:t>Adjusted non-compensation expense</w:t>
            </w:r>
            <w:r>
              <w:rPr>
                <w:rFonts w:ascii="Arial" w:cs="Arial" w:eastAsia="Arial" w:hAnsi="Arial"/>
                <w:sz w:val="23"/>
                <w:szCs w:val="23"/>
                <w:color w:val="auto"/>
                <w:vertAlign w:val="superscript"/>
              </w:rPr>
              <w:t>(7)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134,561</w:t>
            </w:r>
          </w:p>
        </w:tc>
      </w:tr>
      <w:tr>
        <w:trPr>
          <w:trHeight w:val="21"/>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900"/>
          </w:cols>
          <w:pgMar w:left="980" w:top="1440" w:right="1019" w:bottom="1440" w:gutter="0" w:footer="0" w:header="0"/>
          <w:type w:val="continuous"/>
        </w:sectPr>
      </w:pPr>
    </w:p>
    <w:bookmarkStart w:id="34" w:name="page35"/>
    <w:bookmarkEnd w:id="34"/>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5"/>
        </w:trPr>
        <w:tc>
          <w:tcPr>
            <w:tcW w:w="660" w:type="dxa"/>
            <w:vAlign w:val="bottom"/>
            <w:tcBorders>
              <w:top w:val="single" w:sz="8" w:color="auto"/>
              <w:left w:val="single" w:sz="8" w:color="auto"/>
            </w:tcBorders>
          </w:tcPr>
          <w:p>
            <w:pPr>
              <w:spacing w:after="0"/>
              <w:rPr>
                <w:sz w:val="24"/>
                <w:szCs w:val="24"/>
                <w:color w:val="auto"/>
              </w:rPr>
            </w:pPr>
          </w:p>
        </w:tc>
        <w:tc>
          <w:tcPr>
            <w:tcW w:w="68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(155,119)</w:t>
            </w:r>
          </w:p>
        </w:tc>
        <w:tc>
          <w:tcPr>
            <w:tcW w:w="680" w:type="dxa"/>
            <w:vAlign w:val="bottom"/>
            <w:tcBorders>
              <w:right w:val="single" w:sz="8" w:color="auto"/>
            </w:tcBorders>
          </w:tcPr>
          <w:p>
            <w:pPr>
              <w:spacing w:after="0"/>
              <w:rPr>
                <w:sz w:val="20"/>
                <w:szCs w:val="20"/>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680" w:type="dxa"/>
            <w:vAlign w:val="bottom"/>
            <w:tcBorders>
              <w:right w:val="single" w:sz="8" w:color="auto"/>
            </w:tcBorders>
          </w:tcPr>
          <w:p>
            <w:pPr>
              <w:spacing w:after="0"/>
              <w:rPr>
                <w:sz w:val="19"/>
                <w:szCs w:val="19"/>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174,432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49,512</w:t>
            </w:r>
          </w:p>
        </w:tc>
        <w:tc>
          <w:tcPr>
            <w:tcW w:w="680" w:type="dxa"/>
            <w:vAlign w:val="bottom"/>
            <w:tcBorders>
              <w:right w:val="single" w:sz="8" w:color="auto"/>
            </w:tcBorders>
          </w:tcPr>
          <w:p>
            <w:pPr>
              <w:spacing w:after="0"/>
              <w:rPr>
                <w:sz w:val="19"/>
                <w:szCs w:val="19"/>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60"/>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(43,634)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680" w:type="dxa"/>
            <w:vAlign w:val="bottom"/>
            <w:tcBorders>
              <w:right w:val="single" w:sz="8" w:color="auto"/>
            </w:tcBorders>
          </w:tcPr>
          <w:p>
            <w:pPr>
              <w:spacing w:after="0"/>
              <w:rPr>
                <w:sz w:val="20"/>
                <w:szCs w:val="20"/>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non-operating income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0"/>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(161,596)</w:t>
            </w:r>
          </w:p>
        </w:tc>
        <w:tc>
          <w:tcPr>
            <w:tcW w:w="680" w:type="dxa"/>
            <w:vAlign w:val="bottom"/>
            <w:tcBorders>
              <w:right w:val="single" w:sz="8" w:color="auto"/>
            </w:tcBorders>
          </w:tcPr>
          <w:p>
            <w:pPr>
              <w:spacing w:after="0"/>
              <w:rPr>
                <w:sz w:val="20"/>
                <w:szCs w:val="20"/>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 (loss)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27"/>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(expense)—GAAP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(18,927)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80" w:type="dxa"/>
            <w:vAlign w:val="bottom"/>
            <w:tcBorders>
              <w:right w:val="single" w:sz="8" w:color="auto"/>
            </w:tcBorders>
          </w:tcPr>
          <w:p>
            <w:pPr>
              <w:spacing w:after="0"/>
              <w:rPr>
                <w:sz w:val="20"/>
                <w:szCs w:val="20"/>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Tax impact at effective non-GAAP tax rate</w:t>
            </w:r>
            <w:r>
              <w:rPr>
                <w:rFonts w:ascii="Arial" w:cs="Arial" w:eastAsia="Arial" w:hAnsi="Arial"/>
                <w:sz w:val="23"/>
                <w:szCs w:val="23"/>
                <w:color w:val="auto"/>
                <w:vertAlign w:val="superscript"/>
              </w:rPr>
              <w:t>(11)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 tax benefit (expense)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2"/>
              </w:rPr>
              <w:t>(16,654)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-6207760</wp:posOffset>
            </wp:positionV>
            <wp:extent cx="628332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-5916295</wp:posOffset>
            </wp:positionV>
            <wp:extent cx="628332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-5624830</wp:posOffset>
            </wp:positionV>
            <wp:extent cx="628332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-5333365</wp:posOffset>
            </wp:positionV>
            <wp:extent cx="62833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-4441825</wp:posOffset>
            </wp:positionV>
            <wp:extent cx="628332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-4150360</wp:posOffset>
            </wp:positionV>
            <wp:extent cx="628332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-3113405</wp:posOffset>
            </wp:positionV>
            <wp:extent cx="628332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-2821940</wp:posOffset>
            </wp:positionV>
            <wp:extent cx="62833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-2530475</wp:posOffset>
            </wp:positionV>
            <wp:extent cx="628332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-2239010</wp:posOffset>
            </wp:positionV>
            <wp:extent cx="628332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-1947545</wp:posOffset>
            </wp:positionV>
            <wp:extent cx="62833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-918845</wp:posOffset>
            </wp:positionV>
            <wp:extent cx="628332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13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721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187"/>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(164,019)</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Tax impact at effective non-GAAP tax rate</w:t>
            </w:r>
            <w:r>
              <w:rPr>
                <w:rFonts w:ascii="Arial" w:cs="Arial" w:eastAsia="Arial" w:hAnsi="Arial"/>
                <w:sz w:val="23"/>
                <w:szCs w:val="23"/>
                <w:color w:val="auto"/>
                <w:vertAlign w:val="superscript"/>
              </w:rPr>
              <w:t>(11)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160,536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44,247</w:t>
            </w:r>
          </w:p>
        </w:tc>
      </w:tr>
      <w:tr>
        <w:trPr>
          <w:trHeight w:val="21"/>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6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amortization of legacy awards granted to certain partners prior to the Business Combination and Professional Partners' alignment capital units ("ACUs") and value capital units ("VCUs") awards. The vesting of these awards does not dilute PWP shareholders relative to Professional Partners as Professional Partners' interest in PWP OpCo does not change as a result of granting those equity awards to its working partners.</w:t>
      </w:r>
    </w:p>
    <w:p>
      <w:pPr>
        <w:spacing w:after="0" w:line="1" w:lineRule="exact"/>
        <w:rPr>
          <w:rFonts w:ascii="Arial" w:cs="Arial" w:eastAsia="Arial" w:hAnsi="Arial"/>
          <w:sz w:val="14"/>
          <w:szCs w:val="14"/>
          <w:color w:val="auto"/>
        </w:rPr>
      </w:pPr>
    </w:p>
    <w:p>
      <w:pPr>
        <w:ind w:left="340" w:right="18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restricted stock units issued to non-employees.</w:t>
      </w: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9" w:lineRule="exact"/>
        <w:rPr>
          <w:rFonts w:ascii="Arial" w:cs="Arial" w:eastAsia="Arial" w:hAnsi="Arial"/>
          <w:sz w:val="14"/>
          <w:szCs w:val="14"/>
          <w:color w:val="auto"/>
        </w:rPr>
      </w:pPr>
    </w:p>
    <w:p>
      <w:pPr>
        <w:ind w:left="340" w:right="140" w:hanging="326"/>
        <w:spacing w:after="0" w:line="248"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included in non-compensation expense</w:t>
      </w:r>
      <w:r>
        <w:rPr>
          <w:rFonts w:ascii="Arial" w:cs="Arial" w:eastAsia="Arial" w:hAnsi="Arial"/>
          <w:sz w:val="17"/>
          <w:szCs w:val="17"/>
          <w:color w:val="auto"/>
        </w:rPr>
        <w:t>—</w:t>
      </w:r>
      <w:r>
        <w:rPr>
          <w:rFonts w:ascii="Arial" w:cs="Arial" w:eastAsia="Arial" w:hAnsi="Arial"/>
          <w:sz w:val="14"/>
          <w:szCs w:val="14"/>
          <w:color w:val="auto"/>
        </w:rPr>
        <w:t>GAAP as well as Adjusted non-compensation expense.</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6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jc w:val="both"/>
        <w:ind w:left="340" w:right="120" w:hanging="326"/>
        <w:spacing w:after="0" w:line="248" w:lineRule="auto"/>
        <w:tabs>
          <w:tab w:leader="none" w:pos="33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non-GAAP tax rate represents the Company's calculated tax expense on adjusted non-GAAP income because it excludes the impact on income taxes of certain transaction-related items and other items not reflected in our adjusted non-GAAP results. It does not represent the cash that the Company expects to pay for taxes in the current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2021</w:t>
            </w:r>
          </w:p>
        </w:tc>
        <w:tc>
          <w:tcPr>
            <w:tcW w:w="110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(4,831) </w:t>
            </w:r>
            <w:r>
              <w:rPr>
                <w:rFonts w:ascii="Arial" w:cs="Arial" w:eastAsia="Arial" w:hAnsi="Arial"/>
                <w:sz w:val="14"/>
                <w:szCs w:val="14"/>
                <w:color w:val="auto"/>
              </w:rPr>
              <w:t>(a)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6,261</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7,909</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900"/>
          </w:cols>
          <w:pgMar w:left="980" w:top="1440" w:right="101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495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449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2020</w:t>
            </w:r>
          </w:p>
        </w:tc>
        <w:tc>
          <w:tcPr>
            <w:tcW w:w="110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(14,831) </w:t>
            </w:r>
            <w:r>
              <w:rPr>
                <w:rFonts w:ascii="Arial" w:cs="Arial" w:eastAsia="Arial" w:hAnsi="Arial"/>
                <w:sz w:val="14"/>
                <w:szCs w:val="14"/>
                <w:color w:val="auto"/>
              </w:rPr>
              <w:t>(c)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27,281</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5,725</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8,951</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(21,411)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2019</w:t>
            </w:r>
          </w:p>
        </w:tc>
        <w:tc>
          <w:tcPr>
            <w:tcW w:w="1100" w:type="dxa"/>
            <w:vAlign w:val="bottom"/>
            <w:tcBorders>
              <w:bottom w:val="single" w:sz="8" w:color="auto"/>
            </w:tcBorders>
          </w:tcPr>
          <w:p>
            <w:pPr>
              <w:spacing w:after="0"/>
              <w:rPr>
                <w:sz w:val="24"/>
                <w:szCs w:val="24"/>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3"/>
              </w:rPr>
              <w:t xml:space="preserve">(4,157) </w:t>
            </w:r>
            <w:r>
              <w:rPr>
                <w:rFonts w:ascii="Arial" w:cs="Arial" w:eastAsia="Arial" w:hAnsi="Arial"/>
                <w:sz w:val="14"/>
                <w:szCs w:val="14"/>
                <w:color w:val="auto"/>
                <w:w w:val="93"/>
              </w:rPr>
              <w:t>(d)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35,108</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27,070</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19,656</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9,272</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(10,737)</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00"/>
          </w:cols>
          <w:pgMar w:left="980" w:top="1440" w:right="101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right="100"/>
        <w:spacing w:after="0" w:line="273" w:lineRule="auto"/>
        <w:rPr>
          <w:sz w:val="20"/>
          <w:szCs w:val="20"/>
          <w:color w:val="auto"/>
        </w:rPr>
      </w:pPr>
      <w:r>
        <w:rPr>
          <w:rFonts w:ascii="Arial" w:cs="Arial" w:eastAsia="Arial" w:hAnsi="Arial"/>
          <w:sz w:val="17"/>
          <w:szCs w:val="17"/>
          <w:color w:val="auto"/>
        </w:rPr>
        <w:t>The summary unaudited pro forma condensed combined financial information is presented for informational purposes only. The summary pro forma condensed combined financial information does not purport to represent what our results of operations or financial condition would have been had the Business Combination and the January 2022 Offering actually occurred on December 31, 2021 with respect to the summary unaudited pro forma condensed combined statement of financial condition and January 1, 2021 with respect to the summary unaudited pro forma condensed combined statement of operations and does not purport to project our results of operations or financial condition for any future period or as of any future date.</w:t>
      </w:r>
    </w:p>
    <w:p>
      <w:pPr>
        <w:spacing w:after="0" w:line="124"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The summary unaudited pro forma condensed combined financial information was derived from the following historical financial statements:</w:t>
      </w:r>
    </w:p>
    <w:p>
      <w:pPr>
        <w:spacing w:after="0" w:line="116" w:lineRule="exact"/>
        <w:rPr>
          <w:sz w:val="20"/>
          <w:szCs w:val="20"/>
          <w:color w:val="auto"/>
        </w:rPr>
      </w:pPr>
    </w:p>
    <w:p>
      <w:pPr>
        <w:ind w:left="660" w:right="300" w:hanging="322"/>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for the period from January 1, 2021 through June 24, 2021 (the Closing Date), which is not included in this prospectus; and</w:t>
      </w:r>
    </w:p>
    <w:p>
      <w:pPr>
        <w:spacing w:after="0" w:line="116" w:lineRule="exact"/>
        <w:rPr>
          <w:rFonts w:ascii="Arial" w:cs="Arial" w:eastAsia="Arial" w:hAnsi="Arial"/>
          <w:sz w:val="18"/>
          <w:szCs w:val="18"/>
          <w:color w:val="auto"/>
        </w:rPr>
      </w:pPr>
    </w:p>
    <w:p>
      <w:pPr>
        <w:ind w:left="660" w:right="440" w:hanging="322"/>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as of and for the year ended December 31, 2021, which is included elsewhere in this prospectus.</w:t>
      </w:r>
    </w:p>
    <w:p>
      <w:pPr>
        <w:spacing w:after="0" w:line="116"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Year Ended</w:t>
            </w:r>
          </w:p>
        </w:tc>
      </w:tr>
      <w:tr>
        <w:trPr>
          <w:trHeight w:val="188"/>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December 31, 2021</w:t>
            </w:r>
          </w:p>
        </w:tc>
      </w:tr>
      <w:tr>
        <w:trPr>
          <w:trHeight w:val="182"/>
        </w:trPr>
        <w:tc>
          <w:tcPr>
            <w:tcW w:w="8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8200" w:type="dxa"/>
            <w:vAlign w:val="bottom"/>
          </w:tcPr>
          <w:p>
            <w:pPr>
              <w:spacing w:after="0"/>
              <w:rPr>
                <w:sz w:val="11"/>
                <w:szCs w:val="11"/>
                <w:color w:val="auto"/>
              </w:rPr>
            </w:pPr>
          </w:p>
        </w:tc>
        <w:tc>
          <w:tcPr>
            <w:tcW w:w="17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9"/>
              </w:rPr>
              <w:t>(in thousands, except share</w:t>
            </w:r>
          </w:p>
        </w:tc>
      </w:tr>
      <w:tr>
        <w:trPr>
          <w:trHeight w:val="188"/>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and per share data)</w:t>
            </w:r>
          </w:p>
        </w:tc>
      </w:tr>
      <w:tr>
        <w:trPr>
          <w:trHeight w:val="217"/>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Unaudited Pro Forma Condensed Combined Statement of Operations Data</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801,662</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(70,329)</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(64,991)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share of Class A common stock:</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Diluted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of Class A common stock outstanding:</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r>
        <w:trPr>
          <w:trHeight w:val="467"/>
        </w:trPr>
        <w:tc>
          <w:tcPr>
            <w:tcW w:w="8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December 31, 2021</w:t>
            </w:r>
          </w:p>
        </w:tc>
      </w:tr>
      <w:tr>
        <w:trPr>
          <w:trHeight w:val="134"/>
        </w:trPr>
        <w:tc>
          <w:tcPr>
            <w:tcW w:w="8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8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Unaudited Pro Forma Condensed Combined Statement of Financial Condition Data</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722,628</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451,737</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270,891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134,060</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900"/>
          </w:cols>
          <w:pgMar w:left="980" w:top="1440" w:right="101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598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The following table sets forth the unaudited pro forma per share information of the Company for the fiscal year ended December 31, 2021, after giving effect to the Business Combination and the January 2022 Offering.</w:t>
      </w:r>
    </w:p>
    <w:p>
      <w:pPr>
        <w:spacing w:after="0" w:line="116"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the January 2022 Offering as if they had occurred on December 31, 2021 and January 1, 2021, respectively.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Summary Historical Financial and Other Information</w:t>
      </w:r>
      <w:r>
        <w:rPr>
          <w:rFonts w:ascii="Arial" w:cs="Arial" w:eastAsia="Arial" w:hAnsi="Arial"/>
          <w:sz w:val="18"/>
          <w:szCs w:val="18"/>
          <w:color w:val="auto"/>
        </w:rPr>
        <w:t>” and</w:t>
      </w:r>
    </w:p>
    <w:p>
      <w:pPr>
        <w:spacing w:after="0" w:line="23" w:lineRule="exact"/>
        <w:rPr>
          <w:sz w:val="20"/>
          <w:szCs w:val="20"/>
          <w:color w:val="auto"/>
        </w:rPr>
      </w:pPr>
    </w:p>
    <w:p>
      <w:pPr>
        <w:ind w:left="20"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Business Combination and the January 2022 Offering nor the book value per share for any future date or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PWP</w:t>
            </w:r>
          </w:p>
        </w:tc>
        <w:tc>
          <w:tcPr>
            <w:tcW w:w="22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6"/>
                <w:szCs w:val="16"/>
                <w:color w:val="auto"/>
              </w:rPr>
            </w:pPr>
          </w:p>
        </w:tc>
        <w:tc>
          <w:tcPr>
            <w:tcW w:w="1080" w:type="dxa"/>
            <w:vAlign w:val="bottom"/>
          </w:tcPr>
          <w:p>
            <w:pPr>
              <w:jc w:val="right"/>
              <w:ind w:right="242"/>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7240" w:type="dxa"/>
            <w:vAlign w:val="bottom"/>
            <w:tcBorders>
              <w:top w:val="single" w:sz="8" w:color="CCEEFF"/>
            </w:tcBorders>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 December 31, 2021</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2.90</w:t>
            </w:r>
          </w:p>
        </w:tc>
      </w:tr>
      <w:tr>
        <w:trPr>
          <w:trHeight w:val="213"/>
        </w:trPr>
        <w:tc>
          <w:tcPr>
            <w:tcW w:w="7240" w:type="dxa"/>
            <w:vAlign w:val="bottom"/>
          </w:tcPr>
          <w:p>
            <w:pPr>
              <w:ind w:left="40"/>
              <w:spacing w:after="0"/>
              <w:rPr>
                <w:sz w:val="20"/>
                <w:szCs w:val="20"/>
                <w:color w:val="auto"/>
              </w:rPr>
            </w:pPr>
            <w:r>
              <w:rPr>
                <w:rFonts w:ascii="Arial" w:cs="Arial" w:eastAsia="Arial" w:hAnsi="Arial"/>
                <w:sz w:val="16"/>
                <w:szCs w:val="16"/>
                <w:color w:val="auto"/>
              </w:rPr>
              <w:t>Basic net income (loss) per share of Class A common stock, December 31, 2021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9"/>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 of Class A common stock, December 31,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3"/>
        </w:trPr>
        <w:tc>
          <w:tcPr>
            <w:tcW w:w="7240" w:type="dxa"/>
            <w:vAlign w:val="bottom"/>
          </w:tcPr>
          <w:p>
            <w:pPr>
              <w:ind w:left="40"/>
              <w:spacing w:after="0"/>
              <w:rPr>
                <w:sz w:val="20"/>
                <w:szCs w:val="20"/>
                <w:color w:val="auto"/>
              </w:rPr>
            </w:pPr>
            <w:r>
              <w:rPr>
                <w:rFonts w:ascii="Arial" w:cs="Arial" w:eastAsia="Arial" w:hAnsi="Arial"/>
                <w:sz w:val="16"/>
                <w:szCs w:val="16"/>
                <w:color w:val="auto"/>
              </w:rPr>
              <w:t>Weighted average shares of Class A common stock outstanding—basic, December 31, 2021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42,595,712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46,899,646</w:t>
            </w:r>
          </w:p>
        </w:tc>
      </w:tr>
      <w:tr>
        <w:trPr>
          <w:trHeight w:val="219"/>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of Class A common stock outstanding—diluted, December 31, 2021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340" w:hanging="326"/>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900"/>
          </w:cols>
          <w:pgMar w:left="980" w:top="1440" w:right="1019" w:bottom="1440" w:gutter="0" w:footer="0" w:header="0"/>
        </w:sectPr>
      </w:pPr>
    </w:p>
    <w:bookmarkStart w:id="39" w:name="page40"/>
    <w:bookmarkEnd w:id="3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investment in our securities involves risks and uncertainties. You should carefully consider the following risks as well as the other information included in this prospectus, including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and the consolidated financial statements and the related notes thereto included elsewhere in this prospectus,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implemented various initiatives to reduce the impact of COVID-19 on our Company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2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international hostilities, including the recent hostilities between Russia and Ukraine,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 in any given period is dependent on the number of fee-paying clients in such period. For the year ended December 31, 2021, we earned revenues from 232 advisory clients, 142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years ended December 31, 2020 and 2019, we recorded operating losses of $14.6 million and $155.1 million, respectively. These operating losses were largely due to amortization of the equity-based compensation awards granted by Professional Partners, which have no economic impact on PWP or PWP OpCo. The vesting of equity awards granted in connection with the Business Combination have been and will be recorded as equity-based compensation expense at PWP OpCo for GAAP accounting purposes. Although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38"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U.S. Department of Justice and the SEC continue to devote significant resources to the enforcement of the Foreign Corrupt Practices Act (the</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securities. For further detail regarding the FCPA and other regulations that we are subject to,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Goodwill and other intangible assets represent a significant portion of our assets, and totaled $66.7 million and $73.3 million as of December 31, 2021 and 2020,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Restrictions in the Credit Agreement, dated November 30, 2016 (the “</w:t>
      </w:r>
      <w:r>
        <w:rPr>
          <w:rFonts w:ascii="Arial" w:cs="Arial" w:eastAsia="Arial" w:hAnsi="Arial"/>
          <w:sz w:val="18"/>
          <w:szCs w:val="18"/>
          <w:b w:val="1"/>
          <w:bCs w:val="1"/>
          <w:i w:val="1"/>
          <w:iCs w:val="1"/>
          <w:u w:val="single" w:color="auto"/>
          <w:color w:val="auto"/>
        </w:rPr>
        <w:t>Credit Agreement</w:t>
      </w:r>
      <w:r>
        <w:rPr>
          <w:rFonts w:ascii="Arial" w:cs="Arial" w:eastAsia="Arial" w:hAnsi="Arial"/>
          <w:sz w:val="18"/>
          <w:szCs w:val="18"/>
          <w:b w:val="1"/>
          <w:bCs w:val="1"/>
          <w:i w:val="1"/>
          <w:iCs w:val="1"/>
          <w:color w:val="auto"/>
        </w:rPr>
        <w:t>”), with Cadence Bank, N.A. (“</w:t>
      </w:r>
      <w:r>
        <w:rPr>
          <w:rFonts w:ascii="Arial" w:cs="Arial" w:eastAsia="Arial" w:hAnsi="Arial"/>
          <w:sz w:val="18"/>
          <w:szCs w:val="18"/>
          <w:b w:val="1"/>
          <w:bCs w:val="1"/>
          <w:i w:val="1"/>
          <w:iCs w:val="1"/>
          <w:u w:val="single" w:color="auto"/>
          <w:color w:val="auto"/>
        </w:rPr>
        <w:t>Cadence</w:t>
      </w:r>
      <w:r>
        <w:rPr>
          <w:rFonts w:ascii="Arial" w:cs="Arial" w:eastAsia="Arial" w:hAnsi="Arial"/>
          <w:sz w:val="18"/>
          <w:szCs w:val="18"/>
          <w:b w:val="1"/>
          <w:bCs w:val="1"/>
          <w:i w:val="1"/>
          <w:iCs w:val="1"/>
          <w:color w:val="auto"/>
        </w:rPr>
        <w:t>”), as amended and restated on December 11, 2018, governing our revolving credit facility (the “Revolving Credit Facility”) or the credit agreement governing any replacement credit facility may impair our ability to finance our future operations or capital needs or engage in other business activities that may be in our interests.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11, 2018, Group LP, a wholly owned subsidiary of PWP OpCo, entered into the Revolving Credit Facility in order to pay in full the outstanding Credit Agreement, through which the Company borrowed an aggregate of $50.0 million, plus outstanding interest, fees and expenses related thereto and provide for the future working capital needs and other general corporate purposes of Group LP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w:t>
      </w:r>
      <w:r>
        <w:rPr>
          <w:rFonts w:ascii="Arial" w:cs="Arial" w:eastAsia="Arial" w:hAnsi="Arial"/>
          <w:sz w:val="18"/>
          <w:szCs w:val="18"/>
          <w:u w:val="single" w:color="auto"/>
          <w:color w:val="auto"/>
        </w:rPr>
        <w:t>Loan Parties</w:t>
      </w:r>
      <w:r>
        <w:rPr>
          <w:rFonts w:ascii="Arial" w:cs="Arial" w:eastAsia="Arial" w:hAnsi="Arial"/>
          <w:sz w:val="18"/>
          <w:szCs w:val="18"/>
          <w:color w:val="auto"/>
        </w:rPr>
        <w:t>”) to maintain (on a consolidated basis) minimum liquidity levels, a minimum debt service coverage ratio and a maximum leverage ratio and restrict the ability of the Loan Parties to:</w:t>
      </w:r>
    </w:p>
    <w:p>
      <w:pPr>
        <w:spacing w:after="0" w:line="14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jc w:val="both"/>
        <w:ind w:left="660" w:right="140" w:hanging="328"/>
        <w:spacing w:after="0" w:line="31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declare all outstanding debt, accrued interest and fees to be due and immediately payable. 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had not previously managed our advisory business as a separate public company prior to the Business Combination.</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individuals who now constitute our management had not previously managed our advisory business as a separate publicly traded company prior to the Business Combination. Compliance with public company requirements places significant additional demands on our management and requires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years ended December 31, 2021, 2020 and 2019, we earned approximately 17.7%,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terrorism, international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1440" w:right="399" w:bottom="1440" w:gutter="0" w:footer="0" w:header="0"/>
        </w:sectPr>
      </w:pPr>
    </w:p>
    <w:bookmarkStart w:id="52" w:name="page53"/>
    <w:bookmarkEnd w:id="52"/>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w:t>
      </w:r>
      <w:r>
        <w:rPr>
          <w:rFonts w:ascii="Arial" w:cs="Arial" w:eastAsia="Arial" w:hAnsi="Arial"/>
          <w:sz w:val="17"/>
          <w:szCs w:val="17"/>
          <w:u w:val="single" w:color="auto"/>
          <w:color w:val="auto"/>
        </w:rPr>
        <w:t>E.U.</w:t>
      </w:r>
      <w:r>
        <w:rPr>
          <w:rFonts w:ascii="Arial" w:cs="Arial" w:eastAsia="Arial" w:hAnsi="Arial"/>
          <w:sz w:val="17"/>
          <w:szCs w:val="17"/>
          <w:color w:val="auto"/>
        </w:rPr>
        <w:t>”),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 appropriately with</w:t>
      </w:r>
      <w:r>
        <w:rPr>
          <w:rFonts w:ascii="Arial" w:cs="Arial" w:eastAsia="Arial" w:hAnsi="Arial"/>
          <w:sz w:val="16"/>
          <w:szCs w:val="16"/>
          <w:color w:val="auto"/>
        </w:rPr>
        <w:t xml:space="preserve"> </w:t>
      </w:r>
      <w:r>
        <w:rPr>
          <w:rFonts w:ascii="Arial" w:cs="Arial" w:eastAsia="Arial" w:hAnsi="Arial"/>
          <w:sz w:val="16"/>
          <w:szCs w:val="16"/>
          <w:i w:val="1"/>
          <w:iCs w:val="1"/>
          <w:color w:val="auto"/>
        </w:rPr>
        <w:t>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addition, PFAC is a SPAC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years ended December 31, 2021 and 2020, 14.5% and</w:t>
      </w:r>
    </w:p>
    <w:p>
      <w:pPr>
        <w:ind w:right="260"/>
        <w:spacing w:after="0" w:line="295" w:lineRule="auto"/>
        <w:rPr>
          <w:sz w:val="20"/>
          <w:szCs w:val="20"/>
          <w:color w:val="auto"/>
        </w:rPr>
      </w:pPr>
      <w:r>
        <w:rPr>
          <w:rFonts w:ascii="Arial" w:cs="Arial" w:eastAsia="Arial" w:hAnsi="Arial"/>
          <w:sz w:val="16"/>
          <w:szCs w:val="16"/>
          <w:color w:val="auto"/>
        </w:rPr>
        <w:t>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phasing out of the London Interbank Offered Rate (“LIBOR”) may adversely affect the value of our outstanding debt instruments.</w:t>
      </w:r>
    </w:p>
    <w:p>
      <w:pPr>
        <w:spacing w:after="0" w:line="18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in 2021, the Financial Conduct Authority (“</w:t>
      </w:r>
      <w:r>
        <w:rPr>
          <w:rFonts w:ascii="Arial" w:cs="Arial" w:eastAsia="Arial" w:hAnsi="Arial"/>
          <w:sz w:val="17"/>
          <w:szCs w:val="17"/>
          <w:u w:val="single" w:color="auto"/>
          <w:color w:val="auto"/>
        </w:rPr>
        <w:t>FCA</w:t>
      </w:r>
      <w:r>
        <w:rPr>
          <w:rFonts w:ascii="Arial" w:cs="Arial" w:eastAsia="Arial" w:hAnsi="Arial"/>
          <w:sz w:val="17"/>
          <w:szCs w:val="17"/>
          <w:color w:val="auto"/>
        </w:rPr>
        <w:t>”) announced the future cessation or loss of representativeness of the U.S. dollar LIBOR tenors. At the end of 2021, the ICE Benchmark Administration, the administrator of LIBOR, ceased the publication of all settings of non-U.S. dollar LIBOR and the one-week and two-month U.S. dollar LIBOR settings, with the publication of the remaining U.S. dollar LIBOR settings being discontinued after June 30, 2023. It is unclear if LIBOR will cease to exist at that time or if new methods of calculating LIBOR will be established. The U.S. Federal Reserve, in conjunction with the Alternative Reference Rates Committee, a steering committee comprised of, among other entities, large U.S. financial institutions, has recommended replacing U.S. dollar LIBOR with a new index that measures the cost of borrowing cash overnight, backed by U.S. Treasury securities (“</w:t>
      </w:r>
      <w:r>
        <w:rPr>
          <w:rFonts w:ascii="Arial" w:cs="Arial" w:eastAsia="Arial" w:hAnsi="Arial"/>
          <w:sz w:val="17"/>
          <w:szCs w:val="17"/>
          <w:u w:val="single" w:color="auto"/>
          <w:color w:val="auto"/>
        </w:rPr>
        <w:t>SOFR</w:t>
      </w:r>
      <w:r>
        <w:rPr>
          <w:rFonts w:ascii="Arial" w:cs="Arial" w:eastAsia="Arial" w:hAnsi="Arial"/>
          <w:sz w:val="17"/>
          <w:szCs w:val="17"/>
          <w:color w:val="auto"/>
        </w:rPr>
        <w:t>”). SOFR is observed and backward-looking, which stands in contrast with LIBOR under the current methodology, which is an estimated forward-looking rate and relies, to some degree, on the expert judgment of submitting panel members.</w:t>
      </w:r>
    </w:p>
    <w:p>
      <w:pPr>
        <w:spacing w:after="0" w:line="12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 Uncertainty as to the nature of such developments may materially adversely affect the trading market for securities linked to related benchmarks.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-178435</wp:posOffset>
            </wp:positionV>
            <wp:extent cx="28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The historical consolidated financial information for periods prior to the Business Combination on June 24, 2021 and the unaudited pro forma financial information in this prospectus is not representative of the results we would have achieved as a stand-alone public company and may not permit you to predict our future results.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historical consolidated financial information for periods prior to the Business Combination on June 24, 2021 and the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7"/>
          <w:szCs w:val="17"/>
          <w:u w:val="single" w:color="auto"/>
          <w:color w:val="auto"/>
        </w:rPr>
        <w:t>TPH Securities</w:t>
      </w:r>
      <w:r>
        <w:rPr>
          <w:rFonts w:ascii="Arial" w:cs="Arial" w:eastAsia="Arial" w:hAnsi="Arial"/>
          <w:sz w:val="17"/>
          <w:szCs w:val="17"/>
          <w:color w:val="auto"/>
        </w:rPr>
        <w:t>”). We are subject to regulatory restrictions and requirements imposed by applicable statutes, regulations and policies in the jurisdictions in which we operate. U.S. and non-U.S. government agencies and self-regulatory organizations, including the Financial Industry Regulatory Authority (“</w:t>
      </w:r>
      <w:r>
        <w:rPr>
          <w:rFonts w:ascii="Arial" w:cs="Arial" w:eastAsia="Arial" w:hAnsi="Arial"/>
          <w:sz w:val="17"/>
          <w:szCs w:val="17"/>
          <w:u w:val="single" w:color="auto"/>
          <w:color w:val="auto"/>
        </w:rPr>
        <w:t>FINRA</w:t>
      </w:r>
      <w:r>
        <w:rPr>
          <w:rFonts w:ascii="Arial" w:cs="Arial" w:eastAsia="Arial" w:hAnsi="Arial"/>
          <w:sz w:val="17"/>
          <w:szCs w:val="17"/>
          <w:color w:val="auto"/>
        </w:rPr>
        <w:t>”)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w:t>
      </w:r>
      <w:r>
        <w:rPr>
          <w:rFonts w:ascii="Arial" w:cs="Arial" w:eastAsia="Arial" w:hAnsi="Arial"/>
          <w:sz w:val="16"/>
          <w:szCs w:val="16"/>
          <w:u w:val="single" w:color="auto"/>
          <w:color w:val="auto"/>
        </w:rPr>
        <w:t>IIROC</w:t>
      </w:r>
      <w:r>
        <w:rPr>
          <w:rFonts w:ascii="Arial" w:cs="Arial" w:eastAsia="Arial" w:hAnsi="Arial"/>
          <w:sz w:val="16"/>
          <w:szCs w:val="16"/>
          <w:color w:val="auto"/>
        </w:rPr>
        <w:t>”), the Autorité de contrôle prudentiel et de resolution (“</w:t>
      </w:r>
      <w:r>
        <w:rPr>
          <w:rFonts w:ascii="Arial" w:cs="Arial" w:eastAsia="Arial" w:hAnsi="Arial"/>
          <w:sz w:val="16"/>
          <w:szCs w:val="16"/>
          <w:u w:val="single" w:color="auto"/>
          <w:color w:val="auto"/>
        </w:rPr>
        <w:t>ACPR</w:t>
      </w:r>
      <w:r>
        <w:rPr>
          <w:rFonts w:ascii="Arial" w:cs="Arial" w:eastAsia="Arial" w:hAnsi="Arial"/>
          <w:sz w:val="16"/>
          <w:szCs w:val="16"/>
          <w:color w:val="auto"/>
        </w:rPr>
        <w:t>”)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acquisition of PWP OpCo Class A partnership units in connection with the Business Combination or pursuant to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may challenge all or part of these tax basis increases,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Closing,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7"/>
          <w:szCs w:val="17"/>
          <w:u w:val="single" w:color="auto"/>
          <w:color w:val="auto"/>
        </w:rPr>
        <w:t>1940 Act</w:t>
      </w:r>
      <w:r>
        <w:rPr>
          <w:rFonts w:ascii="Arial" w:cs="Arial" w:eastAsia="Arial" w:hAnsi="Arial"/>
          <w:sz w:val="17"/>
          <w:szCs w:val="17"/>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Restated Certificate of Incorporation could prevent us from benefiting from corporate opportunities that might have otherwise been available to us.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6"/>
          <w:szCs w:val="16"/>
          <w:u w:val="single" w:color="auto"/>
          <w:color w:val="auto"/>
        </w:rPr>
        <w:t>PWP Partner Group</w:t>
      </w:r>
      <w:r>
        <w:rPr>
          <w:rFonts w:ascii="Arial" w:cs="Arial" w:eastAsia="Arial" w:hAnsi="Arial"/>
          <w:sz w:val="16"/>
          <w:szCs w:val="16"/>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 See “</w:t>
      </w:r>
      <w:r>
        <w:rPr>
          <w:rFonts w:ascii="Arial" w:cs="Arial" w:eastAsia="Arial" w:hAnsi="Arial"/>
          <w:sz w:val="16"/>
          <w:szCs w:val="16"/>
          <w:i w:val="1"/>
          <w:iCs w:val="1"/>
          <w:color w:val="auto"/>
        </w:rPr>
        <w:t>Description of Securities—Corporate Opportunities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Professional Partners beneficially owns all of the outstanding shares of our Class B-1 common stock, representing approximately 90.1% of our total voting power, ILPs beneficially own all of the outstanding shares of our Class B-2 common stock, representing approximately less than 0.4% of our total voting power, and holders of Class A common stock own shares of our Class A common stock, representing approximately 9.5%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62" w:name="page63"/>
    <w:bookmarkEnd w:id="62"/>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90.1% of the voting interest in us as of February 28, 2022. The shares of Class B-1 common stock will entitle Professional Partners to (i) for so long as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Class B 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SPACs"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the Company’s consolidated statements of financial condition as of December 31, 2021 included elsewhere in this prospectus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performance does not meet market expectations, the price of our securities may decline.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44" w:lineRule="exact"/>
        <w:rPr>
          <w:sz w:val="20"/>
          <w:szCs w:val="20"/>
          <w:color w:val="auto"/>
        </w:rPr>
      </w:pPr>
    </w:p>
    <w:p>
      <w:pPr>
        <w:ind w:left="660" w:right="4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international hostilities and acts of war or terrorism.</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any time in the future, the Public Warrants may not be in the money and they may expire worthless.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terms of our Warrants may be amended in a manner that may be adverse to the holders. The warrant agreement with American Stock Transfer &amp; Trust Company, LLC,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19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the ability to redeem outstanding Warrants (excluding any Private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Outstanding Warrants to purchase an aggregate of 7,869,975 shares of our Class A common stock became exercisable on September 29, 2021, the one-year anniversary of the IPO, in accordance with the terms of the warrant agreement governing those securities. These Warrants consist of 7,666,642 Public Warrants originally included in the units issued in the IPO and 203,333 Private Placement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securities.</w:t>
      </w:r>
    </w:p>
    <w:p>
      <w:pPr>
        <w:spacing w:after="0" w:line="11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Class A common stock, our incentive plans, acquisitions, capital raises or otherwise.</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February 28, 2022, we had 1,500,000,000 shares of Class A common stock authorized, of which 47,939,793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Subject to the exchange procedures and restrictions set forth in the PWP OpCo LPA (as defined herein),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4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trading market for our securities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securities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Private Placement Warrants to its members, after which the Sponsor owns 1,000,000 shares of Class A common stock. The 1,000,000 shares of Class A common stock retained by the Sponsor continue to be subject to transfer restrictions until the $15 Threshold (as defined below) is met. 1,738,680 of the shares distributed in the Sponsor Distribution remain subject to transfer restrictions until either the $15 Threshold or the $17 Threshold (as defined below), as applicable, is met. See the section of this prospectus entitled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Agreements—Sponsor Share Surrender and Share Restriction Agreement</w:t>
      </w:r>
      <w:r>
        <w:rPr>
          <w:rFonts w:ascii="Arial" w:cs="Arial" w:eastAsia="Arial" w:hAnsi="Arial"/>
          <w:sz w:val="16"/>
          <w:szCs w:val="16"/>
          <w:color w:val="auto"/>
        </w:rPr>
        <w:t>.”</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amended and restated the existing registration rights agreement with the Sponsor by entering into an amended and restated registration rights agreement (the “</w:t>
      </w:r>
      <w:r>
        <w:rPr>
          <w:rFonts w:ascii="Arial" w:cs="Arial" w:eastAsia="Arial" w:hAnsi="Arial"/>
          <w:sz w:val="18"/>
          <w:szCs w:val="18"/>
          <w:u w:val="single" w:color="auto"/>
          <w:color w:val="auto"/>
        </w:rPr>
        <w:t>Amended and Restated Registration Rights Agreement</w:t>
      </w:r>
      <w:r>
        <w:rPr>
          <w:rFonts w:ascii="Arial" w:cs="Arial" w:eastAsia="Arial" w:hAnsi="Arial"/>
          <w:sz w:val="18"/>
          <w:szCs w:val="18"/>
          <w:color w:val="auto"/>
        </w:rPr>
        <w:t>”) with the RRA Parties with respect to the shares of our Class A common stock and certain other equity securities held by the RRA Parties. We filed the registration statement of which this prospectus is a part on July 15, 2021 pursuant to the Amended and Restated Registration Rights Agreement.</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January 2022 Offering, which closed on January 21, 2022, the Sponsor and certain of its affiliated investors entered into lockup agreements covering 3,975,095 shares of Class A common stock and three Private Placement Warrants held by certain affiliates of the Sponsor, and such investors (including 2,067,274 shares subject to transfer restrictions until either the $15 Threshold or the $17 Threshold, as applicable, is met, pursuant to the Sponsor Share Surrender and Share Restriction Agreement described above) which expire 90 days after January 18, 2022, the date of the prospectus related to the January 2022 Offering.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and obligations as a result of being a public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securities on the Nasdaq.</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As permitted by Section 215.02 of the SEC Division of Corporation Finance’s Regulation S-K Compliance &amp; Disclosure Interpretations, management excluded its assessment of internal controls over financial reporting from the Company’s Annual Report on Form 10-K for the year ended December 31, 2021, which is the year the Business Combination was completed, and we do not expect to have to include such assessment until our annual report for the year ended December 31, 2022. Management may not be able to effectively and timely implement controls and procedures that adequately respond to the increased regulatory compliance and reporting requirements that are now applicable to us after the Business Combination or will be applicable to us in the future.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2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of FTIV did not result in a material weakness of PWP and we identified no material weakness in our internal control over financial reporting as of December 31, 2021.</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securities are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securities.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can give no assurance that material weaknesses or restatements of financial results will not arise in the future due to a failure to implement and maintain adequate internal control over financial reporting or circumvention of these controls, or that any measures we take will be sufficient to remediate such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-733425</wp:posOffset>
            </wp:positionV>
            <wp:extent cx="285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71" w:name="page72"/>
    <w:bookmarkEnd w:id="71"/>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2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We expect to declare and pay dividends subject to the determination by our board of directors that (i) such dividends are permitted by applicable law and</w:t>
      </w:r>
    </w:p>
    <w:p>
      <w:pPr>
        <w:spacing w:after="0" w:line="46" w:lineRule="exact"/>
        <w:rPr>
          <w:sz w:val="20"/>
          <w:szCs w:val="20"/>
          <w:color w:val="auto"/>
        </w:rPr>
      </w:pPr>
    </w:p>
    <w:p>
      <w:pPr>
        <w:ind w:firstLine="8"/>
        <w:spacing w:after="0" w:line="285" w:lineRule="auto"/>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share of Class A common stock on each of September 21, 2021, December 17, 2021, and March 17, 2022.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1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440" w:right="379" w:bottom="1440" w:gutter="0" w:footer="0" w:header="0"/>
        </w:sectPr>
      </w:pPr>
    </w:p>
    <w:bookmarkStart w:id="74" w:name="page75"/>
    <w:bookmarkEnd w:id="7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the January 2022 Offering, the Business Combination and the related adjustments.</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unaudited pro forma condensed combined statement of financial condition as of December 31, 2021 gives effect to the impact of the January 2022 Offering as if it had been consummated on that date.</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2021 combines the unaudited condensed statement of operations of FTIV for the period from January 1, 2021 through June 24, 2021 (the Closing Date) with the audited consolidated statement of operations of PWP for the year ended December 31, 2021. The unaudited pro forma condensed combined statement of operations gives effect to the Business Combination, the January 2022 Offering and related adjustments as if they had been consummated on January 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which are not included in this prospectus;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as of and for the year ended December 31, 2021, which are included elsewhere in this prospectus.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the January 2022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notes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The Company expects to retain the benefit of the remaining 15% of these cash tax savings.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right"/>
              <w:ind w:right="5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Founder Shares and Placement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at Closing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Class A Common Stock Assuming All PWP OpCo Class A Partnership Units Exchanged**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Class A Partnership Units Fully Exchanged)**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93,111</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Class B-2 Common Stock***</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50,154</w:t>
            </w:r>
          </w:p>
        </w:tc>
        <w:tc>
          <w:tcPr>
            <w:tcW w:w="80" w:type="dxa"/>
            <w:vAlign w:val="bottom"/>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1" w:lineRule="exact"/>
        <w:rPr>
          <w:sz w:val="20"/>
          <w:szCs w:val="20"/>
          <w:color w:val="auto"/>
        </w:rPr>
      </w:pPr>
    </w:p>
    <w:p>
      <w:pPr>
        <w:ind w:left="340" w:right="80" w:hanging="332"/>
        <w:spacing w:after="0" w:line="260" w:lineRule="auto"/>
        <w:tabs>
          <w:tab w:leader="none" w:pos="30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Upon consummation of the January 2022 Offering and the use of proceeds thereof, the ownership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right"/>
              <w:ind w:right="5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Founder Shares and Placement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January 2022 Offering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Class A Common Stock Assuming All PWP OpCo Class A Partnership Units Exchanged**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46,656</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92,994</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46,656</w:t>
            </w:r>
          </w:p>
        </w:tc>
        <w:tc>
          <w:tcPr>
            <w:tcW w:w="80" w:type="dxa"/>
            <w:vAlign w:val="bottom"/>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1" w:lineRule="exact"/>
        <w:rPr>
          <w:sz w:val="20"/>
          <w:szCs w:val="20"/>
          <w:color w:val="auto"/>
        </w:rPr>
      </w:pPr>
    </w:p>
    <w:p>
      <w:pPr>
        <w:ind w:left="340" w:right="80" w:hanging="332"/>
        <w:spacing w:after="0" w:line="260" w:lineRule="auto"/>
        <w:tabs>
          <w:tab w:leader="none" w:pos="30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occurred concurrently with the January 2022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January 2022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PWP</w:t>
            </w:r>
          </w:p>
        </w:tc>
        <w:tc>
          <w:tcPr>
            <w:tcW w:w="160" w:type="dxa"/>
            <w:vAlign w:val="bottom"/>
          </w:tcPr>
          <w:p>
            <w:pPr>
              <w:spacing w:after="0"/>
              <w:rPr>
                <w:sz w:val="11"/>
                <w:szCs w:val="11"/>
                <w:color w:val="auto"/>
              </w:rPr>
            </w:pPr>
          </w:p>
        </w:tc>
        <w:tc>
          <w:tcPr>
            <w:tcW w:w="116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9"/>
              </w:rPr>
              <w:t>Offering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Pro Forma Combined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502,773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(1,302) (f)</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501,471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 net of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related parties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Fixed assets, net of accumulated 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26,694</w:t>
            </w: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722,628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Deferred compensation programs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27,805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due pursuant to Tax Receivable Agreement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451,737</w:t>
            </w:r>
          </w:p>
        </w:tc>
        <w:tc>
          <w:tcPr>
            <w:tcW w:w="0" w:type="dxa"/>
            <w:vAlign w:val="bottom"/>
          </w:tcPr>
          <w:p>
            <w:pPr>
              <w:spacing w:after="0"/>
              <w:rPr>
                <w:sz w:val="1"/>
                <w:szCs w:val="1"/>
                <w:color w:val="auto"/>
              </w:rPr>
            </w:pPr>
          </w:p>
        </w:tc>
      </w:tr>
      <w:tr>
        <w:trPr>
          <w:trHeight w:val="399"/>
        </w:trPr>
        <w:tc>
          <w:tcPr>
            <w:tcW w:w="6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Common stock, Class 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ind w:left="2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Class B</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10,972</w:t>
            </w:r>
          </w:p>
        </w:tc>
        <w:tc>
          <w:tcPr>
            <w:tcW w:w="500" w:type="dxa"/>
            <w:vAlign w:val="bottom"/>
          </w:tcPr>
          <w:p>
            <w:pPr>
              <w:ind w:left="2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168,642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(1,302) (f)</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 Accumulated deficit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Arial" w:cs="Arial" w:eastAsia="Arial" w:hAnsi="Arial"/>
                <w:sz w:val="18"/>
                <w:szCs w:val="18"/>
                <w:color w:val="auto"/>
              </w:rPr>
              <w:t>Total Perella Weinberg Partners equity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136,831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(10,973) (d)</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134,060</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271,352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722,628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80"/>
          </w:cols>
          <w:pgMar w:left="320" w:top="1440" w:right="399" w:bottom="1440" w:gutter="0" w:footer="0" w:header="0"/>
          <w:type w:val="continuous"/>
        </w:sectPr>
      </w:pPr>
    </w:p>
    <w:bookmarkStart w:id="79" w:name="page80"/>
    <w:bookmarkEnd w:id="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0"/>
              </w:rPr>
              <w:t>Transaction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9"/>
              </w:rPr>
              <w:t>January 2022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FTIV</w:t>
            </w:r>
          </w:p>
        </w:tc>
        <w:tc>
          <w:tcPr>
            <w:tcW w:w="160" w:type="dxa"/>
            <w:vAlign w:val="bottom"/>
          </w:tcPr>
          <w:p>
            <w:pPr>
              <w:spacing w:after="0"/>
              <w:rPr>
                <w:sz w:val="11"/>
                <w:szCs w:val="11"/>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January 2022</w:t>
            </w:r>
          </w:p>
        </w:tc>
        <w:tc>
          <w:tcPr>
            <w:tcW w:w="160" w:type="dxa"/>
            <w:vAlign w:val="bottom"/>
          </w:tcPr>
          <w:p>
            <w:pPr>
              <w:spacing w:after="0"/>
              <w:rPr>
                <w:sz w:val="11"/>
                <w:szCs w:val="11"/>
                <w:color w:val="auto"/>
              </w:rPr>
            </w:pPr>
          </w:p>
        </w:tc>
        <w:tc>
          <w:tcPr>
            <w:tcW w:w="1240" w:type="dxa"/>
            <w:vAlign w:val="bottom"/>
            <w:gridSpan w:val="2"/>
          </w:tcPr>
          <w:p>
            <w:pPr>
              <w:jc w:val="right"/>
              <w:ind w:right="660"/>
              <w:spacing w:after="0" w:line="135" w:lineRule="exact"/>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(aa)</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96,330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31,615</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w w:val="96"/>
              </w:rPr>
              <w:t>(dd)</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157,446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157,446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29,501</w:t>
            </w: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4"/>
              </w:rPr>
              <w:t>(cc)</w:t>
            </w: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24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600,694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61,116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661,810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661,810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28,355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14,489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735,078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61,116</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799,099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799,099</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14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66,584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340"/>
              <w:spacing w:after="0"/>
              <w:rPr>
                <w:sz w:val="20"/>
                <w:szCs w:val="20"/>
                <w:color w:val="auto"/>
              </w:rPr>
            </w:pPr>
            <w:r>
              <w:rPr>
                <w:rFonts w:ascii="Arial" w:cs="Arial" w:eastAsia="Arial" w:hAnsi="Arial"/>
                <w:sz w:val="14"/>
                <w:szCs w:val="14"/>
                <w:color w:val="auto"/>
                <w:w w:val="95"/>
              </w:rPr>
              <w:t>(61,116)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income</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(10) (kk)</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debt extinguishment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(hh)</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before income taxes</w:t>
            </w: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5"/>
              </w:rPr>
              <w:t>(53,520)</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(39,008)</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(10,698) (ee)</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(1,696) (jj)</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(64,218)</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(70,329)</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13,444</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4"/>
                <w:szCs w:val="14"/>
                <w:color w:val="auto"/>
              </w:rPr>
              <w:t>(35,195) (ff)</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(63,993)</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4"/>
                <w:szCs w:val="14"/>
                <w:color w:val="auto"/>
              </w:rPr>
              <w:t>(998) (jj)</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(64,991)</w:t>
            </w: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(29,501) (cc)</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(12,741) (ii)</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 (loss) attributable to Perella Weinberg Partners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13,219</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Net income (loss) per share attributable to Class A common</w:t>
            </w: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(0.11) (gg)</w:t>
            </w:r>
          </w:p>
        </w:tc>
        <w:tc>
          <w:tcPr>
            <w:tcW w:w="0" w:type="dxa"/>
            <w:vAlign w:val="bottom"/>
          </w:tcPr>
          <w:p>
            <w:pPr>
              <w:spacing w:after="0"/>
              <w:rPr>
                <w:sz w:val="1"/>
                <w:szCs w:val="1"/>
                <w:color w:val="auto"/>
              </w:rPr>
            </w:pPr>
          </w:p>
        </w:tc>
      </w:tr>
      <w:tr>
        <w:trPr>
          <w:trHeight w:val="186"/>
        </w:trPr>
        <w:tc>
          <w:tcPr>
            <w:tcW w:w="408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480"/>
              <w:spacing w:after="0"/>
              <w:rPr>
                <w:sz w:val="20"/>
                <w:szCs w:val="20"/>
                <w:color w:val="auto"/>
              </w:rPr>
            </w:pPr>
            <w:r>
              <w:rPr>
                <w:rFonts w:ascii="Arial" w:cs="Arial" w:eastAsia="Arial" w:hAnsi="Arial"/>
                <w:sz w:val="14"/>
                <w:szCs w:val="14"/>
                <w:color w:val="auto"/>
              </w:rPr>
              <w:t>(0.71) (gg)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42,595,712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46,899,646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92,749,911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93,556,111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pro forma adjustments have been prepared as if the January 2022 Offering had occurred on December 31, 2021, in the case of the unaudited pro forma condensed combined statement of financial condition, and as if the January 2022 Offering and the Business Combination had been consummated on January 1, 2021, the beginning of the earliest period presented, in the case of the unaudited pro forma condensed combined statement of operations.</w:t>
      </w:r>
    </w:p>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One-time direct and incremental transaction costs incurred prior to, or concurrent with, the January 2022 Offering are reflected in the unaudited pro forma condensed combined statement of financial condition as a direct reduction to the combined entity’s additional paid-in capital and are assumed to be cash settled.</w:t>
      </w:r>
    </w:p>
    <w:p>
      <w:pPr>
        <w:spacing w:after="0" w:line="13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Adjustments and Assumptions to the Unaudited Pro Forma Condensed Combined Statement of Financial Condition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December 31, 2021 reflects the following adjustments:</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financial condition as of December 31, 2021.</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step-up for tax purposes of certain assets of PWP OpCo as a result of the acquisition of PWP OpCo Class A partnership units with the proceeds of the January 2022 Offering.</w:t>
      </w:r>
    </w:p>
    <w:p>
      <w:pPr>
        <w:spacing w:after="0" w:line="116" w:lineRule="exact"/>
        <w:rPr>
          <w:rFonts w:ascii="Arial" w:cs="Arial" w:eastAsia="Arial" w:hAnsi="Arial"/>
          <w:sz w:val="18"/>
          <w:szCs w:val="18"/>
          <w:color w:val="auto"/>
        </w:rPr>
      </w:pPr>
    </w:p>
    <w:p>
      <w:pPr>
        <w:ind w:left="660" w:hanging="328"/>
        <w:spacing w:after="0" w:line="301" w:lineRule="auto"/>
        <w:tabs>
          <w:tab w:leader="none" w:pos="657"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pro forma adjustments to record the Amount due pursuant to the Tax Receivable Agreement as a result of the acquisition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December 31, 2021.</w:t>
      </w:r>
    </w:p>
    <w:p>
      <w:pPr>
        <w:spacing w:after="0" w:line="103" w:lineRule="exact"/>
        <w:rPr>
          <w:rFonts w:ascii="Arial" w:cs="Arial" w:eastAsia="Arial" w:hAnsi="Arial"/>
          <w:sz w:val="16"/>
          <w:szCs w:val="16"/>
          <w:color w:val="auto"/>
        </w:rPr>
      </w:pPr>
    </w:p>
    <w:p>
      <w:pPr>
        <w:ind w:left="660" w:right="20" w:hanging="328"/>
        <w:spacing w:after="0" w:line="25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for cash, pursuant to the PWP OpCo LPA, using the proceeds from the issuance of shares of Class A common stock from the January 2022 Offering. Included in such adjustment is an additional $1.3 million of direct and incremental costs associated with the January 2022 Offering and the adjustment to non-controlling interests as a result of PWP’s increased ownership in PWP OpCo as a result of the January 2022 Offering and the exchanges described above.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(b) and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440" w:right="379" w:bottom="1440" w:gutter="0" w:footer="0" w:header="0"/>
        </w:sectPr>
      </w:pPr>
    </w:p>
    <w:bookmarkStart w:id="81" w:name="page82"/>
    <w:bookmarkEnd w:id="81"/>
    <w:p>
      <w:pPr>
        <w:spacing w:after="0" w:line="144" w:lineRule="exact"/>
        <w:rPr>
          <w:sz w:val="20"/>
          <w:szCs w:val="20"/>
          <w:color w:val="auto"/>
        </w:rPr>
      </w:pPr>
    </w:p>
    <w:p>
      <w:pPr>
        <w:ind w:left="660" w:right="280" w:hanging="328"/>
        <w:spacing w:after="0" w:line="277" w:lineRule="auto"/>
        <w:tabs>
          <w:tab w:leader="none" w:pos="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the January 2022 Offering, including certain legal, accounting and other related expenses, which are reflected as a reduction to additional paid-in capital.</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2021 reflects the following adjustments:</w:t>
      </w:r>
    </w:p>
    <w:p>
      <w:pPr>
        <w:spacing w:after="0" w:line="183" w:lineRule="exact"/>
        <w:rPr>
          <w:sz w:val="20"/>
          <w:szCs w:val="20"/>
          <w:color w:val="auto"/>
        </w:rPr>
      </w:pPr>
    </w:p>
    <w:p>
      <w:pPr>
        <w:ind w:left="660" w:right="480" w:hanging="328"/>
        <w:spacing w:after="0" w:line="277" w:lineRule="auto"/>
        <w:tabs>
          <w:tab w:leader="none" w:pos="6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(bb)Represents the PWP historical audited consolidated statement of operations for the year ended December 31, 2021.</w:t>
      </w:r>
    </w:p>
    <w:p>
      <w:pPr>
        <w:spacing w:after="0" w:line="171" w:lineRule="exact"/>
        <w:rPr>
          <w:sz w:val="20"/>
          <w:szCs w:val="20"/>
          <w:color w:val="auto"/>
        </w:rPr>
      </w:pPr>
    </w:p>
    <w:p>
      <w:pPr>
        <w:ind w:left="660" w:right="300" w:hanging="328"/>
        <w:spacing w:after="0" w:line="301" w:lineRule="auto"/>
        <w:tabs>
          <w:tab w:leader="none" w:pos="6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color w:val="auto"/>
        </w:rPr>
        <w:t>(dd)Represents the pro forma adjustment to record the expense related to the restricted stock units ("RSUs") and performance stock units ("PSUs") that were granted in connection with the Business Combination.</w:t>
      </w:r>
    </w:p>
    <w:p>
      <w:pPr>
        <w:spacing w:after="0" w:line="116" w:lineRule="exact"/>
        <w:rPr>
          <w:sz w:val="20"/>
          <w:szCs w:val="20"/>
          <w:color w:val="auto"/>
        </w:rPr>
      </w:pPr>
    </w:p>
    <w:p>
      <w:pPr>
        <w:ind w:left="660" w:right="40" w:hanging="328"/>
        <w:spacing w:after="0" w:line="25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right="20" w:hanging="328"/>
        <w:spacing w:after="0" w:line="255" w:lineRule="auto"/>
        <w:tabs>
          <w:tab w:leader="none" w:pos="6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38" w:lineRule="exact"/>
        <w:rPr>
          <w:sz w:val="20"/>
          <w:szCs w:val="20"/>
          <w:color w:val="auto"/>
        </w:rPr>
      </w:pPr>
    </w:p>
    <w:p>
      <w:pPr>
        <w:jc w:val="both"/>
        <w:ind w:left="660" w:right="280" w:hanging="323"/>
        <w:spacing w:after="0" w:line="301" w:lineRule="auto"/>
        <w:rPr>
          <w:sz w:val="20"/>
          <w:szCs w:val="20"/>
          <w:color w:val="auto"/>
        </w:rPr>
      </w:pPr>
      <w:r>
        <w:rPr>
          <w:rFonts w:ascii="Arial" w:cs="Arial" w:eastAsia="Arial" w:hAnsi="Arial"/>
          <w:sz w:val="16"/>
          <w:szCs w:val="16"/>
          <w:color w:val="auto"/>
        </w:rPr>
        <w:t>(gg)Basic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03"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RSUs that were granted following the completion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44" w:lineRule="exact"/>
        <w:rPr>
          <w:sz w:val="20"/>
          <w:szCs w:val="20"/>
          <w:color w:val="auto"/>
        </w:rPr>
      </w:pPr>
    </w:p>
    <w:p>
      <w:pPr>
        <w:ind w:left="328" w:right="380"/>
        <w:spacing w:after="0" w:line="277" w:lineRule="auto"/>
        <w:rPr>
          <w:sz w:val="20"/>
          <w:szCs w:val="20"/>
          <w:color w:val="auto"/>
        </w:rPr>
      </w:pPr>
      <w:r>
        <w:rPr>
          <w:rFonts w:ascii="Arial" w:cs="Arial" w:eastAsia="Arial" w:hAnsi="Arial"/>
          <w:sz w:val="18"/>
          <w:szCs w:val="18"/>
          <w:color w:val="auto"/>
        </w:rPr>
        <w:t>Combination and are subject to a time-based vesting schedule, 3,502,033 shares related to the January 2022 Offering, and an adjustment for treasury stock purchases that occurred in 2021.</w:t>
      </w:r>
    </w:p>
    <w:p>
      <w:pPr>
        <w:spacing w:after="0" w:line="116"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w w:val="95"/>
              </w:rPr>
              <w:t>Diluted net income (loss) per share of Class A common stock for the year ended December 31, 2021: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(5,338)</w:t>
            </w: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assumed exchange of PWP OpCo common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8"/>
              </w:rPr>
              <w:t>Estimated tax expense of assumed exchange of PWP OpCo common units for Class A common stock</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Weighted average number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46,899,646</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 exchange of PWP OpCo common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46,656,465</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93,556,111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8"/>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328" w:right="780" w:hanging="323"/>
        <w:spacing w:after="0" w:line="277" w:lineRule="auto"/>
        <w:rPr>
          <w:sz w:val="20"/>
          <w:szCs w:val="20"/>
          <w:color w:val="auto"/>
        </w:rPr>
      </w:pPr>
      <w:r>
        <w:rPr>
          <w:rFonts w:ascii="Arial" w:cs="Arial" w:eastAsia="Arial" w:hAnsi="Arial"/>
          <w:sz w:val="18"/>
          <w:szCs w:val="18"/>
          <w:color w:val="auto"/>
        </w:rPr>
        <w:t>(hh)Reflects the pro forma adjustment to interest expense assuming the paydown of all outstanding debt from the proceeds of the Business Combination as if it occurred on January 1, 2021.</w:t>
      </w:r>
    </w:p>
    <w:p>
      <w:pPr>
        <w:spacing w:after="0" w:line="116" w:lineRule="exact"/>
        <w:rPr>
          <w:sz w:val="20"/>
          <w:szCs w:val="20"/>
          <w:color w:val="auto"/>
        </w:rPr>
      </w:pPr>
    </w:p>
    <w:p>
      <w:pPr>
        <w:jc w:val="both"/>
        <w:ind w:left="328" w:right="440" w:hanging="328"/>
        <w:spacing w:after="0" w:line="286" w:lineRule="auto"/>
        <w:tabs>
          <w:tab w:leader="none" w:pos="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interests for the portion of net income (loss) attributable to non-controlling interests resulting from adjustments (dd), (hh) and (kk) based on the aggregate Professional Partners and ILPs ownership as depicted in the Capitalization table above, adjusted for the assumed vesting of RSUs during the year ended December 31, 2021.</w:t>
      </w:r>
    </w:p>
    <w:p>
      <w:pPr>
        <w:spacing w:after="0" w:line="111" w:lineRule="exact"/>
        <w:rPr>
          <w:rFonts w:ascii="Arial" w:cs="Arial" w:eastAsia="Arial" w:hAnsi="Arial"/>
          <w:sz w:val="17"/>
          <w:szCs w:val="17"/>
          <w:color w:val="auto"/>
        </w:rPr>
      </w:pPr>
    </w:p>
    <w:p>
      <w:pPr>
        <w:ind w:left="328" w:hanging="328"/>
        <w:spacing w:after="0" w:line="308" w:lineRule="auto"/>
        <w:tabs>
          <w:tab w:leader="none" w:pos="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the pro forma impact to Income tax benefit (expense) and Net income (loss) attributable to non-controlling interests as a result of PWP’s increased ownership in PWP OpCo as a result of the January 2022 Offering and the related acquisition described above.</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8"/>
          <w:szCs w:val="18"/>
          <w:color w:val="auto"/>
        </w:rPr>
        <w:t>(kk)Reflects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68"/>
          </w:cols>
          <w:pgMar w:left="652" w:top="1440" w:right="479" w:bottom="1440" w:gutter="0" w:footer="0" w:header="0"/>
        </w:sectPr>
      </w:pPr>
    </w:p>
    <w:bookmarkStart w:id="83" w:name="page84"/>
    <w:bookmarkEnd w:id="8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unaudited pro forma per share information of the Company for the fiscal year ended December 31, 2021, after giving effect to the Business Combination and the January 2022 Offering.</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the January 2022 Offering as if they had occurred on December 31, 2021 and January 1, 2021, respectively.</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contained elsewhere in this prospectus and the audited historical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Business Combination and the January 2022 Offering nor the book value per share for any future date or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PWP</w:t>
            </w:r>
          </w:p>
        </w:tc>
        <w:tc>
          <w:tcPr>
            <w:tcW w:w="260" w:type="dxa"/>
            <w:vAlign w:val="bottom"/>
          </w:tcPr>
          <w:p>
            <w:pPr>
              <w:spacing w:after="0"/>
              <w:rPr>
                <w:sz w:val="14"/>
                <w:szCs w:val="14"/>
                <w:color w:val="auto"/>
              </w:rPr>
            </w:pPr>
          </w:p>
        </w:tc>
        <w:tc>
          <w:tcPr>
            <w:tcW w:w="1200" w:type="dxa"/>
            <w:vAlign w:val="bottom"/>
          </w:tcPr>
          <w:p>
            <w:pPr>
              <w:jc w:val="right"/>
              <w:ind w:right="322"/>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Historical</w:t>
            </w:r>
          </w:p>
        </w:tc>
        <w:tc>
          <w:tcPr>
            <w:tcW w:w="260" w:type="dxa"/>
            <w:vAlign w:val="bottom"/>
          </w:tcPr>
          <w:p>
            <w:pPr>
              <w:spacing w:after="0"/>
              <w:rPr>
                <w:sz w:val="16"/>
                <w:szCs w:val="16"/>
                <w:color w:val="auto"/>
              </w:rPr>
            </w:pPr>
          </w:p>
        </w:tc>
        <w:tc>
          <w:tcPr>
            <w:tcW w:w="1200" w:type="dxa"/>
            <w:vAlign w:val="bottom"/>
          </w:tcPr>
          <w:p>
            <w:pPr>
              <w:jc w:val="right"/>
              <w:ind w:right="322"/>
              <w:spacing w:after="0"/>
              <w:rPr>
                <w:sz w:val="20"/>
                <w:szCs w:val="20"/>
                <w:color w:val="auto"/>
              </w:rPr>
            </w:pPr>
            <w:r>
              <w:rPr>
                <w:rFonts w:ascii="Arial" w:cs="Arial" w:eastAsia="Arial" w:hAnsi="Arial"/>
                <w:sz w:val="14"/>
                <w:szCs w:val="14"/>
                <w:b w:val="1"/>
                <w:bCs w:val="1"/>
                <w:color w:val="auto"/>
              </w:rPr>
              <w:t>Combined</w:t>
            </w:r>
          </w:p>
        </w:tc>
      </w:tr>
      <w:tr>
        <w:trPr>
          <w:trHeight w:val="26"/>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 December 31, 2021</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Basic net income (loss) per share of Class A common stock, December 31, 2021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 of Class A common stock, December 31, 2021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Weighted average shares of Class A common stock outstanding—basic, December 31, 2021</w:t>
            </w:r>
          </w:p>
        </w:tc>
        <w:tc>
          <w:tcPr>
            <w:tcW w:w="2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42,595,712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46,899,646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of Class A common stock outstanding—diluted, December 31, 2021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92,749,911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220" w:hanging="328"/>
        <w:spacing w:after="0" w:line="311" w:lineRule="auto"/>
        <w:tabs>
          <w:tab w:leader="none" w:pos="65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hanging="328"/>
        <w:spacing w:after="0" w:line="259"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Agreement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700" w:type="dxa"/>
            <w:vAlign w:val="bottom"/>
          </w:tcPr>
          <w:p>
            <w:pPr>
              <w:jc w:val="right"/>
              <w:ind w:right="6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788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Founder Shares Held by the Sponsor</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Founder Shares and Placement Shares</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5,456,667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Total Founder and Placement Shares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6,456,667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40,483,126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46,939,793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7"/>
              </w:rPr>
              <w:t>Additional Class A Common Stock Assuming All PWP OpCo Class A Partnership Units Exchanged</w:t>
            </w:r>
            <w:r>
              <w:rPr>
                <w:rFonts w:ascii="Arial" w:cs="Arial" w:eastAsia="Arial" w:hAnsi="Arial"/>
                <w:sz w:val="23"/>
                <w:szCs w:val="23"/>
                <w:color w:val="auto"/>
                <w:w w:val="97"/>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46,365,273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156"/>
        </w:trPr>
        <w:tc>
          <w:tcPr>
            <w:tcW w:w="7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Class A Common Stock (Assuming PWP OpCo Class A Partnership Units are Fully Exchanged) Excluding</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93,305,066</w:t>
            </w:r>
          </w:p>
        </w:tc>
        <w:tc>
          <w:tcPr>
            <w:tcW w:w="10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Unvested RSUs and Warrants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Warrants Struck at $11.50 (Excluded Above)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80" w:type="dxa"/>
            <w:vAlign w:val="bottom"/>
            <w:vMerge w:val="continue"/>
          </w:tcPr>
          <w:p>
            <w:pPr>
              <w:spacing w:after="0"/>
              <w:rPr>
                <w:sz w:val="17"/>
                <w:szCs w:val="17"/>
                <w:color w:val="auto"/>
              </w:rPr>
            </w:pPr>
          </w:p>
        </w:tc>
        <w:tc>
          <w:tcPr>
            <w:tcW w:w="1560" w:type="dxa"/>
            <w:vAlign w:val="bottom"/>
          </w:tcPr>
          <w:p>
            <w:pPr>
              <w:jc w:val="right"/>
              <w:spacing w:after="0" w:line="204" w:lineRule="exact"/>
              <w:rPr>
                <w:sz w:val="20"/>
                <w:szCs w:val="20"/>
                <w:color w:val="auto"/>
              </w:rPr>
            </w:pPr>
            <w:r>
              <w:rPr>
                <w:rFonts w:ascii="Arial" w:cs="Arial" w:eastAsia="Arial" w:hAnsi="Arial"/>
                <w:sz w:val="18"/>
                <w:szCs w:val="18"/>
                <w:color w:val="auto"/>
              </w:rPr>
              <w:t>7,869,975</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February 28, 2022.</w:t>
      </w:r>
    </w:p>
    <w:p>
      <w:pPr>
        <w:spacing w:after="0" w:line="43" w:lineRule="exact"/>
        <w:rPr>
          <w:sz w:val="20"/>
          <w:szCs w:val="20"/>
          <w:color w:val="auto"/>
        </w:rPr>
      </w:pPr>
    </w:p>
    <w:p>
      <w:pPr>
        <w:ind w:left="340" w:right="20" w:hanging="332"/>
        <w:spacing w:after="0" w:line="262"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August 9, 2021, the Company repurchased 1.0 million Founder Shares from the Sponsor, out of a total of 6.8 million Founder Shares outstanding prior to such repurchase, at a purchase price of $12.00 per share. 23.4% of the remaining Founder Shares (approximately 1.4 million of 5.8 million) and all of the approximately 0.6 million Placement Shares were subject to transfer restrictions that expired on December 24, 2021. 76.6% of the remaining Founder Shares (approximately 4.5 million of 5.8 million) were originally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 As of September 30, 2021, the $12.00 and $13.50 performance targets had been met and the Founder Shares in these tranches were no longer subject to such restrictions as of December 24, 2021. On January 7, 2022, the Sponsor distributed approximately 5.5 million Founder and Placement Shares to its members as part of the Sponsor Distribution, after which the Sponsor owned 1.0 million Founder Shares. The 1.0 million Founder Shares retained by the Sponsor continue to be subject to transfer restrictions until the $15 Threshold is met. Approximately 1.7 million of the Founder Shares distributed in the Sponsor Distribution remain subject to transfer restrictions until either the $15 Threshold or the $17 Threshold, as applicable, is met.</w:t>
      </w:r>
    </w:p>
    <w:p>
      <w:pPr>
        <w:spacing w:after="0" w:line="1" w:lineRule="exact"/>
        <w:rPr>
          <w:rFonts w:ascii="Arial" w:cs="Arial" w:eastAsia="Arial" w:hAnsi="Arial"/>
          <w:sz w:val="13"/>
          <w:szCs w:val="13"/>
          <w:color w:val="auto"/>
        </w:rPr>
      </w:pPr>
    </w:p>
    <w:p>
      <w:pPr>
        <w:ind w:left="340" w:right="40" w:hanging="332"/>
        <w:spacing w:after="0" w:line="248"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Assumes that all PWP OpCo Class A partnership units and shares of Class B-1 and Class B-2 common stock held by Professional Partners and ILPs, respectively, are exchanged for Class A common stock. As the shares of Class B-1 and Class B-2 common stock have de minimis economic rights, they have been excluded from the calculations in this table of Class A common stock issued upon exchange of PWP OpCo Class A partnership units and shares of Class B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7"/>
          <w:szCs w:val="17"/>
          <w:u w:val="single" w:color="auto"/>
          <w:color w:val="auto"/>
        </w:rPr>
        <w:t>ILP</w:t>
      </w:r>
      <w:r>
        <w:rPr>
          <w:rFonts w:ascii="Arial" w:cs="Arial" w:eastAsia="Arial" w:hAnsi="Arial"/>
          <w:sz w:val="17"/>
          <w:szCs w:val="17"/>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registration statement of which this prospectus is a part pursuant to Rule 415 under the Securities Act, which became effective on July 26, 2021.</w:t>
      </w:r>
    </w:p>
    <w:p>
      <w:pPr>
        <w:spacing w:after="0" w:line="14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the Closing Date, the Company and Professional Partners entered into a stockholders agreement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3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the Closing Date, PWP OpCo adopted an Amended and Restated Agreement of Limited Partnership of PWP OpCo (as amended, restated, modified or supplemented from time to time, the “</w:t>
      </w:r>
      <w:r>
        <w:rPr>
          <w:rFonts w:ascii="Arial" w:cs="Arial" w:eastAsia="Arial" w:hAnsi="Arial"/>
          <w:sz w:val="18"/>
          <w:szCs w:val="18"/>
          <w:u w:val="single" w:color="auto"/>
          <w:color w:val="auto"/>
        </w:rPr>
        <w:t>PWP OpCo LPA</w:t>
      </w:r>
      <w:r>
        <w:rPr>
          <w:rFonts w:ascii="Arial" w:cs="Arial" w:eastAsia="Arial" w:hAnsi="Arial"/>
          <w:sz w:val="18"/>
          <w:szCs w:val="18"/>
          <w:color w:val="auto"/>
        </w:rPr>
        <w:t>”).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Economic Rights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Coordination of Perella Weinberg Partners and PWP OpCo</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any time we issue a share of our Class A common stock for cash (and not in connection with an exchange of PWP OpCo Class A partnership units described below under “—</w:t>
      </w:r>
      <w:r>
        <w:rPr>
          <w:rFonts w:ascii="Arial" w:cs="Arial" w:eastAsia="Arial" w:hAnsi="Arial"/>
          <w:sz w:val="17"/>
          <w:szCs w:val="17"/>
          <w:i w:val="1"/>
          <w:iCs w:val="1"/>
          <w:color w:val="auto"/>
        </w:rPr>
        <w:t>Exchange Rights</w:t>
      </w:r>
      <w:r>
        <w:rPr>
          <w:rFonts w:ascii="Arial" w:cs="Arial" w:eastAsia="Arial" w:hAnsi="Arial"/>
          <w:sz w:val="17"/>
          <w:szCs w:val="17"/>
          <w:color w:val="auto"/>
        </w:rPr>
        <w:t>”), the net proceeds received by us will be promptly transferred to PWP OpCo, and PWP OpCo will issue to us one of its PWP OpCo Class A partnership units. At any time we issue a share of our Class A common stock pursuant to the Incentive Plan, we will contribute to PWP OpCo all of the proceeds that we receive (if any), and PWP OpCo will issue to us one of its PWP OpCo Class A partnership units, having the same restrictions, if any, attached to the shares of our Class A common stock issued under the Incentive Plan.</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Corporate Transactions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reserved approximately 46.3 million shares of Class A common stock for issuance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will be between three to five years after the Closing), (ii) the restriction on Class A partnership units held by ILPs existing at the time of the Business Combination expired on December 24, 2021, and (iii) any other outstanding Class A partnership units not previously covered by clauses (i) and (ii) 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-1271905</wp:posOffset>
            </wp:positionV>
            <wp:extent cx="28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46,320 shares of Class A common stock for issuance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Exculpation and Indemnification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Operating Expenses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and our acquisition of PWP OpCo Class A partnership units with the proceeds of the January 2022 Offering resulted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Closing Date, in connection with the consummation of the Business Combination, we entered into a Tax Receivable Agreement with PWP OpCo, Professional Partners and certain other persons party thereto (the “</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The Tax Receivable Agreement generally provides for payment by the Company to ILPs and certain Partners (as defined therein) (the “</w:t>
      </w:r>
      <w:r>
        <w:rPr>
          <w:rFonts w:ascii="Arial" w:cs="Arial" w:eastAsia="Arial" w:hAnsi="Arial"/>
          <w:sz w:val="16"/>
          <w:szCs w:val="16"/>
          <w:u w:val="single" w:color="auto"/>
          <w:color w:val="auto"/>
        </w:rPr>
        <w:t>TRA Parties</w:t>
      </w:r>
      <w:r>
        <w:rPr>
          <w:rFonts w:ascii="Arial" w:cs="Arial" w:eastAsia="Arial" w:hAnsi="Arial"/>
          <w:sz w:val="16"/>
          <w:szCs w:val="16"/>
          <w:color w:val="auto"/>
        </w:rPr>
        <w:t>”)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The Company expects to retain the benefit of the remaining 15% of these cash tax savings.</w:t>
      </w:r>
    </w:p>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 not reimburse us for any payments previously made under the Tax Receivable Agreement if such basis increases or other benefits are subsequently disallowed, although excess payments made to any TRA Parties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4" w:lineRule="exact"/>
        <w:rPr>
          <w:sz w:val="20"/>
          <w:szCs w:val="20"/>
          <w:color w:val="auto"/>
        </w:rPr>
      </w:pPr>
    </w:p>
    <w:p>
      <w:pPr>
        <w:ind w:left="660" w:right="30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or December 24, 2021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129"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w:t>
      </w:r>
      <w:r>
        <w:rPr>
          <w:rFonts w:ascii="Arial" w:cs="Arial" w:eastAsia="Arial" w:hAnsi="Arial"/>
          <w:sz w:val="18"/>
          <w:szCs w:val="18"/>
          <w:u w:val="single" w:color="auto"/>
          <w:color w:val="auto"/>
        </w:rPr>
        <w:t>$15 Threshold</w:t>
      </w:r>
      <w:r>
        <w:rPr>
          <w:rFonts w:ascii="Arial" w:cs="Arial" w:eastAsia="Arial" w:hAnsi="Arial"/>
          <w:sz w:val="18"/>
          <w:szCs w:val="18"/>
          <w:color w:val="auto"/>
        </w:rPr>
        <w:t>”); and</w:t>
      </w:r>
    </w:p>
    <w:p>
      <w:pPr>
        <w:spacing w:after="0" w:line="129"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w:t>
      </w:r>
      <w:r>
        <w:rPr>
          <w:rFonts w:ascii="Arial" w:cs="Arial" w:eastAsia="Arial" w:hAnsi="Arial"/>
          <w:sz w:val="18"/>
          <w:szCs w:val="18"/>
          <w:u w:val="single" w:color="auto"/>
          <w:color w:val="auto"/>
        </w:rPr>
        <w:t>$17 Threshold</w:t>
      </w:r>
      <w:r>
        <w:rPr>
          <w:rFonts w:ascii="Arial" w:cs="Arial" w:eastAsia="Arial" w:hAnsi="Arial"/>
          <w:sz w:val="18"/>
          <w:szCs w:val="18"/>
          <w:color w:val="auto"/>
        </w:rPr>
        <w:t>”).</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$17 Threshold is met.</w:t>
      </w:r>
    </w:p>
    <w:p>
      <w:pPr>
        <w:spacing w:after="0" w:line="133"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 within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 challenges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Growing Demand for Independent Advice: </w:t>
      </w:r>
      <w:r>
        <w:rPr>
          <w:rFonts w:ascii="Arial" w:cs="Arial" w:eastAsia="Arial" w:hAnsi="Arial"/>
          <w:sz w:val="17"/>
          <w:szCs w:val="17"/>
          <w:color w:val="auto"/>
        </w:rPr>
        <w:t>We believe the momentum driving demand for independent advice remains strong. When we founded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1440" w:right="379" w:bottom="1440" w:gutter="0" w:footer="0" w:header="0"/>
        </w:sectPr>
      </w:pPr>
    </w:p>
    <w:bookmarkStart w:id="97" w:name="page98"/>
    <w:bookmarkEnd w:id="97"/>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based on a variety of economic, regulatory and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is at Our Core: </w:t>
      </w:r>
      <w:r>
        <w:rPr>
          <w:rFonts w:ascii="Arial" w:cs="Arial" w:eastAsia="Arial" w:hAnsi="Arial"/>
          <w:sz w:val="16"/>
          <w:szCs w:val="16"/>
          <w:color w:val="auto"/>
        </w:rPr>
        <w:t>We operate as a highly collaborative and integrated partnership defined by a culture of integrity, humility, rigor, and intensity.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Focused Internationally: </w:t>
      </w:r>
      <w:r>
        <w:rPr>
          <w:rFonts w:ascii="Arial" w:cs="Arial" w:eastAsia="Arial" w:hAnsi="Arial"/>
          <w:sz w:val="16"/>
          <w:szCs w:val="16"/>
          <w:color w:val="auto"/>
        </w:rPr>
        <w:t>Since its founding, our organization has been integrated globally and is deliberately focused on the most active advisory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Our closely integrated partnership approach enables us to efficiently leverage our deep industry expertise with clients across geographies.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Company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b w:val="1"/>
          <w:bCs w:val="1"/>
          <w:i w:val="1"/>
          <w:iCs w:val="1"/>
          <w:color w:val="auto"/>
        </w:rPr>
        <w:t xml:space="preserve">High Standards of Integrity: </w:t>
      </w:r>
      <w:r>
        <w:rPr>
          <w:rFonts w:ascii="Arial" w:cs="Arial" w:eastAsia="Arial" w:hAnsi="Arial"/>
          <w:sz w:val="17"/>
          <w:szCs w:val="17"/>
          <w:color w:val="auto"/>
        </w:rPr>
        <w:t>We earn trust—our most important currency with clients and each other—first and foremost through integrity. We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-314325</wp:posOffset>
            </wp:positionV>
            <wp:extent cx="28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Leveraging our Existing Client Relationships: </w:t>
      </w:r>
      <w:r>
        <w:rPr>
          <w:rFonts w:ascii="Arial" w:cs="Arial" w:eastAsia="Arial" w:hAnsi="Arial"/>
          <w:sz w:val="16"/>
          <w:szCs w:val="16"/>
          <w:color w:val="auto"/>
        </w:rPr>
        <w:t>As we grow our business, we seek to deepen and expand our client relationships, which are the foundation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320" w:top="1440" w:right="399" w:bottom="1440" w:gutter="0" w:footer="0" w:header="0"/>
        </w:sectPr>
      </w:pPr>
    </w:p>
    <w:bookmarkStart w:id="100" w:name="page101"/>
    <w:bookmarkEnd w:id="100"/>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Company: </w:t>
      </w:r>
      <w:r>
        <w:rPr>
          <w:rFonts w:ascii="Arial" w:cs="Arial" w:eastAsia="Arial" w:hAnsi="Arial"/>
          <w:sz w:val="17"/>
          <w:szCs w:val="17"/>
          <w:color w:val="auto"/>
        </w:rPr>
        <w:t>Attracting and retaining world-class talent at the Company is a critical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Company Investments Including Special Purpose Acquisition Companies: </w:t>
      </w:r>
      <w:r>
        <w:rPr>
          <w:rFonts w:ascii="Arial" w:cs="Arial" w:eastAsia="Arial" w:hAnsi="Arial"/>
          <w:sz w:val="16"/>
          <w:szCs w:val="16"/>
          <w:color w:val="auto"/>
        </w:rPr>
        <w:t>We have a relationship with the sponsor of PFAC, a SPAC that was formed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shd w:val="clear" w:color="auto" w:fill="01649D"/>
          </w:tcPr>
          <w:p>
            <w:pPr>
              <w:ind w:left="80"/>
              <w:spacing w:after="0" w:line="149"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restart"/>
            <w:shd w:val="clear" w:color="auto" w:fill="01649D"/>
          </w:tcPr>
          <w:p>
            <w:pPr>
              <w:ind w:left="54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MKS Instruments</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19"/>
                <w:szCs w:val="19"/>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-3385820</wp:posOffset>
            </wp:positionV>
            <wp:extent cx="34290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-3291205</wp:posOffset>
            </wp:positionV>
            <wp:extent cx="39433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4335" cy="10287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-3282950</wp:posOffset>
            </wp:positionV>
            <wp:extent cx="428625"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-2871470</wp:posOffset>
            </wp:positionV>
            <wp:extent cx="48006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-2931160</wp:posOffset>
            </wp:positionV>
            <wp:extent cx="428625"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-2837180</wp:posOffset>
            </wp:positionV>
            <wp:extent cx="37719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-2391410</wp:posOffset>
            </wp:positionV>
            <wp:extent cx="42862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-2408555</wp:posOffset>
            </wp:positionV>
            <wp:extent cx="47180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1805" cy="1543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-2408555</wp:posOffset>
            </wp:positionV>
            <wp:extent cx="42862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-1765300</wp:posOffset>
            </wp:positionV>
            <wp:extent cx="40259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-1757045</wp:posOffset>
            </wp:positionV>
            <wp:extent cx="39433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4335" cy="685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-1542415</wp:posOffset>
            </wp:positionV>
            <wp:extent cx="4286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-1130935</wp:posOffset>
            </wp:positionV>
            <wp:extent cx="42862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-1156970</wp:posOffset>
            </wp:positionV>
            <wp:extent cx="3943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4335"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-479425</wp:posOffset>
            </wp:positionV>
            <wp:extent cx="42862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-462280</wp:posOffset>
            </wp:positionV>
            <wp:extent cx="42862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-462280</wp:posOffset>
            </wp:positionV>
            <wp:extent cx="428625"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60"/>
          </w:cols>
          <w:pgMar w:left="320" w:top="1440" w:right="319" w:bottom="1440" w:gutter="0" w:footer="0" w:header="0"/>
        </w:sectPr>
      </w:pPr>
    </w:p>
    <w:bookmarkStart w:id="103" w:name="page104"/>
    <w:bookmarkEnd w:id="103"/>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08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Exclusive financial advisor to Northrop</w:t>
            </w:r>
          </w:p>
        </w:tc>
        <w:tc>
          <w:tcPr>
            <w:tcW w:w="106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Precision Medicine</w:t>
            </w:r>
          </w:p>
        </w:tc>
        <w:tc>
          <w:tcPr>
            <w:tcW w:w="3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Grumman Corp. on the sale of its</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Federal IT and Mission Support</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Services Business to Veritas Capital</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Blackstone Group Inc.</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Fund Management, LLC for $3.4B</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Financial advisor to KKR in connection</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with KKR's $5.3B acquisition of</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Orbital ATK,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Cloudera</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1080" w:type="dxa"/>
            <w:vAlign w:val="bottom"/>
            <w:tcBorders>
              <w:lef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Financial advisor to KKR &amp; Co. Inc. on</w:t>
            </w:r>
          </w:p>
        </w:tc>
        <w:tc>
          <w:tcPr>
            <w:tcW w:w="3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the Supervisory Board of</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Retail Hair businesses and $1.0B</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Fiat Chrysler Automobiles N.V.</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in Coty Inc. in the form of</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080" w:type="dxa"/>
            <w:vAlign w:val="bottom"/>
            <w:tcBorders>
              <w:left w:val="single" w:sz="8" w:color="auto"/>
            </w:tcBorders>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2680" w:type="dxa"/>
            <w:vAlign w:val="bottom"/>
            <w:tcBorders>
              <w:right w:val="single" w:sz="8" w:color="auto"/>
            </w:tcBorders>
            <w:vMerge w:val="continue"/>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convertible preferred shares</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Sole financial advisor to Oaktree</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Lead financial advisor to Invitae Corp.</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Capital Group, LLC in 62% sale to</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 connection with $1.4B business</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Brookfield Asset Management Inc.</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combination with ArcherDX,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1060" w:type="dxa"/>
            <w:vAlign w:val="bottom"/>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plc’s $107B sale to Anheuser-Busch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Honey Science Corporation</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Advisor to Occidental Petroleum Corp.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EcoPetrol for $1.5B</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 Cantel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on its $1.8B acquisition of Cronos</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Hu-Friedy Mfg. Co.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E.ON SE in its $54B</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SodaStream</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acquisition of innogy SE and exchange</w:t>
            </w:r>
          </w:p>
        </w:tc>
        <w:tc>
          <w:tcPr>
            <w:tcW w:w="1060" w:type="dxa"/>
            <w:vAlign w:val="bottom"/>
          </w:tcPr>
          <w:p>
            <w:pPr>
              <w:spacing w:after="0"/>
              <w:rPr>
                <w:sz w:val="16"/>
                <w:szCs w:val="16"/>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International, Ltd. in its $3.2B sale to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19"/>
        </w:trPr>
        <w:tc>
          <w:tcPr>
            <w:tcW w:w="108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106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PepsiCo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Lead advisor to Becton, Dickinson and</w:t>
            </w:r>
          </w:p>
        </w:tc>
        <w:tc>
          <w:tcPr>
            <w:tcW w:w="1060" w:type="dxa"/>
            <w:vAlign w:val="bottom"/>
          </w:tcPr>
          <w:p>
            <w:pPr>
              <w:spacing w:after="0"/>
              <w:rPr>
                <w:sz w:val="17"/>
                <w:szCs w:val="1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Apache Corporation in the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94"/>
        </w:trPr>
        <w:tc>
          <w:tcPr>
            <w:tcW w:w="108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 in its $24B acquisition of C.R.</w:t>
            </w:r>
          </w:p>
        </w:tc>
        <w:tc>
          <w:tcPr>
            <w:tcW w:w="1060" w:type="dxa"/>
            <w:vAlign w:val="bottom"/>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1060" w:type="dxa"/>
            <w:vAlign w:val="bottom"/>
          </w:tcPr>
          <w:p>
            <w:pPr>
              <w:spacing w:after="0"/>
              <w:rPr>
                <w:sz w:val="8"/>
                <w:szCs w:val="8"/>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$3.5B formation of Altus Midstream LP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12"/>
        </w:trPr>
        <w:tc>
          <w:tcPr>
            <w:tcW w:w="1080" w:type="dxa"/>
            <w:vAlign w:val="bottom"/>
            <w:tcBorders>
              <w:left w:val="single" w:sz="8" w:color="auto"/>
            </w:tcBorders>
          </w:tcPr>
          <w:p>
            <w:pPr>
              <w:spacing w:after="0"/>
              <w:rPr>
                <w:sz w:val="9"/>
                <w:szCs w:val="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Bard, Inc.</w:t>
            </w:r>
          </w:p>
        </w:tc>
        <w:tc>
          <w:tcPr>
            <w:tcW w:w="1060" w:type="dxa"/>
            <w:vAlign w:val="bottom"/>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Borders>
              <w:left w:val="single" w:sz="8" w:color="auto"/>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-4234180</wp:posOffset>
            </wp:positionV>
            <wp:extent cx="42862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-4559935</wp:posOffset>
            </wp:positionV>
            <wp:extent cx="48006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0060" cy="29146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-4491355</wp:posOffset>
            </wp:positionV>
            <wp:extent cx="41148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-3394075</wp:posOffset>
            </wp:positionV>
            <wp:extent cx="39433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4335"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-3865880</wp:posOffset>
            </wp:positionV>
            <wp:extent cx="37719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-3205480</wp:posOffset>
            </wp:positionV>
            <wp:extent cx="33401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-3205480</wp:posOffset>
            </wp:positionV>
            <wp:extent cx="25717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-2519680</wp:posOffset>
            </wp:positionV>
            <wp:extent cx="42862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-2519680</wp:posOffset>
            </wp:positionV>
            <wp:extent cx="37719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7190"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-2502535</wp:posOffset>
            </wp:positionV>
            <wp:extent cx="41148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-1637030</wp:posOffset>
            </wp:positionV>
            <wp:extent cx="4114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-2091055</wp:posOffset>
            </wp:positionV>
            <wp:extent cx="4114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-2091055</wp:posOffset>
            </wp:positionV>
            <wp:extent cx="2571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-1610995</wp:posOffset>
            </wp:positionV>
            <wp:extent cx="19685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-1559560</wp:posOffset>
            </wp:positionV>
            <wp:extent cx="41148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-1105535</wp:posOffset>
            </wp:positionV>
            <wp:extent cx="41148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-1113790</wp:posOffset>
            </wp:positionV>
            <wp:extent cx="394335"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-770890</wp:posOffset>
            </wp:positionV>
            <wp:extent cx="42862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-728345</wp:posOffset>
            </wp:positionV>
            <wp:extent cx="4114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-736600</wp:posOffset>
            </wp:positionV>
            <wp:extent cx="334645"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46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-359410</wp:posOffset>
            </wp:positionV>
            <wp:extent cx="36004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-368300</wp:posOffset>
            </wp:positionV>
            <wp:extent cx="43688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6880" cy="1631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334645"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4645" cy="9398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0" w:lineRule="exact"/>
        <w:rPr>
          <w:sz w:val="20"/>
          <w:szCs w:val="20"/>
          <w:color w:val="auto"/>
        </w:rPr>
      </w:pPr>
    </w:p>
    <w:p>
      <w:pPr>
        <w:ind w:left="660" w:right="240" w:hanging="328"/>
        <w:spacing w:after="0" w:line="26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140" w:lineRule="exact"/>
        <w:rPr>
          <w:sz w:val="20"/>
          <w:szCs w:val="20"/>
          <w:color w:val="auto"/>
        </w:rPr>
      </w:pPr>
    </w:p>
    <w:p>
      <w:pPr>
        <w:ind w:left="660" w:right="580" w:hanging="328"/>
        <w:spacing w:after="0" w:line="28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Social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07" w:lineRule="exact"/>
        <w:rPr>
          <w:rFonts w:ascii="Arial" w:cs="Arial" w:eastAsia="Arial" w:hAnsi="Arial"/>
          <w:sz w:val="18"/>
          <w:szCs w:val="18"/>
          <w:color w:val="auto"/>
        </w:rPr>
      </w:pPr>
    </w:p>
    <w:p>
      <w:pPr>
        <w:ind w:left="660" w:right="340" w:hanging="328"/>
        <w:spacing w:after="0" w:line="312"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Governance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strong governance and enterprise risk management oversight across all aspects of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-307975</wp:posOffset>
            </wp:positionV>
            <wp:extent cx="28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drivers of the growth of the Company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TPH was founded in 2007 and is headquartered in Houston, Texas.</w:t>
      </w:r>
    </w:p>
    <w:p>
      <w:pPr>
        <w:spacing w:after="0" w:line="11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28, 2019, we effected the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Persons Transactions—PWP’s Related Party Transactions—Agreements with PWP Capital.</w:t>
      </w:r>
      <w:r>
        <w:rPr>
          <w:rFonts w:ascii="Arial" w:cs="Arial" w:eastAsia="Arial" w:hAnsi="Arial"/>
          <w:sz w:val="17"/>
          <w:szCs w:val="17"/>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3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clients participating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regulation we are subject to in the United States, we are also subject to regulation internationally. PWP U.K. is authorized and regulated by the FCA and, as a limited license Prudential sourcebook for Investment Firms, is required to maintain, as a minimum, regulatory capital of the greater of: (a) its base capital requirement of €50,000; (b) the sum of its market and credit risk requirements; or (c) one-quarter of PWP U.K.’s annual fixed overheads calculated in accordance with E.U.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1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FCPA, the UK Bribery Act 2010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602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0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consolidated financial statements included in this prospectus reflect (i) the historical operating results of PWP OpCo prior to the Business Combination and</w:t>
      </w:r>
    </w:p>
    <w:p>
      <w:pPr>
        <w:spacing w:after="0" w:line="2" w:lineRule="exact"/>
        <w:rPr>
          <w:sz w:val="20"/>
          <w:szCs w:val="20"/>
          <w:color w:val="auto"/>
        </w:rPr>
      </w:pPr>
    </w:p>
    <w:p>
      <w:pPr>
        <w:ind w:right="20" w:firstLine="8"/>
        <w:spacing w:after="0" w:line="253"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combined results of the Company following the Business Combination. The Company shareholders are entitled to receive a portion of PWP OpCo’s economics through their ownership interests in shares of Class A common stock of the Company, which holds PWP OpCo Class A partnership units. The non-controlling interest owners of PWP OpCo receive a portion of its economics through their ownership of PWP OpCo units.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discussion related to the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Worldwide announced M&amp;A volumes in 2021 increased significantly as compared to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2021.</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elevated in the medium term.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vs. 2020</w:t>
            </w:r>
          </w:p>
        </w:tc>
        <w:tc>
          <w:tcPr>
            <w:tcW w:w="14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compensation and benefits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980" w:type="dxa"/>
            <w:vAlign w:val="bottom"/>
          </w:tcPr>
          <w:p>
            <w:pPr>
              <w:ind w:left="240"/>
              <w:spacing w:after="0"/>
              <w:rPr>
                <w:sz w:val="20"/>
                <w:szCs w:val="20"/>
                <w:color w:val="auto"/>
              </w:rPr>
            </w:pPr>
            <w:r>
              <w:rPr>
                <w:rFonts w:ascii="Arial" w:cs="Arial" w:eastAsia="Arial" w:hAnsi="Arial"/>
                <w:sz w:val="18"/>
                <w:szCs w:val="18"/>
                <w:color w:val="auto"/>
              </w:rPr>
              <w:t>Non-compensation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142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Related party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Less: Net income (loss) attributable to non-controlling</w:t>
            </w: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Net income (loss) attributable to Perella Weinberg</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Partners</w:t>
            </w: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Revenues were $801.7 million for the year ended December 31, 2021 as compared with $519.0 million for the year ended December 31, 2020, representing an increase of 54%. The increase in revenues can be attributed to both an increase in the number of advisory clients and the average fee size per client as M&amp;A activity increased year over year, partially offset by a reduction in restructuring and liability management fees as compared to the prior year.</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2021 and 2020, we earned revenues from 232 and 175 advisory clients, respectively. The number of advisory clients who paid fees equal to or greater than $1.0 million increased to 142 advisory clients for the year ended December 31, 2021 compared to 99 advisory clients for the year ended December 31, 2020. The average fee size increased to $3.4 million for the year ended December 31, 2021 from $2.9 million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 decline in mergers and acquisitions activity during the start of COVID-19 pandemic, offset partially by an increase in capital structure and restructuring activity.</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 at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2021 vs. 2020</w:t>
            </w:r>
          </w:p>
        </w:tc>
        <w:tc>
          <w:tcPr>
            <w:tcW w:w="14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 vs. 2019</w:t>
            </w:r>
          </w:p>
        </w:tc>
      </w:tr>
      <w:tr>
        <w:trPr>
          <w:trHeight w:val="211"/>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504,364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374,332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349,819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96,330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24,815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compensation and benefits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600,694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399,147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543,118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Non-compensation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134,384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134,435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735,078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533,582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688,416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22,950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(20,889)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(161,596)</w:t>
            </w:r>
          </w:p>
        </w:tc>
        <w:tc>
          <w:tcPr>
            <w:tcW w:w="10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NM</w:t>
            </w:r>
          </w:p>
        </w:tc>
        <w:tc>
          <w:tcPr>
            <w:tcW w:w="14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Operating expenses were $735.1 million for the year ended December 31, 2021 and represented 92% of revenues, compared with $533.6 million for the year ended December 31, 2020, which represented 103% of revenues. The increase in operating expenses was primarily driven by an increase in total compensation and benefits expenses, which were $600.7 million for the year ended December 31, 2021 compared to $399.1 million for the year ended December 31, 2020. Non-compensation expenses were $134.4 million for the year ended December 31, 2021 and represented 17% of revenues, compared to $134.4 million for the year ended December 31, 2020, which represented 26%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driven by a decrease in both total compensation and benefits and non-compensation expense from the prior year. Total compensation and benefits was $399.1 million for the year ended December 31, 2020 compared to $543.1 million for the year ended December 31, 2019. Non-compensation expense was $134.4 million for the year ended December 31, 2020, representing 26% of revenue compared to $145.3 million for the year ended December 31, 2019, representing 27%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certain equity-based awards granted by Professional Partners to partners providing services to PWP OpCo prior to the Business Combination and the various Professional Partners value capital units (“</w:t>
      </w:r>
      <w:r>
        <w:rPr>
          <w:rFonts w:ascii="Arial" w:cs="Arial" w:eastAsia="Arial" w:hAnsi="Arial"/>
          <w:sz w:val="17"/>
          <w:szCs w:val="17"/>
          <w:u w:val="single" w:color="auto"/>
          <w:color w:val="auto"/>
        </w:rPr>
        <w:t>VCUs</w:t>
      </w:r>
      <w:r>
        <w:rPr>
          <w:rFonts w:ascii="Arial" w:cs="Arial" w:eastAsia="Arial" w:hAnsi="Arial"/>
          <w:sz w:val="17"/>
          <w:szCs w:val="17"/>
          <w:color w:val="auto"/>
        </w:rPr>
        <w:t>”) and alignment capital units (“</w:t>
      </w:r>
      <w:r>
        <w:rPr>
          <w:rFonts w:ascii="Arial" w:cs="Arial" w:eastAsia="Arial" w:hAnsi="Arial"/>
          <w:sz w:val="17"/>
          <w:szCs w:val="17"/>
          <w:u w:val="single" w:color="auto"/>
          <w:color w:val="auto"/>
        </w:rPr>
        <w:t>ACUs</w:t>
      </w:r>
      <w:r>
        <w:rPr>
          <w:rFonts w:ascii="Arial" w:cs="Arial" w:eastAsia="Arial" w:hAnsi="Arial"/>
          <w:sz w:val="17"/>
          <w:szCs w:val="17"/>
          <w:color w:val="auto"/>
        </w:rPr>
        <w:t>”) (collectively, the “</w:t>
      </w:r>
      <w:r>
        <w:rPr>
          <w:rFonts w:ascii="Arial" w:cs="Arial" w:eastAsia="Arial" w:hAnsi="Arial"/>
          <w:sz w:val="17"/>
          <w:szCs w:val="17"/>
          <w:u w:val="single" w:color="auto"/>
          <w:color w:val="auto"/>
        </w:rPr>
        <w:t>Professional Partners Awards</w:t>
      </w:r>
      <w:r>
        <w:rPr>
          <w:rFonts w:ascii="Arial" w:cs="Arial" w:eastAsia="Arial" w:hAnsi="Arial"/>
          <w:sz w:val="17"/>
          <w:szCs w:val="17"/>
          <w:color w:val="auto"/>
        </w:rPr>
        <w:t>”)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consolidated statements of operations and consolidated statements of financial condition.</w:t>
      </w:r>
    </w:p>
    <w:p>
      <w:pPr>
        <w:spacing w:after="0" w:line="12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Beginning in the third quarter of 2021, the Company granted incentive compensation awards in accordance with the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$97.2 million for restricted stock units out of the Transaction Pool Share Reserve (as defined below) consisting of (a) performance restricted stock units (“</w:t>
      </w:r>
      <w:r>
        <w:rPr>
          <w:rFonts w:ascii="Arial" w:cs="Arial" w:eastAsia="Arial" w:hAnsi="Arial"/>
          <w:sz w:val="18"/>
          <w:szCs w:val="18"/>
          <w:u w:val="single" w:color="auto"/>
          <w:color w:val="auto"/>
        </w:rPr>
        <w:t>PSUs</w:t>
      </w:r>
      <w:r>
        <w:rPr>
          <w:rFonts w:ascii="Arial" w:cs="Arial" w:eastAsia="Arial" w:hAnsi="Arial"/>
          <w:sz w:val="18"/>
          <w:szCs w:val="18"/>
          <w:color w:val="auto"/>
        </w:rPr>
        <w:t>”) that only vest upon the achievement of both service and market conditions and (b)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that vest upon the achievement of service conditions and $76.6 million for PSUs out of the aggregate number of shares of Class A common stock reserved for issuance under the Incentive Plan for general purposes to certain executives that vest upon the achievement of both service and market conditions granted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the year ended December 31, 2021, total compensation and benefits expenses of $600.7 million represented 75% of revenues, compared with $399.1 million of compensation-related expenses, which represented 77% of revenues for the year ended December 31, 2020. Included in total compensation-related expense was $96.3 million and $24.8 million amortization of equity awards for the years ended December 31,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consolidated statements of operations.</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year ended December 31, 2021, non-compensation expenses of $134.4 million represented 17% of revenues, compared with $134.4 million, which represented 26% of revenues, for the year ended December 31, 2020. Non-compensation expenses for the year ended December 31, 2021 included a $1.0 million decrease in professional fees. This reduction is largely due to elevated professional fees during the year ended December 31, 2020 as previously deferred offering costs of $14.8 million were expensed due to the termination of a public company transaction process in May 2020. Excluding this write-off, professional fees during the year ended December 31, 2021 increased $13.8 million, including approximately $9.6 million increase in consulting fees and approximately $3.8 million increase in recruiting expenses. Non-compensation expense for the year ended December 31, 2021 also included a $1.9 million increase in general and administrative and other expense primarily driven by increased public company costs such as directors and officers insurance and a $1.1 million increase in technology and infrastructure expenses related to certain new initiatives which were partially offset by a $1.6 million decrease in rent and occupancy expenses as a result of a lease modification whereby the Company vacated a portion of the Houston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year ended December 31, 2021, non-operating income (expenses) was $43.6 million of expense compared to $6.3 million of expense for the year ended December 31,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year ended December 31, 2021 was also driven by the change in the fair value of warrant liabilities. These increases were partially offset by a decrease in interest expense related to the repayment of all indebtedness in connection with the Business Combination.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13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income tax expense and effective tax rate were $18.9 million and 82.5%, respectively, for the year ended December 31, 2021 compared to income tax expense and effective tax rate of $3.5 million and (16.5)%, respectively, for the year ended December 31,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1440" w:right="419" w:bottom="1440" w:gutter="0" w:footer="0" w:header="0"/>
        </w:sectPr>
      </w:pPr>
    </w:p>
    <w:bookmarkStart w:id="120" w:name="page121"/>
    <w:bookmarkEnd w:id="1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purchases of fixed assets, debt payments and distributions to partners, and during the year ended December 31, 2021, the proceeds and distributions related to the Business Combination.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4"/>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Non-cash charges and other operating activity adjustments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229,814</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(171,902)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operating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(106,107)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(30,213)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(141,949)</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408,531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330,908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266,582</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Cash and restricted cash were $504.8 million as of December 31, 2021, an increase of $173.9 million from $330.9 million as of December 31, 2020. Operating activities resulted in a net inflow of $234.9 million largely attributable to changes in working capital and net income generated during the year ended December 31, 2021. Net income included $171.9 million of non-cash charges including a $39.4 million loss on debt extinguishment related to the redemption of the Convertible Notes concurrent with the Business Combination. Investing activities resulted in a net outflow of $2.4 million attributable to the Company’s purchases of fixed assets and the deconsolidation of PFAC Holdings I LLC. Financing activities resulted in a net outflow of $55.0 million primarily related to the transactions associated with the Business Combination, the payoff of all outstanding debt and tax distributions to limited partners of PWP OpCo, the repurchase of Founder Shares held as treasury shares, withholding payments for vesting of incentive awards and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1440" w:right="459" w:bottom="1440" w:gutter="0" w:footer="0" w:header="0"/>
        </w:sectPr>
      </w:pPr>
    </w:p>
    <w:bookmarkStart w:id="122" w:name="page123"/>
    <w:bookmarkEnd w:id="122"/>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current assets are primarily composed of cash,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Accrued compensation and benefits as of December 31, 2021 and 2020 was $311.5 million and $213.5 million, respectively. Cash then typically builds over the remainder of the year. The Company makes quarterly partner tax distributions as required under the partnership agreement of PWP OpCo. These distributions totaled $65.9 million, $12.0 million and $38.4 million during the years ended December 31, 2021, 2020 and 2019. Additionally, as a public company, we intend to pay dividends throughout the year and may consider share or Warrant repurchases as well. During the year ended December 31, 2021, the Company paid $6.0 million in cash dividends and repurchased 1,000,000 shares at a purchase price of $12.00 per share for a total purchase price of $12.0 million, which are being held in treasury stock. The Company has the option to net settle vesting RSUs in order to remit required employee withholding taxes using cash on hand. During the year ended December 31, 2021, the Company paid $10.5 million in withholding payments for vested RSUs. Additionally, on February 16, 2022, the Board authorized a $100 million Class A common stock repurchase program, with no expiration date, whereby the Company’s Class A common stock may be repurchased from time to time in open market transactions. The timing and actual number of shares repurchased will depend on a variety of factors, including legal requirements and regulatory restrictions as well as market conditions.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2021 and 2020. As of December 31, 2021 and 2020, the Company had cash balances of $502.8 million and $329.1 million, respectively, maintained in U.S. and non-U.S. bank accounts, of which most bank account balances exceeded the U.S. Federal Deposit Insurance Corporation (“</w:t>
      </w:r>
      <w:r>
        <w:rPr>
          <w:rFonts w:ascii="Arial" w:cs="Arial" w:eastAsia="Arial" w:hAnsi="Arial"/>
          <w:sz w:val="17"/>
          <w:szCs w:val="17"/>
          <w:u w:val="single" w:color="auto"/>
          <w:color w:val="auto"/>
        </w:rPr>
        <w:t>FDIC</w:t>
      </w:r>
      <w:r>
        <w:rPr>
          <w:rFonts w:ascii="Arial" w:cs="Arial" w:eastAsia="Arial" w:hAnsi="Arial"/>
          <w:sz w:val="17"/>
          <w:szCs w:val="17"/>
          <w:color w:val="auto"/>
        </w:rPr>
        <w:t>”) and U.K. Financial Services Compensation Scheme (“</w:t>
      </w:r>
      <w:r>
        <w:rPr>
          <w:rFonts w:ascii="Arial" w:cs="Arial" w:eastAsia="Arial" w:hAnsi="Arial"/>
          <w:sz w:val="17"/>
          <w:szCs w:val="17"/>
          <w:u w:val="single" w:color="auto"/>
          <w:color w:val="auto"/>
        </w:rPr>
        <w:t>FSCS</w:t>
      </w:r>
      <w:r>
        <w:rPr>
          <w:rFonts w:ascii="Arial" w:cs="Arial" w:eastAsia="Arial" w:hAnsi="Arial"/>
          <w:sz w:val="17"/>
          <w:szCs w:val="17"/>
          <w:color w:val="auto"/>
        </w:rPr>
        <w:t>”) coverage limits.</w:t>
      </w:r>
    </w:p>
    <w:p>
      <w:pPr>
        <w:spacing w:after="0" w:line="12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$46.9 million, net of $1.9 million of allowance for credit losses balance as of December 31, 2021. Accounts receivable was $40.8 million, net of $1.0 million of allowance for credit losses balance as of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has the Revolving Credit Facility with Cadence Bank.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December 31, 2021, the Company had no outstanding balance related to the Revolving Credit Facility and no incremental revolving commitments were incurred. For further information on the Revolving Credit Facility, refer to Note 10 – Debt in the notes to consolidated financial statements included elsewhere in this prospectus.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the lock up period expired on December 24, 2021; and (b) for Working Partners, will be between three to five years after the Closing), (ii) the restriction on PWP OpCo class A partnership units held by ILPs existing at the time of the Business Combination expired on December 24, 2021, and (iii) any other outstanding PWP OpCo class A partnership units not previously covered by clauses (i) and (ii) above will be subject to such restriction for a period of twelve months to five years after the Closing. PWP GP may waive, and in certain cases has waived, the foregoing restrictions for any single holder with respect to all or a portion of such holder's units, with no obligation to do so for any other holder.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Share Surrender and Share Restriction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i w:val="1"/>
          <w:iCs w:val="1"/>
          <w:color w:val="auto"/>
        </w:rPr>
        <w:t>Guarantees</w:t>
      </w:r>
    </w:p>
    <w:p>
      <w:pPr>
        <w:spacing w:after="0" w:line="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w:t>
      </w:r>
      <w:r>
        <w:rPr>
          <w:rFonts w:ascii="Arial" w:cs="Arial" w:eastAsia="Arial" w:hAnsi="Arial"/>
          <w:sz w:val="18"/>
          <w:szCs w:val="18"/>
          <w:u w:val="single" w:color="auto"/>
          <w:color w:val="auto"/>
        </w:rPr>
        <w:t>Limited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Partners</w:t>
      </w:r>
      <w:r>
        <w:rPr>
          <w:rFonts w:ascii="Arial" w:cs="Arial" w:eastAsia="Arial" w:hAnsi="Arial"/>
          <w:sz w:val="18"/>
          <w:szCs w:val="18"/>
          <w:color w:val="auto"/>
        </w:rPr>
        <w:t>”) with First Republic Bank (the “</w:t>
      </w:r>
      <w:r>
        <w:rPr>
          <w:rFonts w:ascii="Arial" w:cs="Arial" w:eastAsia="Arial" w:hAnsi="Arial"/>
          <w:sz w:val="18"/>
          <w:szCs w:val="18"/>
          <w:u w:val="single" w:color="auto"/>
          <w:color w:val="auto"/>
        </w:rPr>
        <w:t>Program Lender</w:t>
      </w:r>
      <w:r>
        <w:rPr>
          <w:rFonts w:ascii="Arial" w:cs="Arial" w:eastAsia="Arial" w:hAnsi="Arial"/>
          <w:sz w:val="18"/>
          <w:szCs w:val="18"/>
          <w:color w:val="auto"/>
        </w:rPr>
        <w:t>”), whereby PWP OpCo will pay the Program Lender upon the occurrence of a default event. Refer to Note 17—Related Party Transactions and Note 18—Commitments and Contingencies in the notes to consolidated financial statements included elsewhere in this prospectus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connection with the Business Combination, the Company entered into the Tax Receivable Agreement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exchanges of interests in PWP OpCo for cash or stock of the Company and certain other transactions and (c) payments made under the Tax Receivable Agreement. See Note 17—Related Party Transactions in the notes to consolidated financial statements included elsewhere in this prospectus for further information as well as the expected timing of payments.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 Leases in the notes to consolidated financial statements included elsewhere in this prospectus for further information as well as the expected timing of payments. Our London and New York office leases expire in December 2022 and September 2023, respectively, and given our significant historical growth, we anticipate expanding our square footage meaningfully in both locations which will increase our contractual obligations, including capital expenditures for leasehold improvements.</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consolidated financial statements included elsewhere in this prospectus for further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consolidated financial statements included elsewhere in this prospectus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2021, 2020 and 2019, the net impact of non-functional currency-related transaction gains and losses recorded in Other income (expense) on our consolidated statements of operations was a $0.2 million loss, a $0.2 million loss, and a $0.9 million loss, respectively. In addition, the reported amounts in our consolidated financial statements may be affected by movements in the rate of exchange between the pound sterling, Euro, and Canadian dollar and our reporting currency, the U.S. dollar, resulting in translation gains and losses. For the years ended December 31, 2021, 2020, and 2019, the net impact of the fluctuation of foreign currencies recorded in Foreign currency translation gain (loss) within our consolidated statements of comprehensive income (loss) was a $1.5 million loss, $3.5 million gain, a $0.8 million gain, respectively. We have not entered into any transactions to hedge our exposure to these foreign currency fluctuations using derivative instruments or other methods but may do so if we deem appropriate in the future.</w:t>
      </w:r>
    </w:p>
    <w:p>
      <w:pPr>
        <w:spacing w:after="0" w:line="1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2021, we held balances of $46.9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w:t>
      </w:r>
    </w:p>
    <w:p>
      <w:pPr>
        <w:spacing w:after="0" w:line="13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w:t>
      </w:r>
    </w:p>
    <w:p>
      <w:pPr>
        <w:spacing w:after="0" w:line="13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 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client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client and the current economic conditions that may affect a client’s ability to pay such amounts owed to the Company and as a result may recognize a specific credit loss reserve. Accounts receivable also includes accrued revenue which represents amounts due from clients and recognized as revenue in accordance with the Company’s revenue recognition polices, but unbilled as of the date of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ASC 740</w:t>
      </w:r>
      <w:r>
        <w:rPr>
          <w:rFonts w:ascii="Arial" w:cs="Arial" w:eastAsia="Arial" w:hAnsi="Arial"/>
          <w:sz w:val="17"/>
          <w:szCs w:val="17"/>
          <w:color w:val="auto"/>
        </w:rPr>
        <w:t>”).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1440" w:right="519" w:bottom="1440" w:gutter="0" w:footer="0" w:header="0"/>
        </w:sectPr>
      </w:pPr>
    </w:p>
    <w:bookmarkStart w:id="129" w:name="page130"/>
    <w:bookmarkEnd w:id="1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NEOs for the fiscal year ended December 31, 2021 are:</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4"/>
                <w:szCs w:val="14"/>
                <w:color w:val="auto"/>
              </w:rPr>
            </w:pP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5"/>
              </w:rPr>
              <w:t>Stock Awards</w:t>
            </w:r>
            <w:r>
              <w:rPr>
                <w:rFonts w:ascii="Arial" w:cs="Arial" w:eastAsia="Arial" w:hAnsi="Arial"/>
                <w:sz w:val="18"/>
                <w:szCs w:val="18"/>
                <w:b w:val="1"/>
                <w:bCs w:val="1"/>
                <w:color w:val="auto"/>
                <w:w w:val="95"/>
                <w:vertAlign w:val="superscript"/>
              </w:rPr>
              <w:t>(3)</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11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1"/>
              <w:spacing w:after="0" w:line="189" w:lineRule="exact"/>
              <w:rPr>
                <w:sz w:val="20"/>
                <w:szCs w:val="20"/>
                <w:color w:val="auto"/>
              </w:rPr>
            </w:pPr>
            <w:r>
              <w:rPr>
                <w:rFonts w:ascii="Arial" w:cs="Arial" w:eastAsia="Arial" w:hAnsi="Arial"/>
                <w:sz w:val="14"/>
                <w:szCs w:val="14"/>
                <w:b w:val="1"/>
                <w:bCs w:val="1"/>
                <w:color w:val="auto"/>
                <w:w w:val="94"/>
              </w:rPr>
              <w:t>Compensation</w:t>
            </w:r>
            <w:r>
              <w:rPr>
                <w:rFonts w:ascii="Arial" w:cs="Arial" w:eastAsia="Arial" w:hAnsi="Arial"/>
                <w:sz w:val="18"/>
                <w:szCs w:val="18"/>
                <w:b w:val="1"/>
                <w:bCs w:val="1"/>
                <w:color w:val="auto"/>
                <w:w w:val="94"/>
                <w:vertAlign w:val="superscript"/>
              </w:rPr>
              <w:t>(4)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55,550,975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71,759,475</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Chief Executive Officer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12,466,103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41,228,122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21,179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54,244,884</w:t>
            </w:r>
          </w:p>
        </w:tc>
        <w:tc>
          <w:tcPr>
            <w:tcW w:w="0" w:type="dxa"/>
            <w:vAlign w:val="bottom"/>
          </w:tcPr>
          <w:p>
            <w:pPr>
              <w:spacing w:after="0"/>
              <w:rPr>
                <w:sz w:val="1"/>
                <w:szCs w:val="1"/>
                <w:color w:val="auto"/>
              </w:rPr>
            </w:pPr>
          </w:p>
        </w:tc>
      </w:tr>
      <w:tr>
        <w:trPr>
          <w:trHeight w:val="222"/>
        </w:trPr>
        <w:tc>
          <w:tcPr>
            <w:tcW w:w="2680" w:type="dxa"/>
            <w:vAlign w:val="bottom"/>
          </w:tcPr>
          <w:p>
            <w:pPr>
              <w:ind w:left="240"/>
              <w:spacing w:after="0" w:line="222"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i w:val="1"/>
                <w:iCs w:val="1"/>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19,747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39,416,139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52,424,639</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Co-President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81" w:lineRule="auto"/>
        <w:tabs>
          <w:tab w:leader="none" w:pos="332"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shown in this column represent the bonuses paid to or earned by each of our NEOs in respect of performance during the applicable calendar year. Our annual incentive bonuses are described in greater detail in the section entitled “—</w:t>
      </w:r>
      <w:r>
        <w:rPr>
          <w:rFonts w:ascii="Arial" w:cs="Arial" w:eastAsia="Arial" w:hAnsi="Arial"/>
          <w:sz w:val="12"/>
          <w:szCs w:val="12"/>
          <w:i w:val="1"/>
          <w:iCs w:val="1"/>
          <w:color w:val="auto"/>
        </w:rPr>
        <w:t>2021 Executive Compensation Elements—Annual Incentive Bonuses</w:t>
      </w:r>
      <w:r>
        <w:rPr>
          <w:rFonts w:ascii="Arial" w:cs="Arial" w:eastAsia="Arial" w:hAnsi="Arial"/>
          <w:sz w:val="12"/>
          <w:szCs w:val="12"/>
          <w:color w:val="auto"/>
        </w:rPr>
        <w:t>” below. For 2021, our annual incentive bonuses were paid partly in cash and partly in RSUs granted under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spacing w:after="0" w:line="2" w:lineRule="exact"/>
        <w:rPr>
          <w:rFonts w:ascii="Arial" w:cs="Arial" w:eastAsia="Arial" w:hAnsi="Arial"/>
          <w:sz w:val="12"/>
          <w:szCs w:val="12"/>
          <w:color w:val="auto"/>
        </w:rPr>
      </w:pPr>
    </w:p>
    <w:p>
      <w:pPr>
        <w:ind w:left="340" w:right="20" w:hanging="332"/>
        <w:spacing w:after="0" w:line="260"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RSUs (the “</w:t>
      </w:r>
      <w:r>
        <w:rPr>
          <w:rFonts w:ascii="Arial" w:cs="Arial" w:eastAsia="Arial" w:hAnsi="Arial"/>
          <w:sz w:val="13"/>
          <w:szCs w:val="13"/>
          <w:u w:val="single" w:color="auto"/>
          <w:color w:val="auto"/>
        </w:rPr>
        <w:t>Management Awards</w:t>
      </w:r>
      <w:r>
        <w:rPr>
          <w:rFonts w:ascii="Arial" w:cs="Arial" w:eastAsia="Arial" w:hAnsi="Arial"/>
          <w:sz w:val="13"/>
          <w:szCs w:val="13"/>
          <w:color w:val="auto"/>
        </w:rPr>
        <w:t>”)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w:t>
      </w:r>
      <w:r>
        <w:rPr>
          <w:rFonts w:ascii="Arial" w:cs="Arial" w:eastAsia="Arial" w:hAnsi="Arial"/>
          <w:sz w:val="13"/>
          <w:szCs w:val="13"/>
          <w:u w:val="single" w:color="auto"/>
          <w:color w:val="auto"/>
        </w:rPr>
        <w:t>OCUs</w:t>
      </w:r>
      <w:r>
        <w:rPr>
          <w:rFonts w:ascii="Arial" w:cs="Arial" w:eastAsia="Arial" w:hAnsi="Arial"/>
          <w:sz w:val="13"/>
          <w:szCs w:val="13"/>
          <w:color w:val="auto"/>
        </w:rPr>
        <w:t>”),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to the consolidated financial statements included in this prospectus. The Management Awards granted to our NEOs are described in greater detail in the section entitled “—</w:t>
      </w:r>
      <w:r>
        <w:rPr>
          <w:rFonts w:ascii="Arial" w:cs="Arial" w:eastAsia="Arial" w:hAnsi="Arial"/>
          <w:sz w:val="13"/>
          <w:szCs w:val="13"/>
          <w:i w:val="1"/>
          <w:iCs w:val="1"/>
          <w:color w:val="auto"/>
        </w:rPr>
        <w:t>2021 Executive Compensation Elements—Management Awards</w:t>
      </w:r>
      <w:r>
        <w:rPr>
          <w:rFonts w:ascii="Arial" w:cs="Arial" w:eastAsia="Arial" w:hAnsi="Arial"/>
          <w:sz w:val="13"/>
          <w:szCs w:val="13"/>
          <w:color w:val="auto"/>
        </w:rPr>
        <w:t>” below. The cancellation of our NEO’s legacy equity-based awards in Professional Partners and the replacement of such awards with a combination of OCUs, VCUs and ACUs is described in greater detail below in the section entitled “—</w:t>
      </w:r>
      <w:r>
        <w:rPr>
          <w:rFonts w:ascii="Arial" w:cs="Arial" w:eastAsia="Arial" w:hAnsi="Arial"/>
          <w:sz w:val="13"/>
          <w:szCs w:val="13"/>
          <w:i w:val="1"/>
          <w:iCs w:val="1"/>
          <w:color w:val="auto"/>
        </w:rPr>
        <w:t>2021 Executive Compensation Elements</w:t>
      </w:r>
      <w:r>
        <w:rPr>
          <w:rFonts w:ascii="Arial" w:cs="Arial" w:eastAsia="Arial" w:hAnsi="Arial"/>
          <w:sz w:val="13"/>
          <w:szCs w:val="13"/>
          <w:color w:val="auto"/>
        </w:rPr>
        <w:t xml:space="preserve"> —</w:t>
      </w:r>
      <w:r>
        <w:rPr>
          <w:rFonts w:ascii="Arial" w:cs="Arial" w:eastAsia="Arial" w:hAnsi="Arial"/>
          <w:sz w:val="13"/>
          <w:szCs w:val="13"/>
          <w:i w:val="1"/>
          <w:iCs w:val="1"/>
          <w:color w:val="auto"/>
        </w:rPr>
        <w:t>Reorganization of Professional Partners</w:t>
      </w:r>
      <w:r>
        <w:rPr>
          <w:rFonts w:ascii="Arial" w:cs="Arial" w:eastAsia="Arial" w:hAnsi="Arial"/>
          <w:sz w:val="13"/>
          <w:szCs w:val="13"/>
          <w:color w:val="auto"/>
        </w:rPr>
        <w:t>” below.</w:t>
      </w:r>
    </w:p>
    <w:p>
      <w:pPr>
        <w:ind w:left="340" w:right="40" w:hanging="332"/>
        <w:spacing w:after="0" w:line="260"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3"/>
          <w:szCs w:val="13"/>
          <w:i w:val="1"/>
          <w:iCs w:val="1"/>
          <w:color w:val="auto"/>
        </w:rPr>
        <w:t>—2021 Executive Compensation Elements—Retirement Arrangements</w:t>
      </w:r>
      <w:r>
        <w:rPr>
          <w:rFonts w:ascii="Arial" w:cs="Arial" w:eastAsia="Arial" w:hAnsi="Arial"/>
          <w:sz w:val="13"/>
          <w:szCs w:val="13"/>
          <w:color w:val="auto"/>
        </w:rPr>
        <w:t>” below.</w:t>
      </w:r>
    </w:p>
    <w:p>
      <w:pPr>
        <w:ind w:left="340" w:right="120" w:hanging="332"/>
        <w:spacing w:after="0" w:line="255"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w:t>
      </w:r>
      <w:r>
        <w:rPr>
          <w:rFonts w:ascii="Arial" w:cs="Arial" w:eastAsia="Arial" w:hAnsi="Arial"/>
          <w:sz w:val="18"/>
          <w:szCs w:val="18"/>
          <w:i w:val="1"/>
          <w:iCs w:val="1"/>
          <w:color w:val="auto"/>
        </w:rPr>
        <w:t>Management Awards</w:t>
      </w:r>
      <w:r>
        <w:rPr>
          <w:rFonts w:ascii="Arial" w:cs="Arial" w:eastAsia="Arial" w:hAnsi="Arial"/>
          <w:sz w:val="18"/>
          <w:szCs w:val="18"/>
          <w:color w:val="auto"/>
        </w:rPr>
        <w:t>” below. Either party is permitted to terminate the employment agreement at any time by providing 90 days’ advance written notice, provided that a NEO’s employment may be terminated immediately in the event of a termination for cause.</w:t>
      </w:r>
    </w:p>
    <w:p>
      <w:pPr>
        <w:spacing w:after="0" w:line="1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employment agreement incorporates by reference the restrictive covenants applicable to the NEO, including the restrictive covenants set forth in the amended and restated limited partnership agreement of Professional Partners, as described in “</w:t>
      </w:r>
      <w:r>
        <w:rPr>
          <w:rFonts w:ascii="Arial" w:cs="Arial" w:eastAsia="Arial" w:hAnsi="Arial"/>
          <w:sz w:val="16"/>
          <w:szCs w:val="16"/>
          <w:i w:val="1"/>
          <w:iCs w:val="1"/>
          <w:color w:val="auto"/>
        </w:rPr>
        <w:t>—Reorganization of Professional Partners</w:t>
      </w:r>
      <w:r>
        <w:rPr>
          <w:rFonts w:ascii="Arial" w:cs="Arial" w:eastAsia="Arial" w:hAnsi="Arial"/>
          <w:sz w:val="16"/>
          <w:szCs w:val="16"/>
          <w:color w:val="auto"/>
        </w:rPr>
        <w:t>”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Closing, a transaction pool of RSUs (the “</w:t>
      </w:r>
      <w:r>
        <w:rPr>
          <w:rFonts w:ascii="Arial" w:cs="Arial" w:eastAsia="Arial" w:hAnsi="Arial"/>
          <w:sz w:val="17"/>
          <w:szCs w:val="17"/>
          <w:u w:val="single" w:color="auto"/>
          <w:color w:val="auto"/>
        </w:rPr>
        <w:t>Transaction Pool</w:t>
      </w:r>
      <w:r>
        <w:rPr>
          <w:rFonts w:ascii="Arial" w:cs="Arial" w:eastAsia="Arial" w:hAnsi="Arial"/>
          <w:sz w:val="17"/>
          <w:szCs w:val="17"/>
          <w:color w:val="auto"/>
        </w:rPr>
        <w:t>”) was created under the Incentive Plan and allocated to working partners, non-partner employees and certain other eligible recipients. The Transaction Pool is comprised of 10.2 million shares of our Class A common stock (the “</w:t>
      </w:r>
      <w:r>
        <w:rPr>
          <w:rFonts w:ascii="Arial" w:cs="Arial" w:eastAsia="Arial" w:hAnsi="Arial"/>
          <w:sz w:val="17"/>
          <w:szCs w:val="17"/>
          <w:u w:val="single" w:color="auto"/>
          <w:color w:val="auto"/>
        </w:rPr>
        <w:t>Transaction Pool Share Reserve</w:t>
      </w:r>
      <w:r>
        <w:rPr>
          <w:rFonts w:ascii="Arial" w:cs="Arial" w:eastAsia="Arial" w:hAnsi="Arial"/>
          <w:sz w:val="17"/>
          <w:szCs w:val="17"/>
          <w:color w:val="auto"/>
        </w:rPr>
        <w:t>”).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Beginning in February 2021, the individuals who currently serve as our “independent directors” and as the members of our Compensation Committee (Jane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 Sherburne, Daniel G. Cohen, Jorma Ollila and Ivan G. Seidenberg), engaged Exequity LLP, an independent third-party compensation consultant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Exequity</w:t>
      </w:r>
      <w:r>
        <w:rPr>
          <w:rFonts w:ascii="Arial" w:cs="Arial" w:eastAsia="Arial" w:hAnsi="Arial"/>
          <w:sz w:val="16"/>
          <w:szCs w:val="16"/>
          <w:color w:val="auto"/>
        </w:rPr>
        <w:t>”), and engaged in more than two months of work and held multiple working group and committee meetings to develop the expected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Awards described in greater detail below. With assistance from Exequity, including alternatives prepared by Exequity based on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and peer group company analyses, Ms. Sherburne and the other members of our Compensation Committee engaged in extensive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various considerations involved in granting the Management Awards, including: demonstrating a commitment to pay for performance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use of at-risk performance-based incentives; the most effective way to structure an award that would align the interests of our NEO’s with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peer group company incentive structures, including peer group company examples of price-vesting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33" w:lineRule="exact"/>
        <w:rPr>
          <w:sz w:val="20"/>
          <w:szCs w:val="20"/>
          <w:color w:val="auto"/>
        </w:rPr>
      </w:pPr>
    </w:p>
    <w:p>
      <w:pPr>
        <w:ind w:left="660" w:right="88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Arial" w:cs="Arial" w:eastAsia="Arial" w:hAnsi="Arial"/>
          <w:sz w:val="17"/>
          <w:szCs w:val="17"/>
          <w:i w:val="1"/>
          <w:iCs w:val="1"/>
          <w:color w:val="auto"/>
        </w:rPr>
        <w:t>—Transaction Pool Awards</w:t>
      </w:r>
      <w:r>
        <w:rPr>
          <w:rFonts w:ascii="Arial" w:cs="Arial" w:eastAsia="Arial" w:hAnsi="Arial"/>
          <w:sz w:val="17"/>
          <w:szCs w:val="17"/>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 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partners of Professional Partners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3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Stock Awards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7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of Shares or Units</w:t>
            </w: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Market Value of Shares or</w:t>
            </w:r>
          </w:p>
        </w:tc>
        <w:tc>
          <w:tcPr>
            <w:tcW w:w="0" w:type="dxa"/>
            <w:vAlign w:val="bottom"/>
          </w:tcPr>
          <w:p>
            <w:pPr>
              <w:spacing w:after="0"/>
              <w:rPr>
                <w:sz w:val="1"/>
                <w:szCs w:val="1"/>
                <w:color w:val="auto"/>
              </w:rPr>
            </w:pPr>
          </w:p>
        </w:tc>
      </w:tr>
      <w:tr>
        <w:trPr>
          <w:trHeight w:val="135"/>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of Stock That Have Not</w:t>
            </w: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Units of Stock That Have</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339"/>
              <w:spacing w:after="0" w:line="189"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8"/>
                <w:szCs w:val="18"/>
                <w:b w:val="1"/>
                <w:bCs w:val="1"/>
                <w:color w:val="auto"/>
                <w:w w:val="83"/>
                <w:vertAlign w:val="superscript"/>
              </w:rPr>
              <w:t>(1)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15"/>
              <w:spacing w:after="0" w:line="189" w:lineRule="exact"/>
              <w:rPr>
                <w:sz w:val="20"/>
                <w:szCs w:val="20"/>
                <w:color w:val="auto"/>
              </w:rPr>
            </w:pPr>
            <w:r>
              <w:rPr>
                <w:rFonts w:ascii="Arial" w:cs="Arial" w:eastAsia="Arial" w:hAnsi="Arial"/>
                <w:sz w:val="14"/>
                <w:szCs w:val="14"/>
                <w:b w:val="1"/>
                <w:bCs w:val="1"/>
                <w:color w:val="auto"/>
                <w:w w:val="87"/>
              </w:rPr>
              <w:t xml:space="preserve">Not Vested </w:t>
            </w:r>
            <w:r>
              <w:rPr>
                <w:rFonts w:ascii="Arial" w:cs="Arial" w:eastAsia="Arial" w:hAnsi="Arial"/>
                <w:sz w:val="18"/>
                <w:szCs w:val="18"/>
                <w:b w:val="1"/>
                <w:bCs w:val="1"/>
                <w:color w:val="auto"/>
                <w:w w:val="87"/>
                <w:vertAlign w:val="superscript"/>
              </w:rPr>
              <w:t>(2)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5,280,324</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67,904,967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Dietrich Becker</w:t>
            </w:r>
          </w:p>
        </w:tc>
        <w:tc>
          <w:tcPr>
            <w:tcW w:w="1280" w:type="dxa"/>
            <w:vAlign w:val="bottom"/>
          </w:tcPr>
          <w:p>
            <w:pPr>
              <w:jc w:val="right"/>
              <w:spacing w:after="0"/>
              <w:rPr>
                <w:sz w:val="20"/>
                <w:szCs w:val="20"/>
                <w:color w:val="auto"/>
              </w:rPr>
            </w:pPr>
            <w:r>
              <w:rPr>
                <w:rFonts w:ascii="Arial" w:cs="Arial" w:eastAsia="Arial" w:hAnsi="Arial"/>
                <w:sz w:val="18"/>
                <w:szCs w:val="18"/>
                <w:color w:val="auto"/>
              </w:rPr>
              <w:t>3,885,916</w:t>
            </w:r>
          </w:p>
        </w:tc>
        <w:tc>
          <w:tcPr>
            <w:tcW w:w="420" w:type="dxa"/>
            <w:vAlign w:val="bottom"/>
          </w:tcPr>
          <w:p>
            <w:pPr>
              <w:jc w:val="right"/>
              <w:ind w:right="158"/>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49,972,880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Bednar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3,749,471</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48,218,197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60" w:lineRule="auto"/>
        <w:tabs>
          <w:tab w:leader="none" w:pos="3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ind w:left="340" w:right="20" w:hanging="332"/>
        <w:spacing w:after="0" w:line="241" w:lineRule="auto"/>
        <w:tabs>
          <w:tab w:leader="none" w:pos="3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w:t>
      </w:r>
      <w:r>
        <w:rPr>
          <w:rFonts w:ascii="Arial" w:cs="Arial" w:eastAsia="Arial" w:hAnsi="Arial"/>
          <w:sz w:val="14"/>
          <w:szCs w:val="14"/>
          <w:i w:val="1"/>
          <w:iCs w:val="1"/>
          <w:color w:val="auto"/>
        </w:rPr>
        <w:t>2021 Executive Compensation Elements —Reorganization of Professional Partners</w:t>
      </w:r>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2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for 2021</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Fees Earned or Paid in</w:t>
            </w: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c>
          <w:tcPr>
            <w:tcW w:w="180" w:type="dxa"/>
            <w:vAlign w:val="bottom"/>
          </w:tcPr>
          <w:p>
            <w:pPr>
              <w:spacing w:after="0"/>
              <w:rPr>
                <w:sz w:val="14"/>
                <w:szCs w:val="14"/>
                <w:color w:val="auto"/>
              </w:rPr>
            </w:pPr>
          </w:p>
        </w:tc>
        <w:tc>
          <w:tcPr>
            <w:tcW w:w="1840" w:type="dxa"/>
            <w:vAlign w:val="bottom"/>
            <w:gridSpan w:val="3"/>
          </w:tcPr>
          <w:p>
            <w:pPr>
              <w:jc w:val="center"/>
              <w:ind w:right="550"/>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center"/>
              <w:ind w:right="460"/>
              <w:spacing w:after="0" w:line="189" w:lineRule="exact"/>
              <w:rPr>
                <w:sz w:val="20"/>
                <w:szCs w:val="20"/>
                <w:color w:val="auto"/>
              </w:rPr>
            </w:pPr>
            <w:r>
              <w:rPr>
                <w:rFonts w:ascii="Arial" w:cs="Arial" w:eastAsia="Arial" w:hAnsi="Arial"/>
                <w:sz w:val="14"/>
                <w:szCs w:val="14"/>
                <w:b w:val="1"/>
                <w:bCs w:val="1"/>
                <w:color w:val="auto"/>
                <w:w w:val="85"/>
              </w:rPr>
              <w:t>Cash</w:t>
            </w:r>
            <w:r>
              <w:rPr>
                <w:rFonts w:ascii="Arial" w:cs="Arial" w:eastAsia="Arial" w:hAnsi="Arial"/>
                <w:sz w:val="18"/>
                <w:szCs w:val="18"/>
                <w:b w:val="1"/>
                <w:bCs w:val="1"/>
                <w:color w:val="auto"/>
                <w:w w:val="85"/>
                <w:vertAlign w:val="superscript"/>
              </w:rPr>
              <w:t>(1)</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center"/>
              <w:ind w:right="550"/>
              <w:spacing w:after="0" w:line="189"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18"/>
                <w:szCs w:val="18"/>
                <w:b w:val="1"/>
                <w:bCs w:val="1"/>
                <w:color w:val="auto"/>
                <w:w w:val="89"/>
                <w:vertAlign w:val="superscript"/>
              </w:rPr>
              <w:t>(3)</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Daniel G. Cohen</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Ivan G. Seidenberg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245,541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Jane C. Sherburne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Jorma Ollila</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255,930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spacing w:after="0" w:line="1" w:lineRule="exact"/>
        <w:rPr>
          <w:rFonts w:ascii="Arial" w:cs="Arial" w:eastAsia="Arial" w:hAnsi="Arial"/>
          <w:sz w:val="14"/>
          <w:szCs w:val="14"/>
          <w:color w:val="auto"/>
        </w:rPr>
      </w:pPr>
    </w:p>
    <w:p>
      <w:pPr>
        <w:jc w:val="both"/>
        <w:ind w:left="340" w:right="100" w:hanging="332"/>
        <w:spacing w:after="0" w:line="241"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FASB ASC Topic 718, of the time-based RSUs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to the consolidated financial statements included in this prospectus. As of December 31, 2021, each of our non-employee directors held 9,070 outstanding RSUs.</w:t>
      </w:r>
    </w:p>
    <w:p>
      <w:pPr>
        <w:spacing w:after="0" w:line="1" w:lineRule="exact"/>
        <w:rPr>
          <w:rFonts w:ascii="Arial" w:cs="Arial" w:eastAsia="Arial" w:hAnsi="Arial"/>
          <w:sz w:val="14"/>
          <w:szCs w:val="14"/>
          <w:color w:val="auto"/>
        </w:rPr>
      </w:pPr>
    </w:p>
    <w:p>
      <w:pPr>
        <w:ind w:left="340" w:right="100" w:hanging="332"/>
        <w:spacing w:after="0" w:line="255"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4420" w:type="dxa"/>
            <w:vAlign w:val="bottom"/>
          </w:tcPr>
          <w:p>
            <w:pPr>
              <w:ind w:left="196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8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Joseph R. Perella</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Chairman Emeritus</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K. Steel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70</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Gary S. Barancik</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Dietrich Becker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59</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Co-President and Director</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Andrew Bednar</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Co-President and 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Vladimir Shendelman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Jorma Ollila</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Ivan G. Seidenberg</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75</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Jane C. Sherburne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G. Cohen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Joseph R. Perella </w:t>
      </w:r>
      <w:r>
        <w:rPr>
          <w:rFonts w:ascii="Arial" w:cs="Arial" w:eastAsia="Arial" w:hAnsi="Arial"/>
          <w:sz w:val="16"/>
          <w:szCs w:val="16"/>
          <w:color w:val="auto"/>
        </w:rPr>
        <w:t>has served as our Chairman Emeritus since the closing of the Business Combination. Mr. Perella is a Founding Partner of PWP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Robert K. Steel </w:t>
      </w:r>
      <w:r>
        <w:rPr>
          <w:rFonts w:ascii="Arial" w:cs="Arial" w:eastAsia="Arial" w:hAnsi="Arial"/>
          <w:sz w:val="17"/>
          <w:szCs w:val="17"/>
          <w:color w:val="auto"/>
        </w:rPr>
        <w:t>has served as our Vice Chairman since the closing of the Business Combination. Mr. Steel is a Partner of PWP and served as PWP’s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66" w:lineRule="auto"/>
        <w:tabs>
          <w:tab w:leader="none" w:pos="185"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Company Financial Limited (formerly known as EuroDekania Management Limited), a FCA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 Weinberg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above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Gary S. Barancik </w:t>
      </w:r>
      <w:r>
        <w:rPr>
          <w:rFonts w:ascii="Arial" w:cs="Arial" w:eastAsia="Arial" w:hAnsi="Arial"/>
          <w:sz w:val="16"/>
          <w:szCs w:val="16"/>
          <w:color w:val="auto"/>
        </w:rPr>
        <w:t>has served as our Chief Financial Officer since the closing of the Business Combination. Mr. Barancik is a Founding Partner of PWP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PWP’s Chief Financial Officer since 2018. Mr. Barancik has approximately 30 years of investment banking experience. Prior to his current role, Mr. Barancik was a partner in PWP’s Advisory business where he was Co-Chair of the Company’s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Master's in Business Administration from the Wharton School at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Shendelman worked as an associate at Davis Polk &amp; Wardwell LLP in their Mergers &amp; Acquisitions, Capital Markets and Investment Management groups.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Shendelman earned a Bachelor of Arts in Economics from Brandeis University and a Juris Doctor from the University of Virginia School of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7"/>
          <w:szCs w:val="17"/>
          <w:i w:val="1"/>
          <w:iCs w:val="1"/>
          <w:color w:val="auto"/>
        </w:rPr>
        <w:t>Business Combination—Related Agreements—Stockholders Agreement</w:t>
      </w:r>
      <w:r>
        <w:rPr>
          <w:rFonts w:ascii="Arial" w:cs="Arial" w:eastAsia="Arial" w:hAnsi="Arial"/>
          <w:sz w:val="17"/>
          <w:szCs w:val="17"/>
          <w:color w:val="auto"/>
        </w:rPr>
        <w:t>.”</w:t>
      </w:r>
    </w:p>
    <w:p>
      <w:pPr>
        <w:spacing w:after="0" w:line="12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14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board of directors has determined that Ivan G. Seidenberg, Jorma Ollila and Jane C. Sherburne qualify as independent directors pursuant to Nasdaq rules and Rule 10A-3.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par value $0.0001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(ii) 300,000,000 shares of Class B-1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 B-2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 Unless our board of directors determines otherwise, we will issue all shares of our capital stock in uncertificated form.</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2022, our issued and outstanding share capital consisted of: (i) 46,939,793 shares of Class A common stock, (ii) 44,345,098.737 shares of Class B-1 common stock, (iii) 1,964,044.000 shares of Class B-2 common stock, (iv) no shares of preferred stock and (v) 7,869,975 Warrants, consisting of 7,666,642 Public Warrants and 203,333 Private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A common stock do not have preemptive or subscription rights.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certain of the Placement Shares and Founder Shares distributed to the Sponsor’s members in the Sponsor Distribution, which, in each case, are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 Share</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 Agreement</w:t>
      </w:r>
      <w:r>
        <w:rPr>
          <w:rFonts w:ascii="Arial" w:cs="Arial" w:eastAsia="Arial" w:hAnsi="Arial"/>
          <w:sz w:val="18"/>
          <w:szCs w:val="18"/>
          <w:color w:val="auto"/>
        </w:rPr>
        <w:t>”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call the Warrants for redemption for cash as described above, our management will have the option to require any holder that wishes to exercise its Warrant to do so on a “cashless basis.” In determining whether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Restated Certificate of Incorporation provides that our board of directors will be divided into three classes that will be, as nearly as may be possible, of equal size. The initial terms of the Class I, 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2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Pursuant to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71" w:lineRule="exact"/>
        <w:rPr>
          <w:rFonts w:ascii="Arial" w:cs="Arial" w:eastAsia="Arial" w:hAnsi="Arial"/>
          <w:sz w:val="18"/>
          <w:szCs w:val="18"/>
          <w:color w:val="auto"/>
        </w:rPr>
      </w:pPr>
    </w:p>
    <w:p>
      <w:pPr>
        <w:jc w:val="both"/>
        <w:ind w:left="660" w:right="280" w:hanging="328"/>
        <w:spacing w:after="0" w:line="26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sale.Sales by our affiliates under Rule 144 are also limited by manner of sale provisions and notice requirements and to the availability of current public information about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of February 28, 2022, we had 46,939,793 shares of Class A common stock outstanding. Of these shares, 23,610,000 shares sold in FTIV’s IPO, 3,502,033 shares sold in the January 2022 Offering and any additional shares of Class A common stock that have been resold pursuant to the registration statement of which this prospectus is a part are freely tradable without restriction or further registration under the Securities Act, except for any shares purchased by one of our affiliates within the meaning of Rule 144. All of the 1,000,000 Founder Shares owned by the Sponsor and all of the 5,456,667 Founder and Placement Shares distributed to the Sponsor’s members in the Sponsor Distribution are restricted securities under Rule 144, in that they were issued in private transactions not involving a public offering. All of the 12,500,000 PIPE Shares we issued to the PIPE Investors pursuant to the Subscription Agreements are also restricted securities for purposes of Rule 144. The registration statement of which this prospectus is a part registers for resale all of the Founder Shares, Placement Shares and PIPE Shares, and we are obligated to maintain the effectiveness of such registration statement in accordance with the terms and conditions of the Amended and Restated Registration Rights Agreement or applicable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320" w:top="1440" w:right="399" w:bottom="1440" w:gutter="0" w:footer="0" w:header="0"/>
        </w:sectPr>
      </w:pPr>
    </w:p>
    <w:bookmarkStart w:id="154" w:name="page155"/>
    <w:bookmarkEnd w:id="154"/>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the date of this prospectus, there are 7,869,975 Warrants outstanding, consisting of 7,666,642 Public Warrants originally sold as part of the units issued in FTIV’s IPO and 203,333 Private Placement Warrants that were sold by FTIV to the Sponsor in a private placement prior to the IPO. Each Warrant is exercisable for one share of our Class A common stock, in accordance with the terms of the warrant agreement governing the Warrants. The Public Warrants are freely tradable. In addition, we have filed the registration statement of which this prospectus is a part under the Securities Act covering the 7,869,975 shares of our Class A common stock that may be issued upon exercise of the Warrants and resales by the Selling Holders of the 203,333 Private Placement Warrants, and we are obligated to maintain the effectiveness of such registration statement until the expiration or redemption of the Warrants.</w:t>
      </w:r>
    </w:p>
    <w:p>
      <w:pPr>
        <w:spacing w:after="0" w:line="1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completion of the Business Combination, our Founder Shares automatically converted from Class B common stock into shares of Class A common stock. Pursuant to the Sponsor Share Surrender and Share Restriction Agreement, as amended, the 5,846,667 Founder Shares and 610,000 Placement Shares held by the Sponsor as of the Closing were subject to transfer restrictions for six months following the Closing Date and 80% of the Founder Shares held by the Sponsor are subject to transfer restrictions based on certain closing share price thresholds of the Company’s Class A common stock for 20 out of any 30 consecutive trading days. As of December 24, 2021, the six-month anniversary of the Closing, all of the Placement Shares and 3,108,001 of the Founder Shares are no longer subject to the transfer and vesting restrictions. 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the $15 Threshold is met. 1,738,680 of the shares distributed in the Sponsor Distribution remain subject to transfer restrictions until either the $15 Threshold or the $17 Threshold, as applicable, is met. See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2022 Offering Lock-Up Agreements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January 2022 Offering, we, our officers and directors, and certain affiliated stockholders have agreed, subject to certain exceptions, not to directly or indirectly offer, sell, contract to sell, pledge, grant any option to purchase, make any short sale or otherwise dispose of or hedge any shares of our Class A common stock or any options to purchase shares of our Class A common stock, or any securities convertible into or exchangeable for shares of Class A common stock during the period from the date of the lock-up agreement continuing through the date 90 days after January 18, 2022, the date of the prospectus for the January 2022 Offering, except with the prior written consent of the underwriter for the January 2022 Offering. The Sponsor is subject to such restrictions, except with respect to the 2,481,572 shares of Class A common stock (671,406 of which are subject to transfer restrictions until either the $15 Threshold or the $17 Threshold, as applicable, is met pursuant to the Sponsor Share Surrender and Share Restriction Agreement discussed above) and 203,330 Private Placement Warrants distributed in connection with the Sponsor Distribution to certain of its members which are not affiliated with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Subject to the exchange procedures and restrictions set forth in the PWP OpCo LPA and described below, and any other procedures or restrictions imposed by us, holders of PWP OpCo Class A partnership units (other than us)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are between three to five years after the Closing), (ii) PWP OpCo Class A partnership units held by ILPs that existed at the time of the Business Combination expired on December 24, 2021, and (iii) any other outstanding PWP OpCo Class A partnership units not previously covered by clauses (i) and (ii) above are subject to such restriction for a period of twelve months following the date on which such PWP OpCo Class A partnership units were acquired. PWP GP may waive the foregoing restrictions for any holder with respect to all or a portion of such holder’s units, with no obligation to do so for any other holder. As of December 24, 2021, the six-month anniversary of the Closing, 10,346,291.665 of the PWP OpCo Class A partnership units were no longer subject to the transfer and exchange restrictions. 3,498,534.263 of these PWP OpCo Class A partnership units were repurchased with the net proceeds of the January 2022 Offering.</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summarizes the transfer or exchange restrictions applicable to certain shares of our Class A common stock and PWP OpCo Class A partnership units and shares of our Class B common stock that are exchangeable into shares of our Class A common stock. Unless expressly indicated otherwise, the information in the table below is based on the numbers of shares of Class A common stock, shares of Class B common stock and PWP OpCo Class A partnership units outstanding and exchange eligibility as of February 28, 2022.</w:t>
      </w:r>
    </w:p>
    <w:p>
      <w:pPr>
        <w:spacing w:after="0" w:line="129" w:lineRule="exact"/>
        <w:rPr>
          <w:sz w:val="20"/>
          <w:szCs w:val="20"/>
          <w:color w:val="auto"/>
        </w:rPr>
      </w:pPr>
    </w:p>
    <w:p>
      <w:pPr>
        <w:ind w:right="500"/>
        <w:spacing w:after="0" w:line="283" w:lineRule="auto"/>
        <w:rPr>
          <w:sz w:val="20"/>
          <w:szCs w:val="20"/>
          <w:color w:val="auto"/>
        </w:rPr>
      </w:pPr>
      <w:r>
        <w:rPr>
          <w:rFonts w:ascii="Arial" w:cs="Arial" w:eastAsia="Arial" w:hAnsi="Arial"/>
          <w:sz w:val="18"/>
          <w:szCs w:val="18"/>
          <w:b w:val="1"/>
          <w:bCs w:val="1"/>
          <w:color w:val="auto"/>
        </w:rPr>
        <w:t xml:space="preserve">Summary of Contractual Transfer or Redemption/Exchange Restrictions on Our Class A Common Stock, Class B Common Stock and PWP OpCo Class A Partnership Units </w:t>
      </w:r>
      <w:r>
        <w:rPr>
          <w:rFonts w:ascii="Arial" w:cs="Arial" w:eastAsia="Arial" w:hAnsi="Arial"/>
          <w:sz w:val="23"/>
          <w:szCs w:val="23"/>
          <w:b w:val="1"/>
          <w:bCs w:val="1"/>
          <w:color w:val="auto"/>
          <w:vertAlign w:val="superscript"/>
        </w:rPr>
        <w:t>(1)</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 A Common Stock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6" w:lineRule="exact"/>
        <w:rPr>
          <w:sz w:val="20"/>
          <w:szCs w:val="20"/>
          <w:color w:val="auto"/>
        </w:rPr>
      </w:pPr>
    </w:p>
    <w:p>
      <w:pPr>
        <w:ind w:left="520" w:right="1740" w:hanging="161"/>
        <w:spacing w:after="0" w:line="235" w:lineRule="auto"/>
        <w:rPr>
          <w:sz w:val="20"/>
          <w:szCs w:val="20"/>
          <w:color w:val="auto"/>
        </w:rPr>
      </w:pPr>
      <w:r>
        <w:rPr>
          <w:rFonts w:ascii="Arial" w:cs="Arial" w:eastAsia="Arial" w:hAnsi="Arial"/>
          <w:sz w:val="18"/>
          <w:szCs w:val="18"/>
          <w:color w:val="auto"/>
        </w:rPr>
        <w:t>Founder and Placement Shares currently held by Sponsor and affiliates of the Sponsor (and therefore subject to 90-day lock-up agreements entered into in connection with the January 2022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Founder and Placement Shares subject to transfer restrictions until applicable $15 Threshold or $17 Threshold is met</w:t>
            </w:r>
          </w:p>
        </w:tc>
        <w:tc>
          <w:tcPr>
            <w:tcW w:w="1560" w:type="dxa"/>
            <w:vAlign w:val="bottom"/>
          </w:tcPr>
          <w:p>
            <w:pPr>
              <w:jc w:val="right"/>
              <w:spacing w:after="0"/>
              <w:rPr>
                <w:sz w:val="20"/>
                <w:szCs w:val="20"/>
                <w:color w:val="auto"/>
              </w:rPr>
            </w:pPr>
            <w:r>
              <w:rPr>
                <w:rFonts w:ascii="Arial" w:cs="Arial" w:eastAsia="Arial" w:hAnsi="Arial"/>
                <w:sz w:val="18"/>
                <w:szCs w:val="18"/>
                <w:color w:val="auto"/>
              </w:rPr>
              <w:t>2,067,274</w:t>
            </w:r>
          </w:p>
        </w:tc>
        <w:tc>
          <w:tcPr>
            <w:tcW w:w="0" w:type="dxa"/>
            <w:vAlign w:val="bottom"/>
          </w:tcPr>
          <w:p>
            <w:pPr>
              <w:spacing w:after="0"/>
              <w:rPr>
                <w:sz w:val="1"/>
                <w:szCs w:val="1"/>
                <w:color w:val="auto"/>
              </w:rPr>
            </w:pPr>
          </w:p>
        </w:tc>
      </w:tr>
      <w:tr>
        <w:trPr>
          <w:trHeight w:val="229"/>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Remaining Founder and Placement Shares held by the Sponsor and their affiliates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1,907,821</w:t>
            </w:r>
          </w:p>
        </w:tc>
        <w:tc>
          <w:tcPr>
            <w:tcW w:w="0" w:type="dxa"/>
            <w:vAlign w:val="bottom"/>
          </w:tcPr>
          <w:p>
            <w:pPr>
              <w:spacing w:after="0"/>
              <w:rPr>
                <w:sz w:val="1"/>
                <w:szCs w:val="1"/>
                <w:color w:val="auto"/>
              </w:rPr>
            </w:pPr>
          </w:p>
        </w:tc>
      </w:tr>
      <w:tr>
        <w:trPr>
          <w:trHeight w:val="223"/>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3,975,095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80" w:type="dxa"/>
            <w:vAlign w:val="bottom"/>
            <w:gridSpan w:val="3"/>
            <w:shd w:val="clear" w:color="auto" w:fill="CCEEFF"/>
          </w:tcPr>
          <w:p>
            <w:pPr>
              <w:ind w:left="360"/>
              <w:spacing w:after="0" w:line="142" w:lineRule="exact"/>
              <w:rPr>
                <w:sz w:val="20"/>
                <w:szCs w:val="20"/>
                <w:color w:val="auto"/>
              </w:rPr>
            </w:pPr>
            <w:r>
              <w:rPr>
                <w:rFonts w:ascii="Arial" w:cs="Arial" w:eastAsia="Arial" w:hAnsi="Arial"/>
                <w:sz w:val="16"/>
                <w:szCs w:val="16"/>
                <w:color w:val="auto"/>
              </w:rPr>
              <w:t>Founder and Placement Shares distributed to non-affiliated Sponsor investors (and therefore not subject to the 90-day lock-up</w:t>
            </w: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agreements entered into in connection with the January 2022 Offering):</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Founder and Placement Shares subject to transfer restrictions until applicable $15 Threshold or $17 Threshold is met</w:t>
            </w:r>
          </w:p>
        </w:tc>
        <w:tc>
          <w:tcPr>
            <w:tcW w:w="1560" w:type="dxa"/>
            <w:vAlign w:val="bottom"/>
          </w:tcPr>
          <w:p>
            <w:pPr>
              <w:jc w:val="right"/>
              <w:spacing w:after="0"/>
              <w:rPr>
                <w:sz w:val="20"/>
                <w:szCs w:val="20"/>
                <w:color w:val="auto"/>
              </w:rPr>
            </w:pPr>
            <w:r>
              <w:rPr>
                <w:rFonts w:ascii="Arial" w:cs="Arial" w:eastAsia="Arial" w:hAnsi="Arial"/>
                <w:sz w:val="18"/>
                <w:szCs w:val="18"/>
                <w:color w:val="auto"/>
              </w:rPr>
              <w:t>671,406</w:t>
            </w:r>
          </w:p>
        </w:tc>
        <w:tc>
          <w:tcPr>
            <w:tcW w:w="0" w:type="dxa"/>
            <w:vAlign w:val="bottom"/>
          </w:tcPr>
          <w:p>
            <w:pPr>
              <w:spacing w:after="0"/>
              <w:rPr>
                <w:sz w:val="1"/>
                <w:szCs w:val="1"/>
                <w:color w:val="auto"/>
              </w:rPr>
            </w:pPr>
          </w:p>
        </w:tc>
      </w:tr>
      <w:tr>
        <w:trPr>
          <w:trHeight w:val="230"/>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Remaining Founder and Placement Shares not subject to transfer restrictions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1,810,166</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2,481,572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Founder and Placement Shares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6,456,667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Other shares of Class A common stock outstanding</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gridSpan w:val="3"/>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40,483,126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46,939,793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b w:val="1"/>
                <w:bCs w:val="1"/>
                <w:color w:val="auto"/>
                <w:w w:val="90"/>
              </w:rPr>
              <w:t>Class A common stock issuable in exchange for PWP OpCo Class A partnership units and Class B-1 and B-2 common stock</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6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680" w:type="dxa"/>
            <w:vAlign w:val="bottom"/>
            <w:gridSpan w:val="3"/>
          </w:tcPr>
          <w:p>
            <w:pPr>
              <w:ind w:left="180"/>
              <w:spacing w:after="0" w:line="189" w:lineRule="exact"/>
              <w:rPr>
                <w:sz w:val="20"/>
                <w:szCs w:val="20"/>
                <w:color w:val="auto"/>
              </w:rPr>
            </w:pPr>
            <w:r>
              <w:rPr>
                <w:rFonts w:ascii="Arial" w:cs="Arial" w:eastAsia="Arial" w:hAnsi="Arial"/>
                <w:sz w:val="18"/>
                <w:szCs w:val="18"/>
                <w:b w:val="1"/>
                <w:bCs w:val="1"/>
                <w:color w:val="auto"/>
              </w:rPr>
              <w:t>only on Quarterly Exchange Dates (“QEDs”)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 A Common Stock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2" w:lineRule="exact"/>
        <w:rPr>
          <w:sz w:val="20"/>
          <w:szCs w:val="20"/>
          <w:color w:val="auto"/>
        </w:rPr>
      </w:pPr>
    </w:p>
    <w:p>
      <w:pPr>
        <w:ind w:left="520" w:right="1760" w:hanging="161"/>
        <w:spacing w:after="0" w:line="251" w:lineRule="auto"/>
        <w:rPr>
          <w:sz w:val="20"/>
          <w:szCs w:val="20"/>
          <w:color w:val="auto"/>
        </w:rPr>
      </w:pPr>
      <w:r>
        <w:rPr>
          <w:rFonts w:ascii="Arial" w:cs="Arial" w:eastAsia="Arial" w:hAnsi="Arial"/>
          <w:sz w:val="17"/>
          <w:szCs w:val="17"/>
          <w:b w:val="1"/>
          <w:bCs w:val="1"/>
          <w:color w:val="auto"/>
        </w:rPr>
        <w:t>Class A common stock issuable in exchange for PWP OpCo Class A partnership units and Class B-2 common stock not subject to 90-day lock-up agreements entered into in connection with the January 2022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968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A common stock issuable in exchange for PWP OpCo Class A partnership units and Class B-2 common stock held by</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1,123,386</w:t>
            </w:r>
          </w:p>
        </w:tc>
        <w:tc>
          <w:tcPr>
            <w:tcW w:w="0" w:type="dxa"/>
            <w:vAlign w:val="bottom"/>
          </w:tcPr>
          <w:p>
            <w:pPr>
              <w:spacing w:after="0"/>
              <w:rPr>
                <w:sz w:val="1"/>
                <w:szCs w:val="1"/>
                <w:color w:val="auto"/>
              </w:rPr>
            </w:pPr>
          </w:p>
        </w:tc>
      </w:tr>
      <w:tr>
        <w:trPr>
          <w:trHeight w:val="229"/>
        </w:trPr>
        <w:tc>
          <w:tcPr>
            <w:tcW w:w="9680" w:type="dxa"/>
            <w:vAlign w:val="bottom"/>
          </w:tcPr>
          <w:p>
            <w:pPr>
              <w:ind w:left="520"/>
              <w:spacing w:after="0" w:line="230" w:lineRule="exact"/>
              <w:rPr>
                <w:sz w:val="20"/>
                <w:szCs w:val="20"/>
                <w:color w:val="auto"/>
              </w:rPr>
            </w:pPr>
            <w:r>
              <w:rPr>
                <w:rFonts w:ascii="Arial" w:cs="Arial" w:eastAsia="Arial" w:hAnsi="Arial"/>
                <w:sz w:val="18"/>
                <w:szCs w:val="18"/>
                <w:color w:val="auto"/>
              </w:rPr>
              <w:t xml:space="preserve">ILPs and exchangeable at or after the Q2 2022 QED </w:t>
            </w:r>
            <w:r>
              <w:rPr>
                <w:rFonts w:ascii="Arial" w:cs="Arial" w:eastAsia="Arial" w:hAnsi="Arial"/>
                <w:sz w:val="23"/>
                <w:szCs w:val="23"/>
                <w:color w:val="auto"/>
                <w:vertAlign w:val="superscript"/>
              </w:rPr>
              <w:t>(2)</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w w:val="91"/>
              </w:rPr>
              <w:t>Class A common stock issuable in exchange for PWP OpCo Class A partnership units and Class B-1 and B-2 common</w:t>
            </w: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b w:val="1"/>
                <w:bCs w:val="1"/>
                <w:color w:val="auto"/>
              </w:rPr>
              <w:t xml:space="preserve">stock subject to 90-day lock-up agreements entered into in connection with the January 2022 Offering </w:t>
            </w:r>
            <w:r>
              <w:rPr>
                <w:rFonts w:ascii="Arial" w:cs="Arial" w:eastAsia="Arial" w:hAnsi="Arial"/>
                <w:sz w:val="23"/>
                <w:szCs w:val="23"/>
                <w:b w:val="1"/>
                <w:bCs w:val="1"/>
                <w:color w:val="auto"/>
                <w:vertAlign w:val="superscript"/>
              </w:rPr>
              <w:t>(3)</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w w:val="97"/>
              </w:rPr>
              <w:t>Class A common stock issuable in exchange for PWP OpCo Class A partnership units and Class B-1 common stock held by</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680" w:type="dxa"/>
            <w:vAlign w:val="bottom"/>
          </w:tcPr>
          <w:p>
            <w:pPr>
              <w:ind w:left="180"/>
              <w:spacing w:after="0"/>
              <w:rPr>
                <w:sz w:val="20"/>
                <w:szCs w:val="20"/>
                <w:color w:val="auto"/>
              </w:rPr>
            </w:pPr>
            <w:r>
              <w:rPr>
                <w:rFonts w:ascii="Arial" w:cs="Arial" w:eastAsia="Arial" w:hAnsi="Arial"/>
                <w:sz w:val="18"/>
                <w:szCs w:val="18"/>
                <w:color w:val="auto"/>
              </w:rPr>
              <w:t>Professional Partners on behalf of Legacy Partners who have elected to exchange at Q2 2022 QED)</w:t>
            </w:r>
          </w:p>
        </w:tc>
        <w:tc>
          <w:tcPr>
            <w:tcW w:w="1560" w:type="dxa"/>
            <w:vAlign w:val="bottom"/>
          </w:tcPr>
          <w:p>
            <w:pPr>
              <w:jc w:val="right"/>
              <w:spacing w:after="0"/>
              <w:rPr>
                <w:sz w:val="20"/>
                <w:szCs w:val="20"/>
                <w:color w:val="auto"/>
              </w:rPr>
            </w:pPr>
            <w:r>
              <w:rPr>
                <w:rFonts w:ascii="Arial" w:cs="Arial" w:eastAsia="Arial" w:hAnsi="Arial"/>
                <w:sz w:val="18"/>
                <w:szCs w:val="18"/>
                <w:color w:val="auto"/>
              </w:rPr>
              <w:t>5,399,655</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2,779,589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in 2022 after the QED following the one-year anniversary of the Business Combination</w:t>
            </w: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2,779,589</w:t>
            </w:r>
          </w:p>
        </w:tc>
        <w:tc>
          <w:tcPr>
            <w:tcW w:w="0" w:type="dxa"/>
            <w:vAlign w:val="bottom"/>
          </w:tcPr>
          <w:p>
            <w:pPr>
              <w:spacing w:after="0"/>
              <w:rPr>
                <w:sz w:val="1"/>
                <w:szCs w:val="1"/>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exchange in 2023</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34,283,052</w:t>
            </w:r>
          </w:p>
        </w:tc>
        <w:tc>
          <w:tcPr>
            <w:tcW w:w="0" w:type="dxa"/>
            <w:vAlign w:val="bottom"/>
          </w:tcPr>
          <w:p>
            <w:pPr>
              <w:spacing w:after="0"/>
              <w:rPr>
                <w:sz w:val="1"/>
                <w:szCs w:val="1"/>
                <w:color w:val="auto"/>
              </w:rPr>
            </w:pPr>
          </w:p>
        </w:tc>
      </w:tr>
      <w:tr>
        <w:trPr>
          <w:trHeight w:val="235"/>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beginning in 2024 and thereafter</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80" w:type="dxa"/>
            <w:vAlign w:val="bottom"/>
          </w:tcPr>
          <w:p>
            <w:pPr>
              <w:ind w:left="360"/>
              <w:spacing w:after="0" w:line="156" w:lineRule="exact"/>
              <w:rPr>
                <w:sz w:val="20"/>
                <w:szCs w:val="20"/>
                <w:color w:val="auto"/>
              </w:rPr>
            </w:pPr>
            <w:r>
              <w:rPr>
                <w:rFonts w:ascii="Arial" w:cs="Arial" w:eastAsia="Arial" w:hAnsi="Arial"/>
                <w:sz w:val="18"/>
                <w:szCs w:val="18"/>
                <w:b w:val="1"/>
                <w:bCs w:val="1"/>
                <w:color w:val="auto"/>
                <w:w w:val="93"/>
              </w:rPr>
              <w:t>TOTAL Class A common stock issuable in exchange for PWP OpCo Class A partnership units and Class B-1 and B-2</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46,365,271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Total shares of Class A common stock outstanding (including shares of Class A common stock issuable upon exchange of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93,305,064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outstanding OpCo Class A partnership units and shares of Class B-1 and B-2 common stock)</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RSUs and Warrants. Fractional PWP OpCo Class A partnership units are rounded to the nearest whole unit.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PWP OpCo Class A partnership units which were eligible for exchange at the Q1 2022 QED (February 28, 2022), but the holder of such units did not elect to exchange.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amended and restated limited partnership agreement of Professional Partners contains restrictions on when limited partners are eligible to redeem/exchange their units as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August 30, 2021, we filed a registration statement on Form S-8 under the Securities Act to register 24,180,000 shares of Class A common stock issued or issuable under our Incentive Plan, which became effective automatically upon filing. On February 25, 2022, we filed a registration statement on Form S-8 under the Securities Act to register an additional 10,364,127 shares of Class A common stock issuable under our Incentive Plan, which became effective automatically upon filing. Since these shares are registered, they can be sold in the public market upon issuance, subject to Rule 144 limitations applicable to affiliates and vesting restrictions. We may file one or more amendments to such registration statements on Form S-8 or one or more registration statements on Form S-8 to register additional shares of Class A common stock that are issuable under our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the Company regarding the beneficial ownership of shares of the Company’s Common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by:</w:t>
      </w:r>
    </w:p>
    <w:p>
      <w:pPr>
        <w:spacing w:after="0" w:line="15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60"/>
          </w:cols>
          <w:pgMar w:left="320" w:top="1440" w:right="419" w:bottom="1440" w:gutter="0" w:footer="0" w:header="0"/>
        </w:sectPr>
      </w:pPr>
    </w:p>
    <w:bookmarkStart w:id="158" w:name="page159"/>
    <w:bookmarkEnd w:id="158"/>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beneficial ownership of the Company’s Common Stock is based on 46,939,793 shares of Class A common stock, 44,354,908.737 shares of Class B-1 common stock and 1,964,044.000 shares of Class B-2 common stock issued and outstanding as of February 28,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tcPr>
          <w:p>
            <w:pPr>
              <w:ind w:left="660"/>
              <w:spacing w:after="0"/>
              <w:rPr>
                <w:sz w:val="20"/>
                <w:szCs w:val="20"/>
                <w:color w:val="auto"/>
              </w:rPr>
            </w:pPr>
            <w:r>
              <w:rPr>
                <w:rFonts w:ascii="Arial" w:cs="Arial" w:eastAsia="Arial" w:hAnsi="Arial"/>
                <w:sz w:val="11"/>
                <w:szCs w:val="11"/>
                <w:b w:val="1"/>
                <w:bCs w:val="1"/>
                <w:color w:val="auto"/>
              </w:rPr>
              <w:t>Shares Beneficially Owned as of February 28, 2022</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4"/>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580"/>
              <w:spacing w:after="0"/>
              <w:rPr>
                <w:sz w:val="20"/>
                <w:szCs w:val="20"/>
                <w:color w:val="auto"/>
              </w:rPr>
            </w:pPr>
            <w:r>
              <w:rPr>
                <w:rFonts w:ascii="Arial" w:cs="Arial" w:eastAsia="Arial" w:hAnsi="Arial"/>
                <w:sz w:val="11"/>
                <w:szCs w:val="11"/>
                <w:b w:val="1"/>
                <w:bCs w:val="1"/>
                <w:color w:val="auto"/>
                <w:w w:val="86"/>
              </w:rPr>
              <w:t>Class A Common Stock</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4"/>
          </w:tcPr>
          <w:p>
            <w:pPr>
              <w:ind w:left="560"/>
              <w:spacing w:after="0"/>
              <w:rPr>
                <w:sz w:val="20"/>
                <w:szCs w:val="20"/>
                <w:color w:val="auto"/>
              </w:rPr>
            </w:pPr>
            <w:r>
              <w:rPr>
                <w:rFonts w:ascii="Arial" w:cs="Arial" w:eastAsia="Arial" w:hAnsi="Arial"/>
                <w:sz w:val="11"/>
                <w:szCs w:val="11"/>
                <w:b w:val="1"/>
                <w:bCs w:val="1"/>
                <w:color w:val="auto"/>
              </w:rPr>
              <w:t>Class B-1 Common Stock</w:t>
            </w:r>
          </w:p>
        </w:tc>
        <w:tc>
          <w:tcPr>
            <w:tcW w:w="2280" w:type="dxa"/>
            <w:vAlign w:val="bottom"/>
            <w:gridSpan w:val="3"/>
          </w:tcPr>
          <w:p>
            <w:pPr>
              <w:jc w:val="right"/>
              <w:ind w:right="489"/>
              <w:spacing w:after="0"/>
              <w:rPr>
                <w:sz w:val="20"/>
                <w:szCs w:val="20"/>
                <w:color w:val="auto"/>
              </w:rPr>
            </w:pPr>
            <w:r>
              <w:rPr>
                <w:rFonts w:ascii="Arial" w:cs="Arial" w:eastAsia="Arial" w:hAnsi="Arial"/>
                <w:sz w:val="11"/>
                <w:szCs w:val="11"/>
                <w:b w:val="1"/>
                <w:bCs w:val="1"/>
                <w:color w:val="auto"/>
              </w:rPr>
              <w:t>Class B-2 Common Stock</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4"/>
                <w:szCs w:val="14"/>
                <w:b w:val="1"/>
                <w:bCs w:val="1"/>
                <w:color w:val="auto"/>
                <w:vertAlign w:val="superscript"/>
              </w:rPr>
              <w:t>(1)</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1"/>
                <w:szCs w:val="11"/>
                <w:b w:val="1"/>
                <w:bCs w:val="1"/>
                <w:color w:val="auto"/>
                <w:w w:val="97"/>
              </w:rPr>
              <w:t>% of Combined Voting</w:t>
            </w:r>
          </w:p>
        </w:tc>
        <w:tc>
          <w:tcPr>
            <w:tcW w:w="0" w:type="dxa"/>
            <w:vAlign w:val="bottom"/>
          </w:tcPr>
          <w:p>
            <w:pPr>
              <w:spacing w:after="0"/>
              <w:rPr>
                <w:sz w:val="1"/>
                <w:szCs w:val="1"/>
                <w:color w:val="auto"/>
              </w:rPr>
            </w:pPr>
          </w:p>
        </w:tc>
      </w:tr>
      <w:tr>
        <w:trPr>
          <w:trHeight w:val="88"/>
        </w:trPr>
        <w:tc>
          <w:tcPr>
            <w:tcW w:w="2860" w:type="dxa"/>
            <w:vAlign w:val="bottom"/>
            <w:gridSpan w:val="2"/>
            <w:vMerge w:val="continue"/>
          </w:tcPr>
          <w:p>
            <w:pPr>
              <w:spacing w:after="0"/>
              <w:rPr>
                <w:sz w:val="7"/>
                <w:szCs w:val="7"/>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58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102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102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60" w:type="dxa"/>
            <w:vAlign w:val="bottom"/>
            <w:gridSpan w:val="2"/>
            <w:vMerge w:val="continue"/>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11"/>
              <w:spacing w:after="0"/>
              <w:rPr>
                <w:sz w:val="20"/>
                <w:szCs w:val="20"/>
                <w:color w:val="auto"/>
              </w:rPr>
            </w:pPr>
            <w:r>
              <w:rPr>
                <w:rFonts w:ascii="Arial" w:cs="Arial" w:eastAsia="Arial" w:hAnsi="Arial"/>
                <w:sz w:val="11"/>
                <w:szCs w:val="11"/>
                <w:b w:val="1"/>
                <w:bCs w:val="1"/>
                <w:color w:val="auto"/>
              </w:rPr>
              <w:t>Power</w:t>
            </w:r>
          </w:p>
        </w:tc>
        <w:tc>
          <w:tcPr>
            <w:tcW w:w="0" w:type="dxa"/>
            <w:vAlign w:val="bottom"/>
          </w:tcPr>
          <w:p>
            <w:pPr>
              <w:spacing w:after="0"/>
              <w:rPr>
                <w:sz w:val="1"/>
                <w:szCs w:val="1"/>
                <w:color w:val="auto"/>
              </w:rPr>
            </w:pPr>
          </w:p>
        </w:tc>
      </w:tr>
      <w:tr>
        <w:trPr>
          <w:trHeight w:val="181"/>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Greater than 5% Beneficial Owners</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5,670,939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Westwood Management Corp.</w:t>
            </w:r>
            <w:r>
              <w:rPr>
                <w:rFonts w:ascii="Arial" w:cs="Arial" w:eastAsia="Arial" w:hAnsi="Arial"/>
                <w:sz w:val="18"/>
                <w:szCs w:val="18"/>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4"/>
                <w:szCs w:val="14"/>
                <w:color w:val="auto"/>
              </w:rPr>
              <w:t>3,888,240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8.28 %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3,750,439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Samlyn Capital, LLC</w:t>
            </w:r>
            <w:r>
              <w:rPr>
                <w:rFonts w:ascii="Arial" w:cs="Arial" w:eastAsia="Arial" w:hAnsi="Arial"/>
                <w:sz w:val="18"/>
                <w:szCs w:val="18"/>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4"/>
                <w:szCs w:val="14"/>
                <w:color w:val="auto"/>
              </w:rPr>
              <w:t>2,993,365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6.38 %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Schroder Investment Management North</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2,983,912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6.36 %</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America Inc </w:t>
            </w:r>
            <w:r>
              <w:rPr>
                <w:rFonts w:ascii="Arial" w:cs="Arial" w:eastAsia="Arial" w:hAnsi="Arial"/>
                <w:sz w:val="18"/>
                <w:szCs w:val="18"/>
                <w:color w:val="auto"/>
                <w:vertAlign w:val="superscript"/>
              </w:rPr>
              <w:t>(6)</w:t>
            </w: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Basswood Capital Management L.L.C.</w:t>
            </w:r>
            <w:r>
              <w:rPr>
                <w:rFonts w:ascii="Arial" w:cs="Arial" w:eastAsia="Arial" w:hAnsi="Arial"/>
                <w:sz w:val="18"/>
                <w:szCs w:val="18"/>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4"/>
                <w:szCs w:val="14"/>
                <w:color w:val="auto"/>
              </w:rPr>
              <w:t>2,857,118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Adage Capital Partners GP, L.L.C.</w:t>
            </w:r>
            <w:r>
              <w:rPr>
                <w:rFonts w:ascii="Arial" w:cs="Arial" w:eastAsia="Arial" w:hAnsi="Arial"/>
                <w:sz w:val="18"/>
                <w:szCs w:val="18"/>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2,538,768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Bay Bond Partners, L.P.</w:t>
            </w:r>
            <w:r>
              <w:rPr>
                <w:rFonts w:ascii="Arial" w:cs="Arial" w:eastAsia="Arial" w:hAnsi="Arial"/>
                <w:sz w:val="18"/>
                <w:szCs w:val="18"/>
                <w:color w:val="auto"/>
                <w:vertAlign w:val="superscript"/>
              </w:rPr>
              <w:t>(8)</w:t>
            </w:r>
          </w:p>
        </w:tc>
        <w:tc>
          <w:tcPr>
            <w:tcW w:w="1140" w:type="dxa"/>
            <w:vAlign w:val="bottom"/>
          </w:tcPr>
          <w:p>
            <w:pPr>
              <w:jc w:val="right"/>
              <w:spacing w:after="0"/>
              <w:rPr>
                <w:sz w:val="20"/>
                <w:szCs w:val="20"/>
                <w:color w:val="auto"/>
              </w:rPr>
            </w:pPr>
            <w:r>
              <w:rPr>
                <w:rFonts w:ascii="Arial" w:cs="Arial" w:eastAsia="Arial" w:hAnsi="Arial"/>
                <w:sz w:val="14"/>
                <w:szCs w:val="14"/>
                <w:color w:val="auto"/>
              </w:rPr>
              <w:t>2,419,407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5.15 %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PWP Professional Partners LP</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90.07 %</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TWCL US Inc.</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(11)</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1,122,264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57.14 %</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 Hook Capital LLC</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Directors and Executive Officers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 A. Weinberg</w:t>
            </w:r>
          </w:p>
        </w:tc>
        <w:tc>
          <w:tcPr>
            <w:tcW w:w="1680" w:type="dxa"/>
            <w:vAlign w:val="bottom"/>
            <w:gridSpan w:val="3"/>
            <w:shd w:val="clear" w:color="auto" w:fill="CCEEFF"/>
          </w:tcPr>
          <w:p>
            <w:pPr>
              <w:jc w:val="right"/>
              <w:ind w:right="56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44,354,909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90.24 %</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Joseph R. Perella</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(14)</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K. Steel</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Gary S. Barancik</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(16)</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Dietrich Becker</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Andrew Bednar.</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(18)</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Vladimir Shendelman</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Jorma Ollila</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Ivan G. Seidenberg</w:t>
            </w:r>
          </w:p>
        </w:tc>
        <w:tc>
          <w:tcPr>
            <w:tcW w:w="16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Jane C. Sherburne</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Daniel G. Cohen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349,030</w:t>
            </w:r>
            <w:r>
              <w:rPr>
                <w:rFonts w:ascii="Arial" w:cs="Arial" w:eastAsia="Arial" w:hAnsi="Arial"/>
                <w:sz w:val="18"/>
                <w:szCs w:val="18"/>
                <w:color w:val="auto"/>
                <w:vertAlign w:val="superscript"/>
              </w:rPr>
              <w:t>(20)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All company's directors and executive officers</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349,030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90.31 %</w:t>
            </w: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Arial" w:cs="Arial" w:eastAsia="Arial" w:hAnsi="Arial"/>
                <w:sz w:val="14"/>
                <w:szCs w:val="14"/>
                <w:color w:val="auto"/>
              </w:rPr>
              <w:t>as a group (11 persons)</w:t>
            </w: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3" w:lineRule="exact"/>
        <w:rPr>
          <w:rFonts w:ascii="Arial" w:cs="Arial" w:eastAsia="Arial" w:hAnsi="Arial"/>
          <w:sz w:val="14"/>
          <w:szCs w:val="14"/>
          <w:color w:val="auto"/>
        </w:rPr>
      </w:pPr>
    </w:p>
    <w:p>
      <w:pPr>
        <w:ind w:left="340" w:right="140" w:hanging="332"/>
        <w:spacing w:after="0" w:line="25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9" w:lineRule="exact"/>
        <w:rPr>
          <w:sz w:val="20"/>
          <w:szCs w:val="20"/>
          <w:color w:val="auto"/>
        </w:rPr>
      </w:pPr>
    </w:p>
    <w:p>
      <w:pPr>
        <w:ind w:left="332" w:right="20" w:hanging="332"/>
        <w:spacing w:after="0" w:line="261" w:lineRule="auto"/>
        <w:tabs>
          <w:tab w:leader="none" w:pos="324"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5" w:lineRule="exact"/>
        <w:rPr>
          <w:rFonts w:ascii="Arial" w:cs="Arial" w:eastAsia="Arial" w:hAnsi="Arial"/>
          <w:sz w:val="13"/>
          <w:szCs w:val="13"/>
          <w:color w:val="auto"/>
        </w:rPr>
      </w:pPr>
    </w:p>
    <w:p>
      <w:pPr>
        <w:ind w:left="332" w:right="4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spacing w:after="0" w:line="2" w:lineRule="exact"/>
        <w:rPr>
          <w:rFonts w:ascii="Arial" w:cs="Arial" w:eastAsia="Arial" w:hAnsi="Arial"/>
          <w:sz w:val="14"/>
          <w:szCs w:val="14"/>
          <w:color w:val="auto"/>
        </w:rPr>
      </w:pPr>
    </w:p>
    <w:p>
      <w:pPr>
        <w:ind w:left="332" w:right="60" w:hanging="332"/>
        <w:spacing w:after="0" w:line="260" w:lineRule="auto"/>
        <w:tabs>
          <w:tab w:leader="none" w:pos="324"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a Schedule 13G filed by Schroder Investment Management North America Inc. with the SEC on February 9, 2022. Schroder Investment Management North America Inc. has sole voting power and sole dispositive power over all of the shares of Class A common stock. Schroder Investment Management North America Inc. is a registered investment adviser with its respective home country regulator. Schroder Investment Management North America Inc. is located in the United States at 7 Bryant Park, 19th Floor, New York, NY 10018.</w:t>
      </w:r>
    </w:p>
    <w:p>
      <w:pPr>
        <w:ind w:left="332" w:right="8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spacing w:after="0" w:line="1" w:lineRule="exact"/>
        <w:rPr>
          <w:rFonts w:ascii="Arial" w:cs="Arial" w:eastAsia="Arial" w:hAnsi="Arial"/>
          <w:sz w:val="14"/>
          <w:szCs w:val="14"/>
          <w:color w:val="auto"/>
        </w:rPr>
      </w:pPr>
    </w:p>
    <w:p>
      <w:pPr>
        <w:ind w:left="332" w:right="8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ind w:left="332" w:right="20" w:hanging="332"/>
        <w:spacing w:after="0" w:line="260" w:lineRule="auto"/>
        <w:tabs>
          <w:tab w:leader="none" w:pos="329" w:val="left"/>
        </w:tabs>
        <w:numPr>
          <w:ilvl w:val="0"/>
          <w:numId w:val="69"/>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ind w:left="332" w:right="440" w:hanging="332"/>
        <w:spacing w:after="0" w:line="241" w:lineRule="auto"/>
        <w:tabs>
          <w:tab w:leader="none" w:pos="323"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ind w:left="332" w:right="40" w:hanging="332"/>
        <w:spacing w:after="0" w:line="241" w:lineRule="auto"/>
        <w:tabs>
          <w:tab w:leader="none" w:pos="32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ind w:left="332" w:hanging="332"/>
        <w:spacing w:after="0" w:line="244" w:lineRule="auto"/>
        <w:tabs>
          <w:tab w:leader="none" w:pos="329"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32"/>
          </w:cols>
          <w:pgMar w:left="328" w:top="1440" w:right="339" w:bottom="1440" w:gutter="0" w:footer="0" w:header="0"/>
        </w:sectPr>
      </w:pPr>
    </w:p>
    <w:bookmarkStart w:id="160" w:name="page161"/>
    <w:bookmarkEnd w:id="160"/>
    <w:p>
      <w:pPr>
        <w:spacing w:after="0" w:line="139" w:lineRule="exact"/>
        <w:rPr>
          <w:sz w:val="20"/>
          <w:szCs w:val="20"/>
          <w:color w:val="auto"/>
        </w:rPr>
      </w:pPr>
    </w:p>
    <w:p>
      <w:pPr>
        <w:ind w:left="332" w:right="100"/>
        <w:spacing w:after="0" w:line="244" w:lineRule="auto"/>
        <w:rPr>
          <w:sz w:val="20"/>
          <w:szCs w:val="20"/>
          <w:color w:val="auto"/>
        </w:rPr>
      </w:pPr>
      <w:r>
        <w:rPr>
          <w:rFonts w:ascii="Arial" w:cs="Arial" w:eastAsia="Arial" w:hAnsi="Arial"/>
          <w:sz w:val="14"/>
          <w:szCs w:val="14"/>
          <w:color w:val="auto"/>
        </w:rPr>
        <w:t>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ind w:left="332" w:right="2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0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6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40" w:hanging="332"/>
        <w:spacing w:after="0" w:line="264"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32"/>
          </w:cols>
          <w:pgMar w:left="328" w:top="1440" w:right="339" w:bottom="1440" w:gutter="0" w:footer="0" w:header="0"/>
        </w:sectPr>
      </w:pPr>
    </w:p>
    <w:bookmarkStart w:id="161" w:name="page162"/>
    <w:bookmarkEnd w:id="161"/>
    <w:p>
      <w:pPr>
        <w:spacing w:after="0" w:line="139" w:lineRule="exact"/>
        <w:rPr>
          <w:sz w:val="20"/>
          <w:szCs w:val="20"/>
          <w:color w:val="auto"/>
        </w:rPr>
      </w:pPr>
    </w:p>
    <w:p>
      <w:pPr>
        <w:ind w:left="332" w:hanging="332"/>
        <w:spacing w:after="0" w:line="262" w:lineRule="auto"/>
        <w:tabs>
          <w:tab w:leader="none" w:pos="329"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ind w:left="332" w:right="60" w:hanging="332"/>
        <w:spacing w:after="0" w:line="248" w:lineRule="auto"/>
        <w:tabs>
          <w:tab w:leader="none" w:pos="329"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32"/>
          </w:cols>
          <w:pgMar w:left="328" w:top="1440" w:right="439" w:bottom="1440" w:gutter="0" w:footer="0" w:header="0"/>
        </w:sectPr>
      </w:pPr>
    </w:p>
    <w:bookmarkStart w:id="162" w:name="page163"/>
    <w:bookmarkEnd w:id="16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7"/>
          <w:szCs w:val="17"/>
          <w:i w:val="1"/>
          <w:iCs w:val="1"/>
          <w:color w:val="auto"/>
        </w:rPr>
        <w:t>Business Combination—Related Agreements—Sponsor</w:t>
      </w:r>
      <w:r>
        <w:rPr>
          <w:rFonts w:ascii="Arial" w:cs="Arial" w:eastAsia="Arial" w:hAnsi="Arial"/>
          <w:sz w:val="17"/>
          <w:szCs w:val="17"/>
          <w:color w:val="auto"/>
        </w:rPr>
        <w:t xml:space="preserve"> </w:t>
      </w:r>
      <w:r>
        <w:rPr>
          <w:rFonts w:ascii="Arial" w:cs="Arial" w:eastAsia="Arial" w:hAnsi="Arial"/>
          <w:sz w:val="17"/>
          <w:szCs w:val="17"/>
          <w:i w:val="1"/>
          <w:iCs w:val="1"/>
          <w:color w:val="auto"/>
        </w:rPr>
        <w:t>Share Surrender and Share Restriction Agreement</w:t>
      </w:r>
      <w:r>
        <w:rPr>
          <w:rFonts w:ascii="Arial" w:cs="Arial" w:eastAsia="Arial" w:hAnsi="Arial"/>
          <w:sz w:val="17"/>
          <w:szCs w:val="17"/>
          <w:color w:val="auto"/>
        </w:rPr>
        <w:t>” for a description of these transfer restrictions.</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to purchase one share of Class A common stock exercisable at $11.50.</w:t>
      </w:r>
    </w:p>
    <w:p>
      <w:pPr>
        <w:spacing w:after="0" w:line="13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IPO, except that if held by the Sponsor or their permitted transferees, (i) they will not be redeemable by the Company,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 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the Stockholders Agreement. See the section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7"/>
          <w:szCs w:val="17"/>
          <w:u w:val="single" w:color="auto"/>
          <w:color w:val="auto"/>
        </w:rPr>
        <w:t>PWP Entities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PWP Entity</w:t>
      </w:r>
      <w:r>
        <w:rPr>
          <w:rFonts w:ascii="Arial" w:cs="Arial" w:eastAsia="Arial" w:hAnsi="Arial"/>
          <w:sz w:val="17"/>
          <w:szCs w:val="17"/>
          <w:color w:val="auto"/>
        </w:rPr>
        <w:t>”), and (iii) the equity holders of the PWP Entities (together with Sponsor and the PWP Entities, “</w:t>
      </w:r>
      <w:r>
        <w:rPr>
          <w:rFonts w:ascii="Arial" w:cs="Arial" w:eastAsia="Arial" w:hAnsi="Arial"/>
          <w:sz w:val="17"/>
          <w:szCs w:val="17"/>
          <w:u w:val="single" w:color="auto"/>
          <w:color w:val="auto"/>
        </w:rPr>
        <w:t>Voting Parties</w:t>
      </w:r>
      <w:r>
        <w:rPr>
          <w:rFonts w:ascii="Arial" w:cs="Arial" w:eastAsia="Arial" w:hAnsi="Arial"/>
          <w:sz w:val="17"/>
          <w:szCs w:val="17"/>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Closing, we entered into the Amended and Restated Registration Rights Agreement, with the Sponsor, Professional Partners, and the third party ILPs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 For information, see “</w:t>
      </w:r>
      <w:r>
        <w:rPr>
          <w:rFonts w:ascii="Arial" w:cs="Arial" w:eastAsia="Arial" w:hAnsi="Arial"/>
          <w:sz w:val="16"/>
          <w:szCs w:val="16"/>
          <w:i w:val="1"/>
          <w:iCs w:val="1"/>
          <w:color w:val="auto"/>
        </w:rPr>
        <w:t>Business Combination—Related Agreements—Amended and Restated Registration Rights Agreement</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Annual</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Related party</w:t>
            </w:r>
          </w:p>
        </w:tc>
        <w:tc>
          <w:tcPr>
            <w:tcW w:w="20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Issue date</w:t>
            </w:r>
          </w:p>
        </w:tc>
        <w:tc>
          <w:tcPr>
            <w:tcW w:w="2020" w:type="dxa"/>
            <w:vAlign w:val="bottom"/>
            <w:gridSpan w:val="2"/>
            <w:vMerge w:val="continue"/>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interest</w:t>
            </w:r>
          </w:p>
        </w:tc>
        <w:tc>
          <w:tcPr>
            <w:tcW w:w="19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28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rate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Gary Barancik</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26, 2016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304"/>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Vladimir Shendelman</w:t>
            </w:r>
            <w:r>
              <w:rPr>
                <w:rFonts w:ascii="Arial" w:cs="Arial" w:eastAsia="Arial" w:hAnsi="Arial"/>
                <w:sz w:val="23"/>
                <w:szCs w:val="23"/>
                <w:color w:val="auto"/>
                <w:vertAlign w:val="superscript"/>
              </w:rPr>
              <w:t>(2)</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2016</w:t>
            </w: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June 1,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20" w:hanging="332"/>
        <w:spacing w:after="0" w:line="241"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 For additional information on the Convertible Notes, see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w:t>
      </w:r>
      <w:r>
        <w:rPr>
          <w:rFonts w:ascii="Arial" w:cs="Arial" w:eastAsia="Arial" w:hAnsi="Arial"/>
          <w:sz w:val="17"/>
          <w:szCs w:val="17"/>
          <w:u w:val="single" w:color="auto"/>
          <w:color w:val="auto"/>
        </w:rPr>
        <w:t>PWP IPO</w:t>
      </w:r>
      <w:r>
        <w:rPr>
          <w:rFonts w:ascii="Arial" w:cs="Arial" w:eastAsia="Arial" w:hAnsi="Arial"/>
          <w:sz w:val="17"/>
          <w:szCs w:val="17"/>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7"/>
          <w:szCs w:val="17"/>
          <w:u w:val="single" w:color="auto"/>
          <w:color w:val="auto"/>
        </w:rPr>
        <w:t>2019 Letter Agreements</w:t>
      </w:r>
      <w:r>
        <w:rPr>
          <w:rFonts w:ascii="Arial" w:cs="Arial" w:eastAsia="Arial" w:hAnsi="Arial"/>
          <w:sz w:val="17"/>
          <w:szCs w:val="17"/>
          <w:color w:val="auto"/>
        </w:rPr>
        <w:t>”)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2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6"/>
          <w:szCs w:val="16"/>
          <w:u w:val="single" w:color="auto"/>
          <w:color w:val="auto"/>
        </w:rPr>
        <w:t>2020 Letter Agreements</w:t>
      </w:r>
      <w:r>
        <w:rPr>
          <w:rFonts w:ascii="Arial" w:cs="Arial" w:eastAsia="Arial" w:hAnsi="Arial"/>
          <w:sz w:val="16"/>
          <w:szCs w:val="16"/>
          <w:color w:val="auto"/>
        </w:rPr>
        <w:t>”) with all of the holders of the Convertible Notes (which amended and restated their existing 2019 Letter Agreements), pursuant to which all of the holders (the “</w:t>
      </w:r>
      <w:r>
        <w:rPr>
          <w:rFonts w:ascii="Arial" w:cs="Arial" w:eastAsia="Arial" w:hAnsi="Arial"/>
          <w:sz w:val="16"/>
          <w:szCs w:val="16"/>
          <w:u w:val="single" w:color="auto"/>
          <w:color w:val="auto"/>
        </w:rPr>
        <w:t>Redeeming Holders</w:t>
      </w:r>
      <w:r>
        <w:rPr>
          <w:rFonts w:ascii="Arial" w:cs="Arial" w:eastAsia="Arial" w:hAnsi="Arial"/>
          <w:sz w:val="16"/>
          <w:szCs w:val="16"/>
          <w:color w:val="auto"/>
        </w:rPr>
        <w:t>”) agreed to collectively tender for redemption $150 million aggregate principal amount of their Convertible Notes (such Convertible Notes, the “</w:t>
      </w:r>
      <w:r>
        <w:rPr>
          <w:rFonts w:ascii="Arial" w:cs="Arial" w:eastAsia="Arial" w:hAnsi="Arial"/>
          <w:sz w:val="16"/>
          <w:szCs w:val="16"/>
          <w:u w:val="single" w:color="auto"/>
          <w:color w:val="auto"/>
        </w:rPr>
        <w:t>Redeemed</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amount, an applicable premium for Redeeming Holders owning at least $5.0 million of principal, and accrued and unpaid interest.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PWP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PWP is party to a transition services agreement with PWP Capital (the “</w:t>
      </w:r>
      <w:r>
        <w:rPr>
          <w:rFonts w:ascii="Arial" w:cs="Arial" w:eastAsia="Arial" w:hAnsi="Arial"/>
          <w:sz w:val="16"/>
          <w:szCs w:val="16"/>
          <w:u w:val="single" w:color="auto"/>
          <w:color w:val="auto"/>
        </w:rPr>
        <w:t>TSA</w:t>
      </w:r>
      <w:r>
        <w:rPr>
          <w:rFonts w:ascii="Arial" w:cs="Arial" w:eastAsia="Arial" w:hAnsi="Arial"/>
          <w:sz w:val="16"/>
          <w:szCs w:val="16"/>
          <w:color w:val="auto"/>
        </w:rPr>
        <w:t>”).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of Division and Master Separation Agreement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 License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closing of the Business Combination, we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 See “</w:t>
      </w:r>
      <w:r>
        <w:rPr>
          <w:rFonts w:ascii="Arial" w:cs="Arial" w:eastAsia="Arial" w:hAnsi="Arial"/>
          <w:sz w:val="17"/>
          <w:szCs w:val="17"/>
          <w:i w:val="1"/>
          <w:iCs w:val="1"/>
          <w:color w:val="auto"/>
        </w:rPr>
        <w:t>Business Combination—Related Agreements—Tax Receivable Agreement</w:t>
      </w:r>
      <w:r>
        <w:rPr>
          <w:rFonts w:ascii="Arial" w:cs="Arial" w:eastAsia="Arial" w:hAnsi="Arial"/>
          <w:sz w:val="17"/>
          <w:szCs w:val="17"/>
          <w:color w:val="auto"/>
        </w:rPr>
        <w:t>” for a description of the Tax Receivable Agreement generally and for a discussion of circumstances in which we will be deemed to realize net cash tax savings.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for additional details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HOLDERS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relates to the possible offer and resale by the Selling Holders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the IPO, the Sponsor acquired Founder Shares, 7,870,000 of which were held by the Sponsor prior to the Business Combination. Simultaneously with the consummation of the IPO, the Sponsor purchased 610,000 placement units, which consisted of 610,000 Placement Shares and 203,333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In August 2021, we repurchased 1,000,000 Founder Shares from the Sponsor pursuant to the Sponsor Share Surrender and Share Restriction Agreement. In January 2021, the Sponsor completed the Sponsor Distribution, pursuant to which it distributed 5,456,667 Founder Shares and Placement Shares and 203,333 Private Placement Warrants to its members.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Selling Holders may from time to time offer and sell any or all of the shares of Class A common stock and Warrants set forth below pursuant to this prospectus.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46,939,793 shares of Class A common stock and 7,869,975 Warrants outstanding, in each case, as of February 28, 2022.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advise you as to whether the Selling Holders will in fact sell any or all of such Class A common stock or Warrants. In addition, the Selling 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indicated below, the address of each beneficial owner listed in the tables below is c/o Perella Weinberg Partners, 767 5th Ave, New York, NY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Class A common stock</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40" w:type="dxa"/>
            <w:vAlign w:val="bottom"/>
            <w:vMerge w:val="restart"/>
          </w:tcPr>
          <w:p>
            <w:pPr>
              <w:jc w:val="center"/>
              <w:ind w:left="568"/>
              <w:spacing w:after="0"/>
              <w:rPr>
                <w:sz w:val="20"/>
                <w:szCs w:val="20"/>
                <w:color w:val="auto"/>
              </w:rPr>
            </w:pPr>
            <w:r>
              <w:rPr>
                <w:rFonts w:ascii="Arial" w:cs="Arial" w:eastAsia="Arial" w:hAnsi="Arial"/>
                <w:sz w:val="14"/>
                <w:szCs w:val="14"/>
                <w:b w:val="1"/>
                <w:bCs w:val="1"/>
                <w:color w:val="auto"/>
                <w:w w:val="92"/>
              </w:rPr>
              <w:t>Beneficial Ownership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jc w:val="center"/>
              <w:ind w:left="588"/>
              <w:spacing w:after="0"/>
              <w:rPr>
                <w:sz w:val="20"/>
                <w:szCs w:val="20"/>
                <w:color w:val="auto"/>
              </w:rPr>
            </w:pPr>
            <w:r>
              <w:rPr>
                <w:rFonts w:ascii="Arial" w:cs="Arial" w:eastAsia="Arial" w:hAnsi="Arial"/>
                <w:sz w:val="14"/>
                <w:szCs w:val="14"/>
                <w:b w:val="1"/>
                <w:bCs w:val="1"/>
                <w:color w:val="auto"/>
                <w:w w:val="89"/>
              </w:rPr>
              <w:t>Shares to be Sold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528"/>
              <w:spacing w:after="0"/>
              <w:rPr>
                <w:sz w:val="20"/>
                <w:szCs w:val="20"/>
                <w:color w:val="auto"/>
              </w:rPr>
            </w:pPr>
            <w:r>
              <w:rPr>
                <w:rFonts w:ascii="Arial" w:cs="Arial" w:eastAsia="Arial" w:hAnsi="Arial"/>
                <w:sz w:val="14"/>
                <w:szCs w:val="14"/>
                <w:b w:val="1"/>
                <w:bCs w:val="1"/>
                <w:color w:val="auto"/>
                <w:w w:val="90"/>
              </w:rPr>
              <w:t>Beneficial</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5"/>
              </w:rPr>
              <w:t>Ownership After</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204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94"/>
              </w:rPr>
              <w:t>Before the Offering</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95"/>
              </w:rPr>
              <w:t>the Offering</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5"/>
              </w:rPr>
              <w:t>the Offering</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2040" w:type="dxa"/>
            <w:vAlign w:val="bottom"/>
          </w:tcPr>
          <w:p>
            <w:pPr>
              <w:jc w:val="center"/>
              <w:ind w:right="308"/>
              <w:spacing w:after="0" w:line="130"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restart"/>
          </w:tcPr>
          <w:p>
            <w:pPr>
              <w:jc w:val="right"/>
              <w:ind w:right="273"/>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2020" w:type="dxa"/>
            <w:vAlign w:val="bottom"/>
          </w:tcPr>
          <w:p>
            <w:pPr>
              <w:jc w:val="center"/>
              <w:ind w:right="288"/>
              <w:spacing w:after="0" w:line="130"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vMerge w:val="restart"/>
          </w:tcPr>
          <w:p>
            <w:pPr>
              <w:jc w:val="right"/>
              <w:ind w:right="293"/>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80" w:type="dxa"/>
            <w:vAlign w:val="bottom"/>
          </w:tcPr>
          <w:p>
            <w:pPr>
              <w:jc w:val="center"/>
              <w:ind w:right="348"/>
              <w:spacing w:after="0" w:line="130"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restart"/>
          </w:tcPr>
          <w:p>
            <w:pPr>
              <w:jc w:val="right"/>
              <w:ind w:right="293"/>
              <w:spacing w:after="0" w:line="318" w:lineRule="exact"/>
              <w:rPr>
                <w:sz w:val="20"/>
                <w:szCs w:val="20"/>
                <w:color w:val="auto"/>
              </w:rPr>
            </w:pPr>
            <w:r>
              <w:rPr>
                <w:rFonts w:ascii="Arial" w:cs="Arial" w:eastAsia="Arial" w:hAnsi="Arial"/>
                <w:sz w:val="28"/>
                <w:szCs w:val="28"/>
                <w:b w:val="1"/>
                <w:bCs w:val="1"/>
                <w:color w:val="auto"/>
                <w:w w:val="94"/>
                <w:vertAlign w:val="subscript"/>
              </w:rPr>
              <w:t>%</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9"/>
        </w:trPr>
        <w:tc>
          <w:tcPr>
            <w:tcW w:w="3380" w:type="dxa"/>
            <w:vAlign w:val="bottom"/>
            <w:vMerge w:val="continue"/>
          </w:tcPr>
          <w:p>
            <w:pPr>
              <w:spacing w:after="0"/>
              <w:rPr>
                <w:sz w:val="16"/>
                <w:szCs w:val="16"/>
                <w:color w:val="auto"/>
              </w:rPr>
            </w:pPr>
          </w:p>
        </w:tc>
        <w:tc>
          <w:tcPr>
            <w:tcW w:w="204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ind w:right="288"/>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ind w:right="348"/>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77"/>
        </w:trPr>
        <w:tc>
          <w:tcPr>
            <w:tcW w:w="33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4"/>
                <w:szCs w:val="14"/>
                <w:color w:val="auto"/>
              </w:rPr>
              <w:t>FinTech Masala, LLC</w:t>
            </w:r>
            <w:r>
              <w:rPr>
                <w:rFonts w:ascii="Arial" w:cs="Arial" w:eastAsia="Arial" w:hAnsi="Arial"/>
                <w:sz w:val="18"/>
                <w:szCs w:val="18"/>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4"/>
                <w:szCs w:val="14"/>
                <w:color w:val="auto"/>
              </w:rPr>
              <w:t>1,942,593</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Fidelity Securities Fund: Fidelity Small Cap Growth</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2,039,500</w:t>
            </w:r>
          </w:p>
        </w:tc>
        <w:tc>
          <w:tcPr>
            <w:tcW w:w="0" w:type="dxa"/>
            <w:vAlign w:val="bottom"/>
          </w:tcPr>
          <w:p>
            <w:pPr>
              <w:spacing w:after="0"/>
              <w:rPr>
                <w:sz w:val="1"/>
                <w:szCs w:val="1"/>
                <w:color w:val="auto"/>
              </w:rPr>
            </w:pPr>
          </w:p>
        </w:tc>
      </w:tr>
      <w:tr>
        <w:trPr>
          <w:trHeight w:val="184"/>
        </w:trPr>
        <w:tc>
          <w:tcPr>
            <w:tcW w:w="3320" w:type="dxa"/>
            <w:vAlign w:val="bottom"/>
          </w:tcPr>
          <w:p>
            <w:pPr>
              <w:ind w:left="180"/>
              <w:spacing w:after="0" w:line="184" w:lineRule="exact"/>
              <w:rPr>
                <w:sz w:val="20"/>
                <w:szCs w:val="20"/>
                <w:color w:val="auto"/>
              </w:rPr>
            </w:pPr>
            <w:r>
              <w:rPr>
                <w:rFonts w:ascii="Arial" w:cs="Arial" w:eastAsia="Arial" w:hAnsi="Arial"/>
                <w:sz w:val="14"/>
                <w:szCs w:val="14"/>
                <w:color w:val="auto"/>
              </w:rPr>
              <w:t>Fund</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w w:val="97"/>
              </w:rPr>
              <w:t>Fidelity Securities Fund: Fidelity Small Cap Growth K6</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457,262</w:t>
            </w:r>
          </w:p>
        </w:tc>
        <w:tc>
          <w:tcPr>
            <w:tcW w:w="0" w:type="dxa"/>
            <w:vAlign w:val="bottom"/>
          </w:tcPr>
          <w:p>
            <w:pPr>
              <w:spacing w:after="0"/>
              <w:rPr>
                <w:sz w:val="1"/>
                <w:szCs w:val="1"/>
                <w:color w:val="auto"/>
              </w:rPr>
            </w:pPr>
          </w:p>
        </w:tc>
      </w:tr>
      <w:tr>
        <w:trPr>
          <w:trHeight w:val="184"/>
        </w:trPr>
        <w:tc>
          <w:tcPr>
            <w:tcW w:w="3320" w:type="dxa"/>
            <w:vAlign w:val="bottom"/>
          </w:tcPr>
          <w:p>
            <w:pPr>
              <w:ind w:left="20"/>
              <w:spacing w:after="0" w:line="184" w:lineRule="exact"/>
              <w:rPr>
                <w:sz w:val="20"/>
                <w:szCs w:val="20"/>
                <w:color w:val="auto"/>
              </w:rPr>
            </w:pPr>
            <w:r>
              <w:rPr>
                <w:rFonts w:ascii="Arial" w:cs="Arial" w:eastAsia="Arial" w:hAnsi="Arial"/>
                <w:sz w:val="14"/>
                <w:szCs w:val="14"/>
                <w:color w:val="auto"/>
              </w:rPr>
              <w:t>Fund</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Fidelity Capital Trust: Fidelity Flex Small Cap Fund -</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3,238</w:t>
            </w:r>
          </w:p>
        </w:tc>
        <w:tc>
          <w:tcPr>
            <w:tcW w:w="0" w:type="dxa"/>
            <w:vAlign w:val="bottom"/>
          </w:tcPr>
          <w:p>
            <w:pPr>
              <w:spacing w:after="0"/>
              <w:rPr>
                <w:sz w:val="1"/>
                <w:szCs w:val="1"/>
                <w:color w:val="auto"/>
              </w:rPr>
            </w:pPr>
          </w:p>
        </w:tc>
      </w:tr>
      <w:tr>
        <w:trPr>
          <w:trHeight w:val="179"/>
        </w:trPr>
        <w:tc>
          <w:tcPr>
            <w:tcW w:w="3320" w:type="dxa"/>
            <w:vAlign w:val="bottom"/>
          </w:tcPr>
          <w:p>
            <w:pPr>
              <w:ind w:left="180"/>
              <w:spacing w:after="0" w:line="179" w:lineRule="exact"/>
              <w:rPr>
                <w:sz w:val="20"/>
                <w:szCs w:val="20"/>
                <w:color w:val="auto"/>
              </w:rPr>
            </w:pPr>
            <w:r>
              <w:rPr>
                <w:rFonts w:ascii="Arial" w:cs="Arial" w:eastAsia="Arial" w:hAnsi="Arial"/>
                <w:sz w:val="14"/>
                <w:szCs w:val="14"/>
                <w:color w:val="auto"/>
              </w:rPr>
              <w:t>Small Cap Growth Subportfolio</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Adage Capital Partners, L.P.</w:t>
            </w:r>
            <w:r>
              <w:rPr>
                <w:rFonts w:ascii="Arial" w:cs="Arial" w:eastAsia="Arial" w:hAnsi="Arial"/>
                <w:sz w:val="18"/>
                <w:szCs w:val="18"/>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4"/>
                <w:szCs w:val="14"/>
                <w:color w:val="auto"/>
              </w:rPr>
              <w:t>2,538,768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Citadel Multi-Strategy Equities Master Fund Ltd.</w:t>
            </w:r>
            <w:r>
              <w:rPr>
                <w:rFonts w:ascii="Arial" w:cs="Arial" w:eastAsia="Arial" w:hAnsi="Arial"/>
                <w:sz w:val="18"/>
                <w:szCs w:val="18"/>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Korea Investment &amp; Securities Co., Ltd.</w:t>
            </w:r>
            <w:r>
              <w:rPr>
                <w:rFonts w:ascii="Arial" w:cs="Arial" w:eastAsia="Arial" w:hAnsi="Arial"/>
                <w:sz w:val="18"/>
                <w:szCs w:val="18"/>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Integrated Core Strategies (US) LLC</w:t>
            </w:r>
            <w:r>
              <w:rPr>
                <w:rFonts w:ascii="Arial" w:cs="Arial" w:eastAsia="Arial" w:hAnsi="Arial"/>
                <w:sz w:val="18"/>
                <w:szCs w:val="18"/>
                <w:color w:val="auto"/>
                <w:vertAlign w:val="superscript"/>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1,643,383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Riverview Group LLC</w:t>
            </w:r>
            <w:r>
              <w:rPr>
                <w:rFonts w:ascii="Arial" w:cs="Arial" w:eastAsia="Arial" w:hAnsi="Arial"/>
                <w:sz w:val="18"/>
                <w:szCs w:val="18"/>
                <w:color w:val="auto"/>
                <w:vertAlign w:val="superscript"/>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1,308,580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Ghisallo Master Fund LP</w:t>
            </w:r>
            <w:r>
              <w:rPr>
                <w:rFonts w:ascii="Arial" w:cs="Arial" w:eastAsia="Arial" w:hAnsi="Arial"/>
                <w:sz w:val="18"/>
                <w:szCs w:val="18"/>
                <w:color w:val="auto"/>
                <w:vertAlign w:val="superscript"/>
              </w:rPr>
              <w:t>(9)</w:t>
            </w:r>
          </w:p>
        </w:tc>
        <w:tc>
          <w:tcPr>
            <w:tcW w:w="13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Bay Pond Partners,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2,419,407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Ithan Creek Master Investors (Cayman)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484,233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Bay Pond Investors (Bermuda)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281,944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PSAM Worldarb Master Fund Ltd</w:t>
            </w:r>
            <w:r>
              <w:rPr>
                <w:rFonts w:ascii="Arial" w:cs="Arial" w:eastAsia="Arial" w:hAnsi="Arial"/>
                <w:sz w:val="18"/>
                <w:szCs w:val="18"/>
                <w:color w:val="auto"/>
                <w:vertAlign w:val="superscript"/>
              </w:rPr>
              <w:t>(12)</w:t>
            </w:r>
          </w:p>
        </w:tc>
        <w:tc>
          <w:tcPr>
            <w:tcW w:w="1300" w:type="dxa"/>
            <w:vAlign w:val="bottom"/>
          </w:tcPr>
          <w:p>
            <w:pPr>
              <w:jc w:val="right"/>
              <w:spacing w:after="0"/>
              <w:rPr>
                <w:sz w:val="20"/>
                <w:szCs w:val="20"/>
                <w:color w:val="auto"/>
              </w:rPr>
            </w:pPr>
            <w:r>
              <w:rPr>
                <w:rFonts w:ascii="Arial" w:cs="Arial" w:eastAsia="Arial" w:hAnsi="Arial"/>
                <w:sz w:val="14"/>
                <w:szCs w:val="14"/>
                <w:color w:val="auto"/>
              </w:rPr>
              <w:t>3,060,615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Nantahala Capital Partners SI, LP</w:t>
            </w:r>
            <w:r>
              <w:rPr>
                <w:rFonts w:ascii="Arial" w:cs="Arial" w:eastAsia="Arial" w:hAnsi="Arial"/>
                <w:sz w:val="18"/>
                <w:szCs w:val="18"/>
                <w:color w:val="auto"/>
                <w:vertAlign w:val="superscript"/>
              </w:rPr>
              <w:t>(13)</w:t>
            </w:r>
          </w:p>
        </w:tc>
        <w:tc>
          <w:tcPr>
            <w:tcW w:w="1300" w:type="dxa"/>
            <w:vAlign w:val="bottom"/>
          </w:tcPr>
          <w:p>
            <w:pPr>
              <w:jc w:val="right"/>
              <w:spacing w:after="0"/>
              <w:rPr>
                <w:sz w:val="20"/>
                <w:szCs w:val="20"/>
                <w:color w:val="auto"/>
              </w:rPr>
            </w:pPr>
            <w:r>
              <w:rPr>
                <w:rFonts w:ascii="Arial" w:cs="Arial" w:eastAsia="Arial" w:hAnsi="Arial"/>
                <w:sz w:val="14"/>
                <w:szCs w:val="14"/>
                <w:color w:val="auto"/>
              </w:rPr>
              <w:t>448,285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NCP RFM LP</w:t>
            </w:r>
            <w:r>
              <w:rPr>
                <w:rFonts w:ascii="Arial" w:cs="Arial" w:eastAsia="Arial" w:hAnsi="Arial"/>
                <w:sz w:val="18"/>
                <w:szCs w:val="18"/>
                <w:color w:val="auto"/>
                <w:vertAlign w:val="superscript"/>
              </w:rPr>
              <w:t>(13)</w:t>
            </w:r>
          </w:p>
        </w:tc>
        <w:tc>
          <w:tcPr>
            <w:tcW w:w="1300" w:type="dxa"/>
            <w:vAlign w:val="bottom"/>
          </w:tcPr>
          <w:p>
            <w:pPr>
              <w:jc w:val="right"/>
              <w:spacing w:after="0"/>
              <w:rPr>
                <w:sz w:val="20"/>
                <w:szCs w:val="20"/>
                <w:color w:val="auto"/>
              </w:rPr>
            </w:pPr>
            <w:r>
              <w:rPr>
                <w:rFonts w:ascii="Arial" w:cs="Arial" w:eastAsia="Arial" w:hAnsi="Arial"/>
                <w:sz w:val="14"/>
                <w:szCs w:val="14"/>
                <w:color w:val="auto"/>
              </w:rPr>
              <w:t>79,184</w:t>
            </w: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line="195" w:lineRule="exact"/>
              <w:rPr>
                <w:sz w:val="20"/>
                <w:szCs w:val="20"/>
                <w:color w:val="auto"/>
              </w:rPr>
            </w:pPr>
            <w:r>
              <w:rPr>
                <w:rFonts w:ascii="Arial" w:cs="Arial" w:eastAsia="Arial" w:hAnsi="Arial"/>
                <w:sz w:val="14"/>
                <w:szCs w:val="14"/>
                <w:color w:val="auto"/>
              </w:rPr>
              <w:t>FinTech Masala Advisors IV, LLC</w:t>
            </w:r>
            <w:r>
              <w:rPr>
                <w:rFonts w:ascii="Arial" w:cs="Arial" w:eastAsia="Arial" w:hAnsi="Arial"/>
                <w:sz w:val="18"/>
                <w:szCs w:val="18"/>
                <w:color w:val="auto"/>
                <w:vertAlign w:val="superscript"/>
              </w:rPr>
              <w:t>(14)</w:t>
            </w:r>
          </w:p>
        </w:tc>
        <w:tc>
          <w:tcPr>
            <w:tcW w:w="1300" w:type="dxa"/>
            <w:vAlign w:val="bottom"/>
          </w:tcPr>
          <w:p>
            <w:pPr>
              <w:jc w:val="right"/>
              <w:spacing w:after="0"/>
              <w:rPr>
                <w:sz w:val="20"/>
                <w:szCs w:val="20"/>
                <w:color w:val="auto"/>
              </w:rPr>
            </w:pPr>
            <w:r>
              <w:rPr>
                <w:rFonts w:ascii="Arial" w:cs="Arial" w:eastAsia="Arial" w:hAnsi="Arial"/>
                <w:sz w:val="14"/>
                <w:szCs w:val="14"/>
                <w:color w:val="auto"/>
              </w:rPr>
              <w:t>658,196</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Certain members of FinTech Masala Advisors IV,</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1,090,425</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line="179"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8"/>
                <w:szCs w:val="8"/>
                <w:color w:val="auto"/>
              </w:rPr>
              <w:t>(15)</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line="195" w:lineRule="exact"/>
              <w:rPr>
                <w:sz w:val="20"/>
                <w:szCs w:val="20"/>
                <w:color w:val="auto"/>
              </w:rPr>
            </w:pPr>
            <w:r>
              <w:rPr>
                <w:rFonts w:ascii="Arial" w:cs="Arial" w:eastAsia="Arial" w:hAnsi="Arial"/>
                <w:sz w:val="14"/>
                <w:szCs w:val="14"/>
                <w:color w:val="auto"/>
              </w:rPr>
              <w:t>FinTech Investor Holdings IV, LLC</w:t>
            </w:r>
            <w:r>
              <w:rPr>
                <w:rFonts w:ascii="Arial" w:cs="Arial" w:eastAsia="Arial" w:hAnsi="Arial"/>
                <w:sz w:val="18"/>
                <w:szCs w:val="18"/>
                <w:color w:val="auto"/>
                <w:vertAlign w:val="superscript"/>
              </w:rPr>
              <w:t>(14)</w:t>
            </w:r>
          </w:p>
        </w:tc>
        <w:tc>
          <w:tcPr>
            <w:tcW w:w="1300" w:type="dxa"/>
            <w:vAlign w:val="bottom"/>
          </w:tcPr>
          <w:p>
            <w:pPr>
              <w:jc w:val="right"/>
              <w:spacing w:after="0"/>
              <w:rPr>
                <w:sz w:val="20"/>
                <w:szCs w:val="20"/>
                <w:color w:val="auto"/>
              </w:rPr>
            </w:pPr>
            <w:r>
              <w:rPr>
                <w:rFonts w:ascii="Arial" w:cs="Arial" w:eastAsia="Arial" w:hAnsi="Arial"/>
                <w:sz w:val="14"/>
                <w:szCs w:val="14"/>
                <w:color w:val="auto"/>
              </w:rPr>
              <w:t>341,804</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Certain members of FinTech Investor Holdings IV,</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1,676,064</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line="179"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8"/>
                <w:szCs w:val="8"/>
                <w:color w:val="auto"/>
              </w:rPr>
              <w:t>(16)</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Linden Capital L.P.</w:t>
            </w:r>
            <w:r>
              <w:rPr>
                <w:rFonts w:ascii="Arial" w:cs="Arial" w:eastAsia="Arial" w:hAnsi="Arial"/>
                <w:sz w:val="18"/>
                <w:szCs w:val="18"/>
                <w:color w:val="auto"/>
                <w:vertAlign w:val="superscript"/>
              </w:rPr>
              <w:t>(17)</w:t>
            </w:r>
          </w:p>
        </w:tc>
        <w:tc>
          <w:tcPr>
            <w:tcW w:w="1300" w:type="dxa"/>
            <w:vAlign w:val="bottom"/>
          </w:tcPr>
          <w:p>
            <w:pPr>
              <w:jc w:val="right"/>
              <w:spacing w:after="0"/>
              <w:rPr>
                <w:sz w:val="20"/>
                <w:szCs w:val="20"/>
                <w:color w:val="auto"/>
              </w:rPr>
            </w:pPr>
            <w:r>
              <w:rPr>
                <w:rFonts w:ascii="Arial" w:cs="Arial" w:eastAsia="Arial" w:hAnsi="Arial"/>
                <w:sz w:val="14"/>
                <w:szCs w:val="14"/>
                <w:color w:val="auto"/>
              </w:rPr>
              <w:t>698,158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Corbin ERISA Opportunity Fund, Ltd.</w:t>
            </w:r>
            <w:r>
              <w:rPr>
                <w:rFonts w:ascii="Arial" w:cs="Arial" w:eastAsia="Arial" w:hAnsi="Arial"/>
                <w:sz w:val="18"/>
                <w:szCs w:val="18"/>
                <w:color w:val="auto"/>
                <w:vertAlign w:val="superscript"/>
              </w:rPr>
              <w:t>(18)</w:t>
            </w:r>
          </w:p>
        </w:tc>
        <w:tc>
          <w:tcPr>
            <w:tcW w:w="1300" w:type="dxa"/>
            <w:vAlign w:val="bottom"/>
          </w:tcPr>
          <w:p>
            <w:pPr>
              <w:jc w:val="right"/>
              <w:spacing w:after="0"/>
              <w:rPr>
                <w:sz w:val="20"/>
                <w:szCs w:val="20"/>
                <w:color w:val="auto"/>
              </w:rPr>
            </w:pPr>
            <w:r>
              <w:rPr>
                <w:rFonts w:ascii="Arial" w:cs="Arial" w:eastAsia="Arial" w:hAnsi="Arial"/>
                <w:sz w:val="14"/>
                <w:szCs w:val="14"/>
                <w:color w:val="auto"/>
              </w:rPr>
              <w:t>1,007,582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Corbin Opportunity Fund, L.P.</w:t>
            </w:r>
            <w:r>
              <w:rPr>
                <w:rFonts w:ascii="Arial" w:cs="Arial" w:eastAsia="Arial" w:hAnsi="Arial"/>
                <w:sz w:val="18"/>
                <w:szCs w:val="18"/>
                <w:color w:val="auto"/>
                <w:vertAlign w:val="superscript"/>
              </w:rPr>
              <w:t>(18)</w:t>
            </w:r>
          </w:p>
        </w:tc>
        <w:tc>
          <w:tcPr>
            <w:tcW w:w="1300" w:type="dxa"/>
            <w:vAlign w:val="bottom"/>
          </w:tcPr>
          <w:p>
            <w:pPr>
              <w:jc w:val="right"/>
              <w:spacing w:after="0"/>
              <w:rPr>
                <w:sz w:val="20"/>
                <w:szCs w:val="20"/>
                <w:color w:val="auto"/>
              </w:rPr>
            </w:pPr>
            <w:r>
              <w:rPr>
                <w:rFonts w:ascii="Arial" w:cs="Arial" w:eastAsia="Arial" w:hAnsi="Arial"/>
                <w:sz w:val="14"/>
                <w:szCs w:val="14"/>
                <w:color w:val="auto"/>
              </w:rPr>
              <w:t>503,793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CVI Investments, Inc.</w:t>
            </w:r>
            <w:r>
              <w:rPr>
                <w:rFonts w:ascii="Arial" w:cs="Arial" w:eastAsia="Arial" w:hAnsi="Arial"/>
                <w:sz w:val="18"/>
                <w:szCs w:val="18"/>
                <w:color w:val="auto"/>
                <w:vertAlign w:val="superscript"/>
              </w:rPr>
              <w:t>(19)</w:t>
            </w:r>
          </w:p>
        </w:tc>
        <w:tc>
          <w:tcPr>
            <w:tcW w:w="1300" w:type="dxa"/>
            <w:vAlign w:val="bottom"/>
          </w:tcPr>
          <w:p>
            <w:pPr>
              <w:jc w:val="right"/>
              <w:spacing w:after="0"/>
              <w:rPr>
                <w:sz w:val="20"/>
                <w:szCs w:val="20"/>
                <w:color w:val="auto"/>
              </w:rPr>
            </w:pPr>
            <w:r>
              <w:rPr>
                <w:rFonts w:ascii="Arial" w:cs="Arial" w:eastAsia="Arial" w:hAnsi="Arial"/>
                <w:sz w:val="14"/>
                <w:szCs w:val="14"/>
                <w:color w:val="auto"/>
              </w:rPr>
              <w:t>260,186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MMCAP International Inc. SPC</w:t>
            </w:r>
            <w:r>
              <w:rPr>
                <w:rFonts w:ascii="Arial" w:cs="Arial" w:eastAsia="Arial" w:hAnsi="Arial"/>
                <w:sz w:val="18"/>
                <w:szCs w:val="18"/>
                <w:color w:val="auto"/>
                <w:vertAlign w:val="superscript"/>
              </w:rPr>
              <w:t>(20)</w:t>
            </w:r>
          </w:p>
        </w:tc>
        <w:tc>
          <w:tcPr>
            <w:tcW w:w="1300" w:type="dxa"/>
            <w:vAlign w:val="bottom"/>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Atalaya Special Purpose Investment Fund LP</w:t>
            </w:r>
            <w:r>
              <w:rPr>
                <w:rFonts w:ascii="Arial" w:cs="Arial" w:eastAsia="Arial" w:hAnsi="Arial"/>
                <w:sz w:val="18"/>
                <w:szCs w:val="18"/>
                <w:color w:val="auto"/>
                <w:vertAlign w:val="superscript"/>
              </w:rPr>
              <w:t>(21)</w:t>
            </w:r>
          </w:p>
        </w:tc>
        <w:tc>
          <w:tcPr>
            <w:tcW w:w="1300" w:type="dxa"/>
            <w:vAlign w:val="bottom"/>
          </w:tcPr>
          <w:p>
            <w:pPr>
              <w:jc w:val="right"/>
              <w:spacing w:after="0"/>
              <w:rPr>
                <w:sz w:val="20"/>
                <w:szCs w:val="20"/>
                <w:color w:val="auto"/>
              </w:rPr>
            </w:pPr>
            <w:r>
              <w:rPr>
                <w:rFonts w:ascii="Arial" w:cs="Arial" w:eastAsia="Arial" w:hAnsi="Arial"/>
                <w:sz w:val="14"/>
                <w:szCs w:val="14"/>
                <w:color w:val="auto"/>
              </w:rPr>
              <w:t>889,057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Offshore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1,541,045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Net Neutral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1,233,877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Long Alpha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37,367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Onshore Fund, LP</w:t>
            </w:r>
            <w:r>
              <w:rPr>
                <w:rFonts w:ascii="Arial" w:cs="Arial" w:eastAsia="Arial" w:hAnsi="Arial"/>
                <w:sz w:val="18"/>
                <w:szCs w:val="18"/>
                <w:color w:val="auto"/>
                <w:vertAlign w:val="superscript"/>
              </w:rPr>
              <w:t>(23)</w:t>
            </w:r>
          </w:p>
        </w:tc>
        <w:tc>
          <w:tcPr>
            <w:tcW w:w="1300" w:type="dxa"/>
            <w:vAlign w:val="bottom"/>
          </w:tcPr>
          <w:p>
            <w:pPr>
              <w:jc w:val="right"/>
              <w:spacing w:after="0"/>
              <w:rPr>
                <w:sz w:val="20"/>
                <w:szCs w:val="20"/>
                <w:color w:val="auto"/>
              </w:rPr>
            </w:pPr>
            <w:r>
              <w:rPr>
                <w:rFonts w:ascii="Arial" w:cs="Arial" w:eastAsia="Arial" w:hAnsi="Arial"/>
                <w:sz w:val="14"/>
                <w:szCs w:val="14"/>
                <w:color w:val="auto"/>
              </w:rPr>
              <w:t>604,225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FM PWP PIPE Sponsor, LLC</w:t>
            </w:r>
            <w:r>
              <w:rPr>
                <w:rFonts w:ascii="Arial" w:cs="Arial" w:eastAsia="Arial" w:hAnsi="Arial"/>
                <w:sz w:val="18"/>
                <w:szCs w:val="18"/>
                <w:color w:val="auto"/>
                <w:vertAlign w:val="superscript"/>
              </w:rPr>
              <w:t>(24)</w:t>
            </w:r>
          </w:p>
        </w:tc>
        <w:tc>
          <w:tcPr>
            <w:tcW w:w="130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Tech Opportunities LLC</w:t>
            </w:r>
            <w:r>
              <w:rPr>
                <w:rFonts w:ascii="Arial" w:cs="Arial" w:eastAsia="Arial" w:hAnsi="Arial"/>
                <w:sz w:val="18"/>
                <w:szCs w:val="18"/>
                <w:color w:val="auto"/>
                <w:vertAlign w:val="superscript"/>
              </w:rPr>
              <w:t>(25)</w:t>
            </w:r>
          </w:p>
        </w:tc>
        <w:tc>
          <w:tcPr>
            <w:tcW w:w="13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Fisher Perella Partners LLC</w:t>
            </w:r>
            <w:r>
              <w:rPr>
                <w:rFonts w:ascii="Arial" w:cs="Arial" w:eastAsia="Arial" w:hAnsi="Arial"/>
                <w:sz w:val="18"/>
                <w:szCs w:val="18"/>
                <w:color w:val="auto"/>
                <w:vertAlign w:val="superscript"/>
              </w:rPr>
              <w:t>(26)</w:t>
            </w:r>
          </w:p>
        </w:tc>
        <w:tc>
          <w:tcPr>
            <w:tcW w:w="1300" w:type="dxa"/>
            <w:vAlign w:val="bottom"/>
          </w:tcPr>
          <w:p>
            <w:pPr>
              <w:jc w:val="right"/>
              <w:spacing w:after="0"/>
              <w:rPr>
                <w:sz w:val="20"/>
                <w:szCs w:val="20"/>
                <w:color w:val="auto"/>
              </w:rPr>
            </w:pPr>
            <w:r>
              <w:rPr>
                <w:rFonts w:ascii="Arial" w:cs="Arial" w:eastAsia="Arial" w:hAnsi="Arial"/>
                <w:sz w:val="14"/>
                <w:szCs w:val="14"/>
                <w:color w:val="auto"/>
              </w:rPr>
              <w:t>337,048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PWP Professional Partners LP</w:t>
            </w:r>
            <w:r>
              <w:rPr>
                <w:rFonts w:ascii="Arial" w:cs="Arial" w:eastAsia="Arial" w:hAnsi="Arial"/>
                <w:sz w:val="18"/>
                <w:szCs w:val="18"/>
                <w:color w:val="auto"/>
                <w:vertAlign w:val="superscript"/>
              </w:rPr>
              <w:t>(27)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320" w:type="dxa"/>
            <w:vAlign w:val="bottom"/>
          </w:tcPr>
          <w:p>
            <w:pPr>
              <w:ind w:left="20"/>
              <w:spacing w:after="0"/>
              <w:rPr>
                <w:sz w:val="20"/>
                <w:szCs w:val="20"/>
                <w:color w:val="auto"/>
              </w:rPr>
            </w:pPr>
            <w:r>
              <w:rPr>
                <w:rFonts w:ascii="Arial" w:cs="Arial" w:eastAsia="Arial" w:hAnsi="Arial"/>
                <w:sz w:val="14"/>
                <w:szCs w:val="14"/>
                <w:color w:val="auto"/>
              </w:rPr>
              <w:t>Red Hook Capital, LLC</w:t>
            </w:r>
            <w:r>
              <w:rPr>
                <w:rFonts w:ascii="Arial" w:cs="Arial" w:eastAsia="Arial" w:hAnsi="Arial"/>
                <w:sz w:val="18"/>
                <w:szCs w:val="18"/>
                <w:color w:val="auto"/>
                <w:vertAlign w:val="superscript"/>
              </w:rPr>
              <w:t>(29)</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320" w:type="dxa"/>
            <w:vAlign w:val="bottom"/>
          </w:tcPr>
          <w:p>
            <w:pPr>
              <w:jc w:val="right"/>
              <w:spacing w:after="0"/>
              <w:rPr>
                <w:sz w:val="20"/>
                <w:szCs w:val="20"/>
                <w:color w:val="auto"/>
              </w:rPr>
            </w:pPr>
            <w:r>
              <w:rPr>
                <w:rFonts w:ascii="Arial" w:cs="Arial" w:eastAsia="Arial" w:hAnsi="Arial"/>
                <w:sz w:val="14"/>
                <w:szCs w:val="14"/>
                <w:color w:val="auto"/>
              </w:rPr>
              <w:t>1,942,593</w:t>
            </w:r>
          </w:p>
        </w:tc>
      </w:tr>
      <w:tr>
        <w:trPr>
          <w:trHeight w:val="31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4.3 %</w:t>
            </w:r>
          </w:p>
        </w:tc>
        <w:tc>
          <w:tcPr>
            <w:tcW w:w="1320" w:type="dxa"/>
            <w:vAlign w:val="bottom"/>
          </w:tcPr>
          <w:p>
            <w:pPr>
              <w:jc w:val="right"/>
              <w:spacing w:after="0"/>
              <w:rPr>
                <w:sz w:val="20"/>
                <w:szCs w:val="20"/>
                <w:color w:val="auto"/>
              </w:rPr>
            </w:pPr>
            <w:r>
              <w:rPr>
                <w:rFonts w:ascii="Arial" w:cs="Arial" w:eastAsia="Arial" w:hAnsi="Arial"/>
                <w:sz w:val="14"/>
                <w:szCs w:val="14"/>
                <w:color w:val="auto"/>
              </w:rPr>
              <w:t>2,039,500</w:t>
            </w:r>
          </w:p>
        </w:tc>
      </w:tr>
      <w:tr>
        <w:trPr>
          <w:trHeight w:val="324"/>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457,262</w:t>
            </w:r>
          </w:p>
        </w:tc>
      </w:tr>
      <w:tr>
        <w:trPr>
          <w:trHeight w:val="324"/>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3,238</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5.4 %</w:t>
            </w:r>
          </w:p>
        </w:tc>
        <w:tc>
          <w:tcPr>
            <w:tcW w:w="1320" w:type="dxa"/>
            <w:vAlign w:val="bottom"/>
          </w:tcPr>
          <w:p>
            <w:pPr>
              <w:jc w:val="right"/>
              <w:spacing w:after="0"/>
              <w:rPr>
                <w:sz w:val="20"/>
                <w:szCs w:val="20"/>
                <w:color w:val="auto"/>
              </w:rPr>
            </w:pPr>
            <w:r>
              <w:rPr>
                <w:rFonts w:ascii="Arial" w:cs="Arial" w:eastAsia="Arial" w:hAnsi="Arial"/>
                <w:sz w:val="14"/>
                <w:szCs w:val="14"/>
                <w:color w:val="auto"/>
              </w:rPr>
              <w:t>1,500,000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2.6 %</w:t>
            </w:r>
          </w:p>
        </w:tc>
        <w:tc>
          <w:tcPr>
            <w:tcW w:w="1320" w:type="dxa"/>
            <w:vAlign w:val="bottom"/>
          </w:tcPr>
          <w:p>
            <w:pPr>
              <w:jc w:val="right"/>
              <w:spacing w:after="0"/>
              <w:rPr>
                <w:sz w:val="20"/>
                <w:szCs w:val="20"/>
                <w:color w:val="auto"/>
              </w:rPr>
            </w:pPr>
            <w:r>
              <w:rPr>
                <w:rFonts w:ascii="Arial" w:cs="Arial" w:eastAsia="Arial" w:hAnsi="Arial"/>
                <w:sz w:val="14"/>
                <w:szCs w:val="14"/>
                <w:color w:val="auto"/>
              </w:rPr>
              <w:t>1,200,000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2.1 %</w:t>
            </w:r>
          </w:p>
        </w:tc>
        <w:tc>
          <w:tcPr>
            <w:tcW w:w="132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3.5 %</w:t>
            </w:r>
          </w:p>
        </w:tc>
        <w:tc>
          <w:tcPr>
            <w:tcW w:w="1320" w:type="dxa"/>
            <w:vAlign w:val="bottom"/>
          </w:tcPr>
          <w:p>
            <w:pPr>
              <w:jc w:val="right"/>
              <w:spacing w:after="0"/>
              <w:rPr>
                <w:sz w:val="20"/>
                <w:szCs w:val="20"/>
                <w:color w:val="auto"/>
              </w:rPr>
            </w:pPr>
            <w:r>
              <w:rPr>
                <w:rFonts w:ascii="Arial" w:cs="Arial" w:eastAsia="Arial" w:hAnsi="Arial"/>
                <w:sz w:val="14"/>
                <w:szCs w:val="14"/>
                <w:color w:val="auto"/>
              </w:rPr>
              <w:t>850,000</w:t>
            </w:r>
          </w:p>
        </w:tc>
      </w:tr>
      <w:tr>
        <w:trPr>
          <w:trHeight w:val="189"/>
        </w:trPr>
        <w:tc>
          <w:tcPr>
            <w:tcW w:w="440" w:type="dxa"/>
            <w:vAlign w:val="bottom"/>
          </w:tcPr>
          <w:p>
            <w:pPr>
              <w:spacing w:after="0"/>
              <w:rPr>
                <w:sz w:val="20"/>
                <w:szCs w:val="20"/>
                <w:color w:val="auto"/>
              </w:rPr>
            </w:pPr>
            <w:r>
              <w:rPr>
                <w:rFonts w:ascii="Arial" w:cs="Arial" w:eastAsia="Arial" w:hAnsi="Arial"/>
                <w:sz w:val="9"/>
                <w:szCs w:val="9"/>
                <w:color w:val="auto"/>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2.8 %</w:t>
            </w:r>
          </w:p>
        </w:tc>
        <w:tc>
          <w:tcPr>
            <w:tcW w:w="132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1.5 %</w:t>
            </w:r>
          </w:p>
        </w:tc>
        <w:tc>
          <w:tcPr>
            <w:tcW w:w="1320" w:type="dxa"/>
            <w:vAlign w:val="bottom"/>
          </w:tcPr>
          <w:p>
            <w:pPr>
              <w:jc w:val="right"/>
              <w:spacing w:after="0"/>
              <w:rPr>
                <w:sz w:val="20"/>
                <w:szCs w:val="20"/>
                <w:color w:val="auto"/>
              </w:rPr>
            </w:pPr>
            <w:r>
              <w:rPr>
                <w:rFonts w:ascii="Arial" w:cs="Arial" w:eastAsia="Arial" w:hAnsi="Arial"/>
                <w:sz w:val="14"/>
                <w:szCs w:val="14"/>
                <w:color w:val="auto"/>
              </w:rPr>
              <w:t>700,000</w:t>
            </w:r>
          </w:p>
        </w:tc>
      </w:tr>
      <w:tr>
        <w:trPr>
          <w:trHeight w:val="189"/>
        </w:trPr>
        <w:tc>
          <w:tcPr>
            <w:tcW w:w="440" w:type="dxa"/>
            <w:vAlign w:val="bottom"/>
          </w:tcPr>
          <w:p>
            <w:pPr>
              <w:spacing w:after="0"/>
              <w:rPr>
                <w:sz w:val="20"/>
                <w:szCs w:val="20"/>
                <w:color w:val="auto"/>
              </w:rPr>
            </w:pPr>
            <w:r>
              <w:rPr>
                <w:rFonts w:ascii="Arial" w:cs="Arial" w:eastAsia="Arial" w:hAnsi="Arial"/>
                <w:sz w:val="9"/>
                <w:szCs w:val="9"/>
                <w:color w:val="auto"/>
              </w:rPr>
              <w:t>(11)</w:t>
            </w:r>
          </w:p>
        </w:tc>
        <w:tc>
          <w:tcPr>
            <w:tcW w:w="920" w:type="dxa"/>
            <w:vAlign w:val="bottom"/>
          </w:tcPr>
          <w:p>
            <w:pPr>
              <w:jc w:val="right"/>
              <w:spacing w:after="0"/>
              <w:rPr>
                <w:sz w:val="20"/>
                <w:szCs w:val="20"/>
                <w:color w:val="auto"/>
              </w:rPr>
            </w:pPr>
            <w:r>
              <w:rPr>
                <w:rFonts w:ascii="Arial" w:cs="Arial" w:eastAsia="Arial" w:hAnsi="Arial"/>
                <w:sz w:val="14"/>
                <w:szCs w:val="14"/>
                <w:color w:val="auto"/>
              </w:rPr>
              <w:t>5.1 %</w:t>
            </w:r>
          </w:p>
        </w:tc>
        <w:tc>
          <w:tcPr>
            <w:tcW w:w="1320" w:type="dxa"/>
            <w:vAlign w:val="bottom"/>
          </w:tcPr>
          <w:p>
            <w:pPr>
              <w:jc w:val="right"/>
              <w:spacing w:after="0"/>
              <w:rPr>
                <w:sz w:val="20"/>
                <w:szCs w:val="20"/>
                <w:color w:val="auto"/>
              </w:rPr>
            </w:pPr>
            <w:r>
              <w:rPr>
                <w:rFonts w:ascii="Arial" w:cs="Arial" w:eastAsia="Arial" w:hAnsi="Arial"/>
                <w:sz w:val="14"/>
                <w:szCs w:val="14"/>
                <w:color w:val="auto"/>
              </w:rPr>
              <w:t>761,319</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1320" w:type="dxa"/>
            <w:vAlign w:val="bottom"/>
          </w:tcPr>
          <w:p>
            <w:pPr>
              <w:jc w:val="right"/>
              <w:spacing w:after="0"/>
              <w:rPr>
                <w:sz w:val="20"/>
                <w:szCs w:val="20"/>
                <w:color w:val="auto"/>
              </w:rPr>
            </w:pPr>
            <w:r>
              <w:rPr>
                <w:rFonts w:ascii="Arial" w:cs="Arial" w:eastAsia="Arial" w:hAnsi="Arial"/>
                <w:sz w:val="14"/>
                <w:szCs w:val="14"/>
                <w:color w:val="auto"/>
              </w:rPr>
              <w:t>227,240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134,610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6.5 %</w:t>
            </w:r>
          </w:p>
        </w:tc>
        <w:tc>
          <w:tcPr>
            <w:tcW w:w="1320" w:type="dxa"/>
            <w:vAlign w:val="bottom"/>
          </w:tcPr>
          <w:p>
            <w:pPr>
              <w:jc w:val="right"/>
              <w:spacing w:after="0"/>
              <w:rPr>
                <w:sz w:val="20"/>
                <w:szCs w:val="20"/>
                <w:color w:val="auto"/>
              </w:rPr>
            </w:pPr>
            <w:r>
              <w:rPr>
                <w:rFonts w:ascii="Arial" w:cs="Arial" w:eastAsia="Arial" w:hAnsi="Arial"/>
                <w:sz w:val="14"/>
                <w:szCs w:val="14"/>
                <w:color w:val="auto"/>
              </w:rPr>
              <w:t>1,069,504</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447,985</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79,184</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1.4 %</w:t>
            </w:r>
          </w:p>
        </w:tc>
        <w:tc>
          <w:tcPr>
            <w:tcW w:w="1320" w:type="dxa"/>
            <w:vAlign w:val="bottom"/>
          </w:tcPr>
          <w:p>
            <w:pPr>
              <w:jc w:val="right"/>
              <w:spacing w:after="0"/>
              <w:rPr>
                <w:sz w:val="20"/>
                <w:szCs w:val="20"/>
                <w:color w:val="auto"/>
              </w:rPr>
            </w:pPr>
            <w:r>
              <w:rPr>
                <w:rFonts w:ascii="Arial" w:cs="Arial" w:eastAsia="Arial" w:hAnsi="Arial"/>
                <w:sz w:val="14"/>
                <w:szCs w:val="14"/>
                <w:color w:val="auto"/>
              </w:rPr>
              <w:t>658,196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-1963420</wp:posOffset>
            </wp:positionV>
            <wp:extent cx="713232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-1551940</wp:posOffset>
            </wp:positionV>
            <wp:extent cx="713232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-1311910</wp:posOffset>
            </wp:positionV>
            <wp:extent cx="71323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-1071880</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-831850</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-591820</wp:posOffset>
            </wp:positionV>
            <wp:extent cx="71323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-351790</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-111760</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22" w:lineRule="exact"/>
        <w:rPr>
          <w:sz w:val="20"/>
          <w:szCs w:val="20"/>
          <w:color w:val="auto"/>
        </w:rPr>
      </w:pPr>
    </w:p>
    <w:p>
      <w:pPr>
        <w:jc w:val="right"/>
        <w:spacing w:after="0"/>
        <w:tabs>
          <w:tab w:leader="none" w:pos="560" w:val="left"/>
        </w:tabs>
        <w:rPr>
          <w:sz w:val="20"/>
          <w:szCs w:val="20"/>
          <w:color w:val="auto"/>
        </w:rPr>
      </w:pPr>
      <w:r>
        <w:rPr>
          <w:rFonts w:ascii="Arial" w:cs="Arial" w:eastAsia="Arial" w:hAnsi="Arial"/>
          <w:sz w:val="14"/>
          <w:szCs w:val="14"/>
          <w:color w:val="auto"/>
        </w:rPr>
        <w:t>2.3 %</w:t>
      </w:r>
      <w:r>
        <w:rPr>
          <w:sz w:val="20"/>
          <w:szCs w:val="20"/>
          <w:color w:val="auto"/>
        </w:rPr>
        <w:tab/>
      </w:r>
      <w:r>
        <w:rPr>
          <w:rFonts w:ascii="Arial" w:cs="Arial" w:eastAsia="Arial" w:hAnsi="Arial"/>
          <w:sz w:val="13"/>
          <w:szCs w:val="13"/>
          <w:color w:val="auto"/>
        </w:rPr>
        <w:t>1,090,425</w:t>
      </w:r>
    </w:p>
    <w:p>
      <w:pPr>
        <w:spacing w:after="0" w:line="28" w:lineRule="exact"/>
        <w:rPr>
          <w:sz w:val="20"/>
          <w:szCs w:val="20"/>
          <w:color w:val="auto"/>
        </w:rPr>
      </w:pPr>
    </w:p>
    <w:p>
      <w:pPr>
        <w:ind w:left="2220" w:hanging="940"/>
        <w:spacing w:after="0"/>
        <w:tabs>
          <w:tab w:leader="none" w:pos="22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341,804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6" w:lineRule="exact"/>
        <w:rPr>
          <w:sz w:val="20"/>
          <w:szCs w:val="20"/>
          <w:color w:val="auto"/>
        </w:rPr>
      </w:pPr>
    </w:p>
    <w:p>
      <w:pPr>
        <w:jc w:val="right"/>
        <w:spacing w:after="0"/>
        <w:tabs>
          <w:tab w:leader="none" w:pos="560" w:val="left"/>
        </w:tabs>
        <w:rPr>
          <w:sz w:val="20"/>
          <w:szCs w:val="20"/>
          <w:color w:val="auto"/>
        </w:rPr>
      </w:pPr>
      <w:r>
        <w:rPr>
          <w:rFonts w:ascii="Arial" w:cs="Arial" w:eastAsia="Arial" w:hAnsi="Arial"/>
          <w:sz w:val="14"/>
          <w:szCs w:val="14"/>
          <w:color w:val="auto"/>
        </w:rPr>
        <w:t>3.6 %</w:t>
      </w:r>
      <w:r>
        <w:rPr>
          <w:sz w:val="20"/>
          <w:szCs w:val="20"/>
          <w:color w:val="auto"/>
        </w:rPr>
        <w:tab/>
      </w:r>
      <w:r>
        <w:rPr>
          <w:rFonts w:ascii="Arial" w:cs="Arial" w:eastAsia="Arial" w:hAnsi="Arial"/>
          <w:sz w:val="13"/>
          <w:szCs w:val="13"/>
          <w:color w:val="auto"/>
        </w:rPr>
        <w:t>1,676,064</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1.5 %</w:t>
      </w:r>
      <w:r>
        <w:rPr>
          <w:sz w:val="20"/>
          <w:szCs w:val="20"/>
          <w:color w:val="auto"/>
        </w:rPr>
        <w:tab/>
      </w:r>
      <w:r>
        <w:rPr>
          <w:rFonts w:ascii="Arial" w:cs="Arial" w:eastAsia="Arial" w:hAnsi="Arial"/>
          <w:sz w:val="12"/>
          <w:szCs w:val="12"/>
          <w:color w:val="auto"/>
        </w:rPr>
        <w:t>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2.2 %</w:t>
      </w:r>
      <w:r>
        <w:rPr>
          <w:sz w:val="20"/>
          <w:szCs w:val="20"/>
          <w:color w:val="auto"/>
        </w:rPr>
        <w:tab/>
      </w:r>
      <w:r>
        <w:rPr>
          <w:rFonts w:ascii="Arial" w:cs="Arial" w:eastAsia="Arial" w:hAnsi="Arial"/>
          <w:sz w:val="12"/>
          <w:szCs w:val="12"/>
          <w:color w:val="auto"/>
        </w:rPr>
        <w:t>443,066</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1.1 %</w:t>
      </w:r>
      <w:r>
        <w:rPr>
          <w:sz w:val="20"/>
          <w:szCs w:val="20"/>
          <w:color w:val="auto"/>
        </w:rPr>
        <w:tab/>
      </w:r>
      <w:r>
        <w:rPr>
          <w:rFonts w:ascii="Arial" w:cs="Arial" w:eastAsia="Arial" w:hAnsi="Arial"/>
          <w:sz w:val="12"/>
          <w:szCs w:val="12"/>
          <w:color w:val="auto"/>
        </w:rPr>
        <w:t>221,534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220" w:hanging="940"/>
        <w:spacing w:after="0"/>
        <w:tabs>
          <w:tab w:leader="none" w:pos="22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250,000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1"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1.9 %</w:t>
      </w:r>
      <w:r>
        <w:rPr>
          <w:sz w:val="20"/>
          <w:szCs w:val="20"/>
          <w:color w:val="auto"/>
        </w:rPr>
        <w:tab/>
      </w:r>
      <w:r>
        <w:rPr>
          <w:rFonts w:ascii="Arial" w:cs="Arial" w:eastAsia="Arial" w:hAnsi="Arial"/>
          <w:sz w:val="12"/>
          <w:szCs w:val="12"/>
          <w:color w:val="auto"/>
        </w:rPr>
        <w:t>316,476</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3.3 %</w:t>
      </w:r>
      <w:r>
        <w:rPr>
          <w:sz w:val="20"/>
          <w:szCs w:val="20"/>
          <w:color w:val="auto"/>
        </w:rPr>
        <w:tab/>
      </w:r>
      <w:r>
        <w:rPr>
          <w:rFonts w:ascii="Arial" w:cs="Arial" w:eastAsia="Arial" w:hAnsi="Arial"/>
          <w:sz w:val="12"/>
          <w:szCs w:val="12"/>
          <w:color w:val="auto"/>
        </w:rPr>
        <w:t>230,250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2.6 %</w:t>
      </w:r>
      <w:r>
        <w:rPr>
          <w:sz w:val="20"/>
          <w:szCs w:val="20"/>
          <w:color w:val="auto"/>
        </w:rPr>
        <w:tab/>
      </w:r>
      <w:r>
        <w:rPr>
          <w:rFonts w:ascii="Arial" w:cs="Arial" w:eastAsia="Arial" w:hAnsi="Arial"/>
          <w:sz w:val="12"/>
          <w:szCs w:val="12"/>
          <w:color w:val="auto"/>
        </w:rPr>
        <w:t>182,450</w:t>
      </w:r>
    </w:p>
    <w:p>
      <w:pPr>
        <w:spacing w:after="0" w:line="28" w:lineRule="exact"/>
        <w:rPr>
          <w:sz w:val="20"/>
          <w:szCs w:val="20"/>
          <w:color w:val="auto"/>
        </w:rPr>
      </w:pPr>
    </w:p>
    <w:p>
      <w:pPr>
        <w:ind w:left="2360" w:hanging="1080"/>
        <w:spacing w:after="0"/>
        <w:tabs>
          <w:tab w:leader="none" w:pos="23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1"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1.3 %</w:t>
      </w:r>
      <w:r>
        <w:rPr>
          <w:sz w:val="20"/>
          <w:szCs w:val="20"/>
          <w:color w:val="auto"/>
        </w:rPr>
        <w:tab/>
      </w:r>
      <w:r>
        <w:rPr>
          <w:rFonts w:ascii="Arial" w:cs="Arial" w:eastAsia="Arial" w:hAnsi="Arial"/>
          <w:sz w:val="13"/>
          <w:szCs w:val="13"/>
          <w:color w:val="auto"/>
        </w:rPr>
        <w:t>81,750</w:t>
      </w:r>
    </w:p>
    <w:p>
      <w:pPr>
        <w:spacing w:after="0" w:line="28" w:lineRule="exact"/>
        <w:rPr>
          <w:sz w:val="20"/>
          <w:szCs w:val="20"/>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150,000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100,000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337,048</w:t>
      </w:r>
    </w:p>
    <w:p>
      <w:pPr>
        <w:spacing w:after="0" w:line="51" w:lineRule="exact"/>
        <w:rPr>
          <w:rFonts w:ascii="Arial" w:cs="Arial" w:eastAsia="Arial" w:hAnsi="Arial"/>
          <w:sz w:val="12"/>
          <w:szCs w:val="12"/>
          <w:color w:val="auto"/>
        </w:rPr>
      </w:pPr>
    </w:p>
    <w:p>
      <w:pPr>
        <w:ind w:left="1040"/>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44,399,264</w:t>
      </w:r>
    </w:p>
    <w:p>
      <w:pPr>
        <w:spacing w:after="0" w:line="28" w:lineRule="exact"/>
        <w:rPr>
          <w:rFonts w:ascii="Arial" w:cs="Arial" w:eastAsia="Arial" w:hAnsi="Arial"/>
          <w:sz w:val="12"/>
          <w:szCs w:val="12"/>
          <w:color w:val="auto"/>
        </w:rPr>
      </w:pPr>
    </w:p>
    <w:p>
      <w:pPr>
        <w:ind w:left="1040"/>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842,622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-578485</wp:posOffset>
            </wp:positionV>
            <wp:extent cx="713232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-338455</wp:posOffset>
            </wp:positionV>
            <wp:extent cx="71323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312"/>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1,038,768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793,383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958,580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1,658,088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256,993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147,334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1,991,111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298,158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564,516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282,259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10,186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572,581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1,310,795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1,051,427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31,817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522,475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jc w:val="right"/>
              <w:ind w:right="233"/>
              <w:spacing w:after="0"/>
              <w:rPr>
                <w:sz w:val="20"/>
                <w:szCs w:val="20"/>
                <w:color w:val="auto"/>
              </w:rPr>
            </w:pPr>
            <w:r>
              <w:rPr>
                <w:rFonts w:ascii="Arial" w:cs="Arial" w:eastAsia="Arial" w:hAnsi="Arial"/>
                <w:sz w:val="9"/>
                <w:szCs w:val="9"/>
                <w:color w:val="auto"/>
                <w:w w:val="87"/>
              </w:rPr>
              <w:t>(28)</w:t>
            </w:r>
          </w:p>
        </w:tc>
        <w:tc>
          <w:tcPr>
            <w:tcW w:w="940" w:type="dxa"/>
            <w:vAlign w:val="bottom"/>
          </w:tcPr>
          <w:p>
            <w:pPr>
              <w:jc w:val="right"/>
              <w:spacing w:after="0"/>
              <w:rPr>
                <w:sz w:val="20"/>
                <w:szCs w:val="20"/>
                <w:color w:val="auto"/>
              </w:rPr>
            </w:pPr>
            <w:r>
              <w:rPr>
                <w:rFonts w:ascii="Arial" w:cs="Arial" w:eastAsia="Arial" w:hAnsi="Arial"/>
                <w:sz w:val="14"/>
                <w:szCs w:val="14"/>
                <w:color w:val="auto"/>
              </w:rPr>
              <w:t>48.6 %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jc w:val="right"/>
              <w:ind w:right="233"/>
              <w:spacing w:after="0"/>
              <w:rPr>
                <w:sz w:val="20"/>
                <w:szCs w:val="20"/>
                <w:color w:val="auto"/>
              </w:rPr>
            </w:pPr>
            <w:r>
              <w:rPr>
                <w:rFonts w:ascii="Arial" w:cs="Arial" w:eastAsia="Arial" w:hAnsi="Arial"/>
                <w:sz w:val="9"/>
                <w:szCs w:val="9"/>
                <w:color w:val="auto"/>
                <w:w w:val="87"/>
              </w:rPr>
              <w:t>(28)</w:t>
            </w: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bl>
    <w:p>
      <w:pPr>
        <w:spacing w:after="0" w:line="88" w:lineRule="exact"/>
        <w:rPr>
          <w:sz w:val="20"/>
          <w:szCs w:val="20"/>
          <w:color w:val="auto"/>
        </w:rPr>
      </w:pPr>
    </w:p>
    <w:p>
      <w:pPr>
        <w:sectPr>
          <w:pgSz w:w="11900" w:h="16838" w:orient="portrait"/>
          <w:cols w:equalWidth="0" w:num="3">
            <w:col w:w="4620" w:space="80"/>
            <w:col w:w="2680" w:space="80"/>
            <w:col w:w="378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upon 46,939,793 shares of Class A common stock outstanding as of February 28,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address for the Selling Holder is 2929 Arch Street, Suite 1703, Philadelphia, PA 19104.</w:t>
      </w:r>
    </w:p>
    <w:p>
      <w:pPr>
        <w:spacing w:after="0" w:line="1" w:lineRule="exact"/>
        <w:rPr>
          <w:rFonts w:ascii="Arial" w:cs="Arial" w:eastAsia="Arial" w:hAnsi="Arial"/>
          <w:sz w:val="14"/>
          <w:szCs w:val="14"/>
          <w:color w:val="auto"/>
        </w:rPr>
      </w:pPr>
    </w:p>
    <w:p>
      <w:pPr>
        <w:ind w:left="340" w:right="140" w:hanging="332"/>
        <w:spacing w:after="0" w:line="246" w:lineRule="auto"/>
        <w:tabs>
          <w:tab w:leader="none" w:pos="332"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accounts are managed by direct or indirect subsidiaries of FMR LLC. FMR LLC may be deemed to beneficially own 3,750,439 shares of the Company’s Class A common stock, including on behalf of entities and accounts not listed above as Selling Holders, based on the Schedule 13G filed by FMR LLC with the SEC on February 9, 2022.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139" w:lineRule="exact"/>
        <w:rPr>
          <w:sz w:val="20"/>
          <w:szCs w:val="20"/>
          <w:color w:val="auto"/>
        </w:rPr>
      </w:pPr>
    </w:p>
    <w:p>
      <w:pPr>
        <w:ind w:left="332" w:right="20"/>
        <w:spacing w:after="0" w:line="262" w:lineRule="auto"/>
        <w:rPr>
          <w:sz w:val="20"/>
          <w:szCs w:val="20"/>
          <w:color w:val="auto"/>
        </w:rPr>
      </w:pPr>
      <w:r>
        <w:rPr>
          <w:rFonts w:ascii="Arial" w:cs="Arial" w:eastAsia="Arial" w:hAnsi="Arial"/>
          <w:sz w:val="13"/>
          <w:szCs w:val="13"/>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1" w:lineRule="exact"/>
        <w:rPr>
          <w:sz w:val="20"/>
          <w:szCs w:val="20"/>
          <w:color w:val="auto"/>
        </w:rPr>
      </w:pPr>
    </w:p>
    <w:p>
      <w:pPr>
        <w:ind w:left="332" w:right="160"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amount of shares of the Company’s Class A common stock beneficially owned by Adage Capital Partners, L.P., a Delaware limited partnership (the “Fund”) is based on a Schedule 13G/A filed by the Fund, ACPGP, AC Advisors, Robert Atchinson and Phillip Gross with the SEC on February 10, 2022. The securities to which this filing relates are held directly by the Fund. ACPGP serves as the general partner of the Fund and as such has discretion over the portfolio securities beneficially owned by the Fund. AC Advisors is the managing member of ACPGP and directs ACPGP’s operations. Robert Atchinson and Phillip Gross are the managing members of ACPGP and AC Advisors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ind w:left="332" w:right="4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Pursuant to a portfolio management agreement, Citadel Advisors LLC, an investment advisor registered under the U.S. Investment Advisers Act of 1940 (“CAL”), holds the voting and dispositive power with respect to the shares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1" w:lineRule="exact"/>
        <w:rPr>
          <w:rFonts w:ascii="Arial" w:cs="Arial" w:eastAsia="Arial" w:hAnsi="Arial"/>
          <w:sz w:val="14"/>
          <w:szCs w:val="14"/>
          <w:color w:val="auto"/>
        </w:rPr>
      </w:pPr>
    </w:p>
    <w:p>
      <w:pPr>
        <w:ind w:left="332" w:right="3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ind w:left="332"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Does not include 40,096 shares of the Company’s Class A common stock beneficially owned by ICS Opportunities, Ltd., an exempted company organized under the laws of the Cayman Islands (“ICS Opportunities”) and 800 shares of the Company’s Class A common stock beneficially owned by Integrated Assets, Ltd. (“Integrated Assets”) based on the Millennium 13G (as defined below). Millennium International Management LP, a Delaware limited partnership (“Millennium International Management”), is the investment manager to ICS Opportunities and Integrated Assets and may be deemed to have shared voting control and investment discretion over securities owned by ICS Opportunities and Integrated Assets. Millennium Management LLC, a Delaware limited liability company (“Millennium Management”), is the general partner of the managing member of Integrated Core Strategies (US) LLC, a Delaware limited liability company (“Integrated Core Strategies”) and Riverview Group LLC, a Delaware limited liability company (“Riverview Group”) and may be deemed to have shared voting control and investment discretion over securities owned by Integrated Core Strategies and Riverview Group. Millennium Management is also the general partner of the 100% owner of ICS Opportunities and Integrated Assets and may also be deemed to have shared voting control and investment discretion over securities owned by ICS Opportunities and Integrated Assets.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Integrated Assets.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Integrated Assets. The address for Integrated Core Strategies and Riverview Group is c/o Millennium Management LLC, 399 Park Avenue, New York, NY 10022.</w:t>
      </w:r>
    </w:p>
    <w:p>
      <w:pPr>
        <w:ind w:left="332" w:right="1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a Schedule 13G/A filed by Integrated Core Strategies, Riverview Group, ICS Opportunities, Integrated Assets, Millennium International Management, Millennium Management, Millennium Group Management and Mr. Englander with the SEC on February 11, 2022 (the “Millennium 13G”).</w:t>
      </w:r>
    </w:p>
    <w:p>
      <w:pPr>
        <w:ind w:left="332" w:right="80"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ind w:left="332" w:right="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Wellington Management Company LLP, a subsidiary of Wellington Management Group LLP, is the investment manager of Bay Pond Partners, L.P., Ithan Creek Master Investors (Cayman) L.P. and Bay Pond Investors (Bermuda) L.P. (the “Wellington Clients”), and has voting and investment power over the securities held by the Wellington Clients. Wellington Management Group LLP may be deemed to beneficially own 5,670,939 shares of the Company’s Class A common stock, including on behalf of entities and accounts not listed above as Selling Holders, based on a Schedule 13G/A filed with the SEC on February 4, 2022. The address for the Wellington Clients is c/o Wellington Management Company LLP, 280 Congress Street, Boston, MA 02210, Attention: Private Investment Services.</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a Schedule 13G filed by Bay Pond Partners, L.P. filed with the SEC on January 31, 2022.</w:t>
      </w:r>
    </w:p>
    <w:p>
      <w:pPr>
        <w:spacing w:after="0" w:line="1" w:lineRule="exact"/>
        <w:rPr>
          <w:rFonts w:ascii="Arial" w:cs="Arial" w:eastAsia="Arial" w:hAnsi="Arial"/>
          <w:sz w:val="14"/>
          <w:szCs w:val="14"/>
          <w:color w:val="auto"/>
        </w:rPr>
      </w:pPr>
    </w:p>
    <w:p>
      <w:pPr>
        <w:ind w:left="332" w:right="200" w:hanging="332"/>
        <w:spacing w:after="0" w:line="260"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P. Schoenfeld Asset Management LP (“PSAM”), is the investment manager of PSAM WorldArb Master Fund, Ltd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ind w:left="332" w:right="360" w:hanging="332"/>
        <w:spacing w:after="0" w:line="255"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32"/>
          </w:cols>
          <w:pgMar w:left="328" w:top="1440" w:right="339" w:bottom="1440" w:gutter="0" w:footer="0" w:header="0"/>
        </w:sectPr>
      </w:pPr>
    </w:p>
    <w:bookmarkStart w:id="172" w:name="page173"/>
    <w:bookmarkEnd w:id="172"/>
    <w:p>
      <w:pPr>
        <w:spacing w:after="0" w:line="139" w:lineRule="exact"/>
        <w:rPr>
          <w:sz w:val="20"/>
          <w:szCs w:val="20"/>
          <w:color w:val="auto"/>
        </w:rPr>
      </w:pPr>
    </w:p>
    <w:p>
      <w:pPr>
        <w:ind w:left="332" w:right="100"/>
        <w:spacing w:after="0" w:line="245" w:lineRule="auto"/>
        <w:rPr>
          <w:sz w:val="20"/>
          <w:szCs w:val="20"/>
          <w:color w:val="auto"/>
        </w:rPr>
      </w:pPr>
      <w:r>
        <w:rPr>
          <w:rFonts w:ascii="Arial" w:cs="Arial" w:eastAsia="Arial" w:hAnsi="Arial"/>
          <w:sz w:val="14"/>
          <w:szCs w:val="14"/>
          <w:color w:val="auto"/>
        </w:rPr>
        <w:t>of such securities. Nantahala Capital Management, LLC may be deemed to beneficially own 1,340,020 shares of Class A common stock in the Company, including on behalf of managed funds and accounts not listed above as Selling Holders, based on a Schedule 13G/A filed with the SEC on February 14, 2022.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ind w:left="332" w:right="8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Cohen Sponsor Interests IV, LLC is the manager of FinTech Masala Advisors IV, LLC and FinTech Investor Holdings IV, LLC.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FinTech Masala Advisors IV, LLC and FinTech Investor Holdings IV, LLC. The address for the Selling Holder is 2929 Arch Street, Suite 1703, Philadelphia, PA 19104.</w:t>
      </w:r>
    </w:p>
    <w:p>
      <w:pPr>
        <w:ind w:left="332" w:right="20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aggregate holdings of 22 members of FinTech Masala Advisors IV, LLC who are selling shares of Class A common stock in this offering and excludes certain members of FinTech Masala Advisors IV, LLC who are separately shown in this table.</w:t>
      </w: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aggregate holdings of 12 members of FinTech Investor Holdings IV, LLC who are selling shares of Class A common stock in this offering and excludes certain members of FinTech Investor Holdings IV, LLC who are separately shown in this table.</w:t>
      </w:r>
    </w:p>
    <w:p>
      <w:pPr>
        <w:ind w:left="332"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Arial" w:cs="Arial" w:eastAsia="Arial" w:hAnsi="Arial"/>
          <w:sz w:val="14"/>
          <w:szCs w:val="14"/>
          <w:color w:val="auto"/>
        </w:rPr>
      </w:pPr>
    </w:p>
    <w:p>
      <w:pPr>
        <w:ind w:left="332" w:right="8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31st Floor, New York, NY 10022.</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1" w:lineRule="exact"/>
        <w:rPr>
          <w:rFonts w:ascii="Arial" w:cs="Arial" w:eastAsia="Arial" w:hAnsi="Arial"/>
          <w:sz w:val="14"/>
          <w:szCs w:val="14"/>
          <w:color w:val="auto"/>
        </w:rPr>
      </w:pPr>
    </w:p>
    <w:p>
      <w:pPr>
        <w:ind w:left="332" w:right="2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1" w:lineRule="exact"/>
        <w:rPr>
          <w:rFonts w:ascii="Arial" w:cs="Arial" w:eastAsia="Arial" w:hAnsi="Arial"/>
          <w:sz w:val="14"/>
          <w:szCs w:val="14"/>
          <w:color w:val="auto"/>
        </w:rPr>
      </w:pPr>
    </w:p>
    <w:p>
      <w:pPr>
        <w:ind w:left="332" w:right="2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Ivan Zinn exercises voting or dispositive power over the securities held by Atalaya Special Purpose Investment Fund LP. The address for Atalaya Special Purpose Investment Fund LP is One Rockefeller Center, New York, NY 10020.</w:t>
      </w:r>
    </w:p>
    <w:p>
      <w:pPr>
        <w:ind w:left="332" w:right="10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reported securities are directly owned by Samlyn Offshore Master Fund, Ltd., Samlyn Net Neutral Master Fund, Ltd. or Samlyn Long Alpha Master Fund, Ltd., as applicable, and may be deemed to be indirectly beneficially owned by Samlyn Capital, as the investment manager of Samlyn Offshore Master Fund, Samlyn Net Neutral Master Fund and Samlyn Long Alpha Master Fund (“Samlyn Funds”), respectively. Samlyn Capital may be deemed to beneficially own 2,993,365 shares of the Company’s Class A common stock, including on behalf of funds and entities not listed above as Selling Holders, based on a Schedule 13G filed by Samlyn Capital, Samlyn, LP and Robert Pohly with the SEC on February 14, 2022 (the “Samlyn 13G”).</w:t>
      </w:r>
    </w:p>
    <w:p>
      <w:pPr>
        <w:ind w:left="332" w:right="120"/>
        <w:spacing w:after="0" w:line="241" w:lineRule="auto"/>
        <w:rPr>
          <w:rFonts w:ascii="Arial" w:cs="Arial" w:eastAsia="Arial" w:hAnsi="Arial"/>
          <w:sz w:val="13"/>
          <w:szCs w:val="13"/>
          <w:color w:val="auto"/>
        </w:rPr>
      </w:pPr>
      <w:r>
        <w:rPr>
          <w:rFonts w:ascii="Arial" w:cs="Arial" w:eastAsia="Arial" w:hAnsi="Arial"/>
          <w:sz w:val="14"/>
          <w:szCs w:val="14"/>
          <w:color w:val="auto"/>
        </w:rPr>
        <w:t>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prospectus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1" w:lineRule="exact"/>
        <w:rPr>
          <w:rFonts w:ascii="Arial" w:cs="Arial" w:eastAsia="Arial" w:hAnsi="Arial"/>
          <w:sz w:val="13"/>
          <w:szCs w:val="13"/>
          <w:color w:val="auto"/>
        </w:rPr>
      </w:pPr>
    </w:p>
    <w:p>
      <w:pPr>
        <w:ind w:left="332" w:right="2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reported securities are directly owned by Samlyn Onshore Fund, LP, and may be deemed to be indirectly beneficially owned by (i) Samlyn Capital, LLC, as the investment manager of Samlyn Onshore Fund, and (ii) Samlyn Partners, LLC (“Samlyn Partners”), as the general partner of Samlyn Onshore Fund. Samlyn Capital may be deemed to beneficially own 2,993,365 shares of the Company’s Class A common stock, including on behalf of funds and entities not listed above as Selling Holders, based on the Samlyn 13G. The reported securities may also be deemed to be indirectly beneficially owned by Robert Pohly as the principal of Samlyn Capital and Managing Member of Samlyn Partners. Samlyn Capital, Samlyn Partners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2"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jc w:val="both"/>
        <w:ind w:left="332" w:right="2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30th Floor, New York, NY 10017.</w:t>
      </w:r>
    </w:p>
    <w:p>
      <w:pPr>
        <w:ind w:left="332" w:right="260" w:hanging="332"/>
        <w:spacing w:after="0" w:line="255"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32"/>
          </w:cols>
          <w:pgMar w:left="328" w:top="1440" w:right="339" w:bottom="1440" w:gutter="0" w:footer="0" w:header="0"/>
        </w:sectPr>
      </w:pPr>
    </w:p>
    <w:bookmarkStart w:id="173" w:name="page174"/>
    <w:bookmarkEnd w:id="173"/>
    <w:p>
      <w:pPr>
        <w:spacing w:after="0" w:line="139" w:lineRule="exact"/>
        <w:rPr>
          <w:sz w:val="20"/>
          <w:szCs w:val="20"/>
          <w:color w:val="auto"/>
        </w:rPr>
      </w:pPr>
    </w:p>
    <w:p>
      <w:pPr>
        <w:ind w:left="340" w:right="120" w:hanging="332"/>
        <w:spacing w:after="0" w:line="245" w:lineRule="auto"/>
        <w:tabs>
          <w:tab w:leader="none" w:pos="33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2" w:lineRule="exact"/>
        <w:rPr>
          <w:rFonts w:ascii="Arial" w:cs="Arial" w:eastAsia="Arial" w:hAnsi="Arial"/>
          <w:sz w:val="14"/>
          <w:szCs w:val="14"/>
          <w:color w:val="auto"/>
        </w:rPr>
      </w:pPr>
    </w:p>
    <w:p>
      <w:pPr>
        <w:ind w:left="340" w:right="100" w:hanging="332"/>
        <w:spacing w:after="0" w:line="260" w:lineRule="auto"/>
        <w:tabs>
          <w:tab w:leader="none" w:pos="337"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ind w:left="340" w:right="160" w:hanging="332"/>
        <w:spacing w:after="0" w:line="255" w:lineRule="auto"/>
        <w:tabs>
          <w:tab w:leader="none" w:pos="33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Peter A. Weinberg has shared voting and dispositive power over the securities held by Red Hook Capital, LLC through his shared control over Rosedale Partners LLC, the sole member of Red Hook Capital, LLC.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Beneficial Ownership</w:t>
            </w:r>
          </w:p>
        </w:tc>
        <w:tc>
          <w:tcPr>
            <w:tcW w:w="24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Securities to be Sold in</w:t>
            </w:r>
          </w:p>
        </w:tc>
        <w:tc>
          <w:tcPr>
            <w:tcW w:w="16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0"/>
              </w:rPr>
              <w:t>Beneficial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1640" w:type="dxa"/>
            <w:vAlign w:val="bottom"/>
            <w:gridSpan w:val="3"/>
          </w:tcPr>
          <w:p>
            <w:pPr>
              <w:jc w:val="center"/>
              <w:ind w:left="481"/>
              <w:spacing w:after="0" w:line="135" w:lineRule="exact"/>
              <w:rPr>
                <w:sz w:val="20"/>
                <w:szCs w:val="20"/>
                <w:color w:val="auto"/>
              </w:rPr>
            </w:pPr>
            <w:r>
              <w:rPr>
                <w:rFonts w:ascii="Arial" w:cs="Arial" w:eastAsia="Arial" w:hAnsi="Arial"/>
                <w:sz w:val="14"/>
                <w:szCs w:val="14"/>
                <w:b w:val="1"/>
                <w:bCs w:val="1"/>
                <w:color w:val="auto"/>
                <w:w w:val="95"/>
              </w:rPr>
              <w:t>Ownership After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Before the Offering</w:t>
            </w:r>
          </w:p>
        </w:tc>
        <w:tc>
          <w:tcPr>
            <w:tcW w:w="164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93"/>
              </w:rPr>
              <w:t>the Offering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5"/>
              </w:rPr>
              <w:t>the Offering</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Selling Holder</w:t>
            </w:r>
          </w:p>
        </w:tc>
        <w:tc>
          <w:tcPr>
            <w:tcW w:w="80" w:type="dxa"/>
            <w:vAlign w:val="bottom"/>
            <w:vMerge w:val="restart"/>
          </w:tcPr>
          <w:p>
            <w:pPr>
              <w:spacing w:after="0"/>
              <w:rPr>
                <w:sz w:val="11"/>
                <w:szCs w:val="11"/>
                <w:color w:val="auto"/>
              </w:rPr>
            </w:pPr>
          </w:p>
        </w:tc>
        <w:tc>
          <w:tcPr>
            <w:tcW w:w="1380" w:type="dxa"/>
            <w:vAlign w:val="bottom"/>
            <w:tcBorders>
              <w:top w:val="single" w:sz="8" w:color="auto"/>
            </w:tcBorders>
            <w:gridSpan w:val="2"/>
          </w:tcPr>
          <w:p>
            <w:pPr>
              <w:ind w:left="320"/>
              <w:spacing w:after="0" w:line="130" w:lineRule="exact"/>
              <w:rPr>
                <w:sz w:val="20"/>
                <w:szCs w:val="20"/>
                <w:color w:val="auto"/>
              </w:rPr>
            </w:pPr>
            <w:r>
              <w:rPr>
                <w:rFonts w:ascii="Arial" w:cs="Arial" w:eastAsia="Arial" w:hAnsi="Arial"/>
                <w:sz w:val="14"/>
                <w:szCs w:val="14"/>
                <w:b w:val="1"/>
                <w:bCs w:val="1"/>
                <w:color w:val="auto"/>
              </w:rPr>
              <w:t>Number of</w:t>
            </w:r>
          </w:p>
        </w:tc>
        <w:tc>
          <w:tcPr>
            <w:tcW w:w="960" w:type="dxa"/>
            <w:vAlign w:val="bottom"/>
            <w:tcBorders>
              <w:top w:val="single" w:sz="8" w:color="auto"/>
            </w:tcBorders>
            <w:vMerge w:val="restart"/>
          </w:tcPr>
          <w:p>
            <w:pPr>
              <w:jc w:val="right"/>
              <w:ind w:right="281"/>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40" w:type="dxa"/>
            <w:vAlign w:val="bottom"/>
            <w:tcBorders>
              <w:top w:val="single" w:sz="8" w:color="auto"/>
            </w:tcBorders>
            <w:gridSpan w:val="3"/>
          </w:tcPr>
          <w:p>
            <w:pPr>
              <w:ind w:left="300"/>
              <w:spacing w:after="0" w:line="130"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vMerge w:val="restart"/>
          </w:tcPr>
          <w:p>
            <w:pPr>
              <w:jc w:val="right"/>
              <w:ind w:right="281"/>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40" w:type="dxa"/>
            <w:vAlign w:val="bottom"/>
            <w:tcBorders>
              <w:top w:val="single" w:sz="8" w:color="auto"/>
            </w:tcBorders>
            <w:gridSpan w:val="3"/>
          </w:tcPr>
          <w:p>
            <w:pPr>
              <w:jc w:val="center"/>
              <w:ind w:right="360"/>
              <w:spacing w:after="0" w:line="130"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Borders>
              <w:top w:val="single" w:sz="8" w:color="auto"/>
            </w:tcBorders>
            <w:vMerge w:val="restart"/>
          </w:tcPr>
          <w:p>
            <w:pPr>
              <w:jc w:val="right"/>
              <w:ind w:right="201"/>
              <w:spacing w:after="0" w:line="318" w:lineRule="exact"/>
              <w:rPr>
                <w:sz w:val="20"/>
                <w:szCs w:val="20"/>
                <w:color w:val="auto"/>
              </w:rPr>
            </w:pPr>
            <w:r>
              <w:rPr>
                <w:rFonts w:ascii="Arial" w:cs="Arial" w:eastAsia="Arial" w:hAnsi="Arial"/>
                <w:sz w:val="28"/>
                <w:szCs w:val="28"/>
                <w:b w:val="1"/>
                <w:bCs w:val="1"/>
                <w:color w:val="auto"/>
                <w:w w:val="94"/>
                <w:vertAlign w:val="subscript"/>
              </w:rPr>
              <w:t>%</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Certain members of FinTech Investor Holdings IV,</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153,330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LLC</w:t>
            </w:r>
            <w:r>
              <w:rPr>
                <w:rFonts w:ascii="Arial" w:cs="Arial" w:eastAsia="Arial" w:hAnsi="Arial"/>
                <w:sz w:val="23"/>
                <w:szCs w:val="23"/>
                <w:color w:val="auto"/>
                <w:vertAlign w:val="superscript"/>
              </w:rPr>
              <w:t>(2)</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FinTech Masala, LLC</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gridSpan w:val="3"/>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PSAM WorldArb Master Fund Ltd.</w:t>
            </w:r>
            <w:r>
              <w:rPr>
                <w:rFonts w:ascii="Arial" w:cs="Arial" w:eastAsia="Arial" w:hAnsi="Arial"/>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upon 7,869,975 Warrants outstanding as of February 28, 2022.</w:t>
      </w:r>
    </w:p>
    <w:p>
      <w:pPr>
        <w:spacing w:after="0" w:line="1" w:lineRule="exact"/>
        <w:rPr>
          <w:rFonts w:ascii="Arial" w:cs="Arial" w:eastAsia="Arial" w:hAnsi="Arial"/>
          <w:sz w:val="14"/>
          <w:szCs w:val="14"/>
          <w:color w:val="auto"/>
        </w:rPr>
      </w:pPr>
    </w:p>
    <w:p>
      <w:pPr>
        <w:ind w:left="340" w:right="42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the aggregate holdings of 10 members of FinTech Investor Holdings IV, LLC who are selling Private Placement Warrants in this offering and excludes certain members of FinTech Investor Holdings IV, LLC who are separately shown in this table.</w:t>
      </w: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address for the Selling Holder is 2929 Arch Street, Suite 1703, Philadelphia, PA 19104.</w:t>
      </w:r>
    </w:p>
    <w:p>
      <w:pPr>
        <w:spacing w:after="0" w:line="1" w:lineRule="exact"/>
        <w:rPr>
          <w:rFonts w:ascii="Arial" w:cs="Arial" w:eastAsia="Arial" w:hAnsi="Arial"/>
          <w:sz w:val="14"/>
          <w:szCs w:val="14"/>
          <w:color w:val="auto"/>
        </w:rPr>
      </w:pPr>
    </w:p>
    <w:p>
      <w:pPr>
        <w:ind w:left="340" w:right="380" w:hanging="332"/>
        <w:spacing w:after="0" w:line="254"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PSAM is the investment manager of WAM. Peter Schoenfeld is the CEO of PSAM. PSAM and Peter Schoenfeld have voting and investment power over the securities held directly by WAM. Each of PSAM and Peter Schoenfeld disclaim beneficial ownership of the securities reported herein except to the extent of their pecuniary interest therein. The address for P. Schoenfeld Asset Management LP is 1350 Avenue of the Americas, 21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Floor, New York, NY 10019.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the Selling Holders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Peter A. Weinberg, our Chairman and Chief Executive Officer, exercises shared control over Rosedale Partners LLC, the sole member of Red Hook Capital, LLC.</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 description of our other relationships with the Selling Holders and their affiliates see the sections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w:t>
      </w:r>
      <w:r>
        <w:rPr>
          <w:rFonts w:ascii="Arial" w:cs="Arial" w:eastAsia="Arial" w:hAnsi="Arial"/>
          <w:sz w:val="18"/>
          <w:szCs w:val="18"/>
          <w:i w:val="1"/>
          <w:iCs w:val="1"/>
          <w:color w:val="auto"/>
        </w:rPr>
        <w:t>Management</w:t>
      </w:r>
      <w:r>
        <w:rPr>
          <w:rFonts w:ascii="Arial" w:cs="Arial" w:eastAsia="Arial" w:hAnsi="Arial"/>
          <w:sz w:val="18"/>
          <w:szCs w:val="18"/>
          <w:color w:val="auto"/>
        </w:rPr>
        <w:t>” “</w:t>
      </w:r>
      <w:r>
        <w:rPr>
          <w:rFonts w:ascii="Arial" w:cs="Arial" w:eastAsia="Arial" w:hAnsi="Arial"/>
          <w:sz w:val="18"/>
          <w:szCs w:val="18"/>
          <w:i w:val="1"/>
          <w:iCs w:val="1"/>
          <w:color w:val="auto"/>
        </w:rPr>
        <w:t>Certain Relationships and Related Persons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34"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0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the Nasdaq, in the over-the-counter market or on any other national securities exchange on which our securities are listed or traded;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71"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1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130"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of our stockholders have entered into lock-up agreements or are otherwise subject to contractual transfer or exchange restrictions with respect to their securities. See “</w:t>
      </w:r>
      <w:r>
        <w:rPr>
          <w:rFonts w:ascii="Arial" w:cs="Arial" w:eastAsia="Arial" w:hAnsi="Arial"/>
          <w:sz w:val="18"/>
          <w:szCs w:val="18"/>
          <w:i w:val="1"/>
          <w:iCs w:val="1"/>
          <w:color w:val="auto"/>
        </w:rPr>
        <w:t>Securities Act Restrictions of Resale of Securities—Lock-up Agreements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320" w:top="1440" w:right="399" w:bottom="1440" w:gutter="0" w:footer="0" w:header="0"/>
        </w:sectPr>
      </w:pPr>
    </w:p>
    <w:bookmarkStart w:id="176" w:name="page177"/>
    <w:bookmarkEnd w:id="17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summary, a “</w:t>
      </w:r>
      <w:r>
        <w:rPr>
          <w:rFonts w:ascii="Arial" w:cs="Arial" w:eastAsia="Arial" w:hAnsi="Arial"/>
          <w:sz w:val="18"/>
          <w:szCs w:val="18"/>
          <w:u w:val="single" w:color="auto"/>
          <w:color w:val="auto"/>
        </w:rPr>
        <w:t>U.S. Holder</w:t>
      </w:r>
      <w:r>
        <w:rPr>
          <w:rFonts w:ascii="Arial" w:cs="Arial" w:eastAsia="Arial" w:hAnsi="Arial"/>
          <w:sz w:val="18"/>
          <w:szCs w:val="18"/>
          <w:color w:val="auto"/>
        </w:rPr>
        <w:t>” is a beneficial holder of securities who or that, for U.S. federal income tax purposes is:</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United States citizen or resident of the United States;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United States federal income tax purposes regardless of its source; or</w:t>
      </w:r>
    </w:p>
    <w:p>
      <w:pPr>
        <w:spacing w:after="0" w:line="171"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non-U.S. Holder</w:t>
      </w:r>
      <w:r>
        <w:rPr>
          <w:rFonts w:ascii="Arial" w:cs="Arial" w:eastAsia="Arial" w:hAnsi="Arial"/>
          <w:sz w:val="17"/>
          <w:szCs w:val="17"/>
          <w:color w:val="auto"/>
        </w:rPr>
        <w:t>” is a beneficial holder of securities who or that is neither a U.S. Holder nor a partnership for U.S. federal income tax purposes.</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If none of the foregoing tests is satisfied, the redemption will be treated as a corporate distribution, the tax consequences of which are described under</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Holders—Taxation of Distributions</w:t>
      </w:r>
      <w:r>
        <w:rPr>
          <w:rFonts w:ascii="Arial" w:cs="Arial" w:eastAsia="Arial" w:hAnsi="Arial"/>
          <w:sz w:val="18"/>
          <w:szCs w:val="18"/>
          <w:color w:val="auto"/>
        </w:rPr>
        <w:t>,”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a Warrant</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Expiration of a Warrant</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U.S. Holder should generally not recognize any gain or loss on a redemption of Warrants for Class A common stock described in this prospectus under “</w:t>
      </w:r>
      <w:r>
        <w:rPr>
          <w:rFonts w:ascii="Arial" w:cs="Arial" w:eastAsia="Arial" w:hAnsi="Arial"/>
          <w:sz w:val="17"/>
          <w:szCs w:val="17"/>
          <w:i w:val="1"/>
          <w:iCs w:val="1"/>
          <w:color w:val="auto"/>
        </w:rPr>
        <w:t>Description of Securities—Warrants—Public Warrants.</w:t>
      </w:r>
      <w:r>
        <w:rPr>
          <w:rFonts w:ascii="Arial" w:cs="Arial" w:eastAsia="Arial" w:hAnsi="Arial"/>
          <w:sz w:val="17"/>
          <w:szCs w:val="17"/>
          <w:color w:val="auto"/>
        </w:rPr>
        <w:t>”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320" w:top="1440" w:right="399" w:bottom="1440" w:gutter="0" w:footer="0" w:header="0"/>
        </w:sectPr>
      </w:pPr>
    </w:p>
    <w:bookmarkStart w:id="178" w:name="page179"/>
    <w:bookmarkEnd w:id="1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Securities—Warrants—Public</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An adjustment which has the effect of preventing dilution is generally not a taxable event. Nevertheless, a U.S. Holder of Warrants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Holders—Gain on Sale, Taxable Exchange or Other Taxable Disposition of Class A Common Stock and Warrants</w:t>
      </w:r>
      <w:r>
        <w:rPr>
          <w:rFonts w:ascii="Arial" w:cs="Arial" w:eastAsia="Arial" w:hAnsi="Arial"/>
          <w:sz w:val="17"/>
          <w:szCs w:val="17"/>
          <w:color w:val="auto"/>
        </w:rPr>
        <w:t>” below. In addition, if we determine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classified as a “United States real property holding corporation” (see “</w:t>
      </w:r>
      <w:r>
        <w:rPr>
          <w:rFonts w:ascii="Arial" w:cs="Arial" w:eastAsia="Arial" w:hAnsi="Arial"/>
          <w:sz w:val="17"/>
          <w:szCs w:val="17"/>
          <w:i w:val="1"/>
          <w:iCs w:val="1"/>
          <w:color w:val="auto"/>
        </w:rPr>
        <w:t>Non-U.S. Holders—Gain on Sale, Taxable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Class A Common Stock and Warrants</w:t>
      </w:r>
      <w:r>
        <w:rPr>
          <w:rFonts w:ascii="Arial" w:cs="Arial" w:eastAsia="Arial" w:hAnsi="Arial"/>
          <w:sz w:val="17"/>
          <w:szCs w:val="17"/>
          <w:color w:val="auto"/>
        </w:rPr>
        <w:t>” below), we will withhold 15% of any distribution that exceeds our current and accumulated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profits.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a Warrant</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U.S. Holders—Exercise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Holders—Gain on</w:t>
      </w:r>
      <w:r>
        <w:rPr>
          <w:rFonts w:ascii="Arial" w:cs="Arial" w:eastAsia="Arial" w:hAnsi="Arial"/>
          <w:sz w:val="18"/>
          <w:szCs w:val="18"/>
          <w:color w:val="auto"/>
        </w:rPr>
        <w:t xml:space="preserve"> </w:t>
      </w:r>
      <w:r>
        <w:rPr>
          <w:rFonts w:ascii="Arial" w:cs="Arial" w:eastAsia="Arial" w:hAnsi="Arial"/>
          <w:sz w:val="18"/>
          <w:szCs w:val="18"/>
          <w:i w:val="1"/>
          <w:iCs w:val="1"/>
          <w:color w:val="auto"/>
        </w:rPr>
        <w:t>Sale, Exchange or Other Taxable Disposition of Class A Common Stock and Warrants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Warrants for Class A Common Stock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non-U.S. Holder should generally not recognize any gain or loss on the redemption of Warrants for shares of our Class A common stock described in this prospectus under “</w:t>
      </w:r>
      <w:r>
        <w:rPr>
          <w:rFonts w:ascii="Arial" w:cs="Arial" w:eastAsia="Arial" w:hAnsi="Arial"/>
          <w:sz w:val="18"/>
          <w:szCs w:val="18"/>
          <w:i w:val="1"/>
          <w:iCs w:val="1"/>
          <w:color w:val="auto"/>
        </w:rPr>
        <w:t>Description of Securities—Warrants—Public Stockholders’ Warrants</w:t>
      </w:r>
      <w:r>
        <w:rPr>
          <w:rFonts w:ascii="Arial" w:cs="Arial" w:eastAsia="Arial" w:hAnsi="Arial"/>
          <w:sz w:val="18"/>
          <w:szCs w:val="18"/>
          <w:color w:val="auto"/>
        </w:rPr>
        <w:t>.” Accordingly, a non-U.S. Holder should not recognize any gain. Such holder’s aggregate tax basis in the shares of Class A common stock received in the redemption should equal their aggregate tax basis in the Warrants redeemed, and such holder’s holding period for the shares of Class A common stock received in redemption of the Warrants should include the holding period for the surrendered 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Class A Common Stock and Warrants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116" w:lineRule="exact"/>
        <w:rPr>
          <w:sz w:val="20"/>
          <w:szCs w:val="20"/>
          <w:color w:val="auto"/>
        </w:rPr>
      </w:pPr>
    </w:p>
    <w:p>
      <w:pPr>
        <w:ind w:left="660" w:right="80" w:hanging="328"/>
        <w:spacing w:after="0" w:line="308"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9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16" w:lineRule="exact"/>
        <w:rPr>
          <w:rFonts w:ascii="Arial" w:cs="Arial" w:eastAsia="Arial" w:hAnsi="Arial"/>
          <w:sz w:val="18"/>
          <w:szCs w:val="18"/>
          <w:color w:val="auto"/>
        </w:rPr>
      </w:pPr>
    </w:p>
    <w:p>
      <w:pPr>
        <w:ind w:left="660" w:right="20" w:hanging="328"/>
        <w:spacing w:after="0" w:line="273"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17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6"/>
          <w:szCs w:val="16"/>
          <w:i w:val="1"/>
          <w:iCs w:val="1"/>
          <w:color w:val="auto"/>
        </w:rPr>
        <w:t>Description of Securities—Warrants—Public</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An adjustment which has the effect of preventing dilution is generally not a taxable event. Nevertheless, a non-U.S. Holder of Warrants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Common Stock</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w:t>
      </w:r>
      <w:r>
        <w:rPr>
          <w:rFonts w:ascii="Arial" w:cs="Arial" w:eastAsia="Arial" w:hAnsi="Arial"/>
          <w:sz w:val="18"/>
          <w:szCs w:val="18"/>
          <w:i w:val="1"/>
          <w:iCs w:val="1"/>
          <w:color w:val="auto"/>
        </w:rPr>
        <w:t>U.S. Holders—Redemption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Class A Common Stock</w:t>
      </w:r>
      <w:r>
        <w:rPr>
          <w:rFonts w:ascii="Arial" w:cs="Arial" w:eastAsia="Arial" w:hAnsi="Arial"/>
          <w:sz w:val="18"/>
          <w:szCs w:val="18"/>
          <w:color w:val="auto"/>
        </w:rPr>
        <w:t>” above, and the consequences of the redemption to the non-U.S. Holder will be as described above under “</w:t>
      </w:r>
      <w:r>
        <w:rPr>
          <w:rFonts w:ascii="Arial" w:cs="Arial" w:eastAsia="Arial" w:hAnsi="Arial"/>
          <w:sz w:val="18"/>
          <w:szCs w:val="18"/>
          <w:i w:val="1"/>
          <w:iCs w:val="1"/>
          <w:color w:val="auto"/>
        </w:rPr>
        <w:t>Non-U.S. Holders— Taxation of Distributions</w:t>
      </w:r>
      <w:r>
        <w:rPr>
          <w:rFonts w:ascii="Arial" w:cs="Arial" w:eastAsia="Arial" w:hAnsi="Arial"/>
          <w:sz w:val="18"/>
          <w:szCs w:val="18"/>
          <w:color w:val="auto"/>
        </w:rPr>
        <w:t>” and “</w:t>
      </w:r>
      <w:r>
        <w:rPr>
          <w:rFonts w:ascii="Arial" w:cs="Arial" w:eastAsia="Arial" w:hAnsi="Arial"/>
          <w:sz w:val="18"/>
          <w:szCs w:val="18"/>
          <w:i w:val="1"/>
          <w:iCs w:val="1"/>
          <w:color w:val="auto"/>
        </w:rPr>
        <w:t>Non-U.S. Holders—Gain on Sale, Exchange or Other Taxable Disposition of Class A Common Stock and Warrants</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consolidated financial statements of Perella Weinberg Partners as of December 31, 2021 and 2020, and for each of the three years in the period ended December 31, 2021,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0" w:type="dxa"/>
            <w:vAlign w:val="bottom"/>
            <w:gridSpan w:val="7"/>
          </w:tcPr>
          <w:p>
            <w:pPr>
              <w:ind w:left="40"/>
              <w:spacing w:after="0"/>
              <w:rPr>
                <w:sz w:val="20"/>
                <w:szCs w:val="20"/>
                <w:color w:val="auto"/>
              </w:rPr>
            </w:pPr>
            <w:r>
              <w:rPr>
                <w:rFonts w:ascii="Arial" w:cs="Arial" w:eastAsia="Arial" w:hAnsi="Arial"/>
                <w:sz w:val="18"/>
                <w:szCs w:val="18"/>
                <w:b w:val="1"/>
                <w:bCs w:val="1"/>
                <w:color w:val="auto"/>
              </w:rPr>
              <w:t>INDEX TO CONSOLIDATED FINANCIAL INFORMATION</w:t>
            </w:r>
          </w:p>
        </w:tc>
        <w:tc>
          <w:tcPr>
            <w:tcW w:w="240" w:type="dxa"/>
            <w:vAlign w:val="bottom"/>
          </w:tcPr>
          <w:p>
            <w:pPr>
              <w:spacing w:after="0"/>
              <w:rPr>
                <w:sz w:val="20"/>
                <w:szCs w:val="20"/>
                <w:color w:val="auto"/>
              </w:rPr>
            </w:pPr>
          </w:p>
        </w:tc>
      </w:tr>
      <w:tr>
        <w:trPr>
          <w:trHeight w:val="41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 of Perella Weinberg Partners and subsidiaries</w:t>
            </w:r>
          </w:p>
        </w:tc>
        <w:tc>
          <w:tcPr>
            <w:tcW w:w="240" w:type="dxa"/>
            <w:vAlign w:val="bottom"/>
          </w:tcPr>
          <w:p>
            <w:pPr>
              <w:spacing w:after="0"/>
              <w:rPr>
                <w:sz w:val="24"/>
                <w:szCs w:val="24"/>
                <w:color w:val="auto"/>
              </w:rPr>
            </w:pPr>
          </w:p>
        </w:tc>
      </w:tr>
      <w:tr>
        <w:trPr>
          <w:trHeight w:val="392"/>
        </w:trPr>
        <w:tc>
          <w:tcPr>
            <w:tcW w:w="10960" w:type="dxa"/>
            <w:vAlign w:val="bottom"/>
            <w:gridSpan w:val="9"/>
          </w:tcPr>
          <w:p>
            <w:pPr>
              <w:spacing w:after="0"/>
              <w:rPr>
                <w:sz w:val="20"/>
                <w:szCs w:val="20"/>
                <w:color w:val="auto"/>
              </w:rPr>
            </w:pPr>
            <w:r>
              <w:rPr>
                <w:rFonts w:ascii="Arial" w:cs="Arial" w:eastAsia="Arial" w:hAnsi="Arial"/>
                <w:sz w:val="18"/>
                <w:szCs w:val="18"/>
                <w:color w:val="auto"/>
              </w:rPr>
              <w:t>Audited Consolidated Financial Statements</w:t>
            </w:r>
          </w:p>
        </w:tc>
        <w:tc>
          <w:tcPr>
            <w:tcW w:w="240" w:type="dxa"/>
            <w:vAlign w:val="bottom"/>
          </w:tcPr>
          <w:p>
            <w:pPr>
              <w:spacing w:after="0"/>
              <w:rPr>
                <w:sz w:val="24"/>
                <w:szCs w:val="24"/>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960" w:type="dxa"/>
            <w:vAlign w:val="bottom"/>
            <w:gridSpan w:val="9"/>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Report of Independent Registered Public Accounting Firm</w:t>
              </w:r>
            </w:hyperlink>
          </w:p>
        </w:tc>
        <w:tc>
          <w:tcPr>
            <w:tcW w:w="240" w:type="dxa"/>
            <w:vAlign w:val="bottom"/>
          </w:tcPr>
          <w:p>
            <w:pPr>
              <w:spacing w:after="0"/>
              <w:rPr>
                <w:rFonts w:ascii="Arial" w:cs="Arial" w:eastAsia="Arial" w:hAnsi="Arial"/>
                <w:sz w:val="18"/>
                <w:szCs w:val="18"/>
                <w:color w:val="0000FF"/>
                <w:w w:val="81"/>
              </w:rPr>
            </w:pPr>
            <w:hyperlink w:anchor="page183">
              <w:r>
                <w:rPr>
                  <w:rFonts w:ascii="Arial" w:cs="Arial" w:eastAsia="Arial" w:hAnsi="Arial"/>
                  <w:sz w:val="18"/>
                  <w:szCs w:val="18"/>
                  <w:color w:val="0000FF"/>
                  <w:w w:val="81"/>
                </w:rPr>
                <w:t>F-2</w:t>
              </w:r>
            </w:hyperlink>
          </w:p>
        </w:tc>
      </w:tr>
      <w:tr>
        <w:trPr>
          <w:trHeight w:val="20"/>
        </w:trPr>
        <w:tc>
          <w:tcPr>
            <w:tcW w:w="3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960" w:type="dxa"/>
            <w:vAlign w:val="bottom"/>
            <w:gridSpan w:val="9"/>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Consolidated Statements of Financial Condition as of December 31, 2021 and 2020</w:t>
              </w:r>
            </w:hyperlink>
          </w:p>
        </w:tc>
        <w:tc>
          <w:tcPr>
            <w:tcW w:w="240" w:type="dxa"/>
            <w:vAlign w:val="bottom"/>
          </w:tcPr>
          <w:p>
            <w:pPr>
              <w:spacing w:after="0"/>
              <w:rPr>
                <w:rFonts w:ascii="Arial" w:cs="Arial" w:eastAsia="Arial" w:hAnsi="Arial"/>
                <w:sz w:val="18"/>
                <w:szCs w:val="18"/>
                <w:color w:val="0000FF"/>
                <w:w w:val="81"/>
              </w:rPr>
            </w:pPr>
            <w:hyperlink w:anchor="page185">
              <w:r>
                <w:rPr>
                  <w:rFonts w:ascii="Arial" w:cs="Arial" w:eastAsia="Arial" w:hAnsi="Arial"/>
                  <w:sz w:val="18"/>
                  <w:szCs w:val="18"/>
                  <w:color w:val="0000FF"/>
                  <w:w w:val="81"/>
                </w:rPr>
                <w:t>F-3</w:t>
              </w:r>
            </w:hyperlink>
          </w:p>
        </w:tc>
      </w:tr>
      <w:tr>
        <w:trPr>
          <w:trHeight w:val="20"/>
        </w:trPr>
        <w:tc>
          <w:tcPr>
            <w:tcW w:w="3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960" w:type="dxa"/>
            <w:vAlign w:val="bottom"/>
            <w:gridSpan w:val="9"/>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Consolidated Statements of Operations for the Years Ended December 31, 2021, 2020 and 2019</w:t>
              </w:r>
            </w:hyperlink>
          </w:p>
        </w:tc>
        <w:tc>
          <w:tcPr>
            <w:tcW w:w="240" w:type="dxa"/>
            <w:vAlign w:val="bottom"/>
          </w:tcPr>
          <w:p>
            <w:pPr>
              <w:spacing w:after="0"/>
              <w:rPr>
                <w:rFonts w:ascii="Arial" w:cs="Arial" w:eastAsia="Arial" w:hAnsi="Arial"/>
                <w:sz w:val="18"/>
                <w:szCs w:val="18"/>
                <w:color w:val="0000FF"/>
                <w:w w:val="81"/>
              </w:rPr>
            </w:pPr>
            <w:hyperlink w:anchor="page185">
              <w:r>
                <w:rPr>
                  <w:rFonts w:ascii="Arial" w:cs="Arial" w:eastAsia="Arial" w:hAnsi="Arial"/>
                  <w:sz w:val="18"/>
                  <w:szCs w:val="18"/>
                  <w:color w:val="0000FF"/>
                  <w:w w:val="81"/>
                </w:rPr>
                <w:t>F-4</w:t>
              </w:r>
            </w:hyperlink>
          </w:p>
        </w:tc>
      </w:tr>
      <w:tr>
        <w:trPr>
          <w:trHeight w:val="20"/>
        </w:trPr>
        <w:tc>
          <w:tcPr>
            <w:tcW w:w="3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83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86">
              <w:r>
                <w:rPr>
                  <w:rFonts w:ascii="Arial" w:cs="Arial" w:eastAsia="Arial" w:hAnsi="Arial"/>
                  <w:sz w:val="18"/>
                  <w:szCs w:val="18"/>
                  <w:color w:val="0000FF"/>
                  <w:w w:val="89"/>
                </w:rPr>
                <w:t>Consolidated Statements of Comprehensive Income (Loss) for the Years Ended December 31, 2021, 2020 and 2019</w:t>
              </w:r>
            </w:hyperlink>
          </w:p>
        </w:tc>
        <w:tc>
          <w:tcPr>
            <w:tcW w:w="2620" w:type="dxa"/>
            <w:vAlign w:val="bottom"/>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F-5</w:t>
              </w:r>
            </w:hyperlink>
          </w:p>
        </w:tc>
      </w:tr>
      <w:tr>
        <w:trPr>
          <w:trHeight w:val="210"/>
        </w:trPr>
        <w:tc>
          <w:tcPr>
            <w:tcW w:w="75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Consolidated Statements of Changes in Equity for the Years Ended December 31, 2021, 2020, and 2019</w:t>
              </w:r>
            </w:hyperlink>
          </w:p>
        </w:tc>
        <w:tc>
          <w:tcPr>
            <w:tcW w:w="3460" w:type="dxa"/>
            <w:vAlign w:val="bottom"/>
            <w:gridSpan w:val="2"/>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87">
              <w:r>
                <w:rPr>
                  <w:rFonts w:ascii="Arial" w:cs="Arial" w:eastAsia="Arial" w:hAnsi="Arial"/>
                  <w:sz w:val="18"/>
                  <w:szCs w:val="18"/>
                  <w:color w:val="0000FF"/>
                  <w:w w:val="81"/>
                </w:rPr>
                <w:t>F-6</w:t>
              </w:r>
            </w:hyperlink>
          </w:p>
        </w:tc>
      </w:tr>
      <w:tr>
        <w:trPr>
          <w:trHeight w:val="210"/>
        </w:trPr>
        <w:tc>
          <w:tcPr>
            <w:tcW w:w="10960" w:type="dxa"/>
            <w:vAlign w:val="bottom"/>
            <w:gridSpan w:val="9"/>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Consolidated Statements of Cash Flows for the Years Ended December 31, 2021, 2020, and 2019</w:t>
              </w:r>
            </w:hyperlink>
          </w:p>
        </w:tc>
        <w:tc>
          <w:tcPr>
            <w:tcW w:w="240" w:type="dxa"/>
            <w:vAlign w:val="bottom"/>
          </w:tcPr>
          <w:p>
            <w:pPr>
              <w:spacing w:after="0"/>
              <w:rPr>
                <w:rFonts w:ascii="Arial" w:cs="Arial" w:eastAsia="Arial" w:hAnsi="Arial"/>
                <w:sz w:val="18"/>
                <w:szCs w:val="18"/>
                <w:color w:val="0000FF"/>
                <w:w w:val="81"/>
              </w:rPr>
            </w:pPr>
            <w:hyperlink w:anchor="page188">
              <w:r>
                <w:rPr>
                  <w:rFonts w:ascii="Arial" w:cs="Arial" w:eastAsia="Arial" w:hAnsi="Arial"/>
                  <w:sz w:val="18"/>
                  <w:szCs w:val="18"/>
                  <w:color w:val="0000FF"/>
                  <w:w w:val="81"/>
                </w:rPr>
                <w:t>F-7</w:t>
              </w:r>
            </w:hyperlink>
          </w:p>
        </w:tc>
      </w:tr>
      <w:tr>
        <w:trPr>
          <w:trHeight w:val="209"/>
        </w:trPr>
        <w:tc>
          <w:tcPr>
            <w:tcW w:w="3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89">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4"/>
          </w:tcPr>
          <w:p>
            <w:pPr>
              <w:spacing w:after="0"/>
              <w:rPr>
                <w:sz w:val="18"/>
                <w:szCs w:val="18"/>
                <w:color w:val="auto"/>
              </w:rPr>
            </w:pPr>
          </w:p>
        </w:tc>
        <w:tc>
          <w:tcPr>
            <w:tcW w:w="3960" w:type="dxa"/>
            <w:vAlign w:val="bottom"/>
            <w:gridSpan w:val="3"/>
          </w:tcPr>
          <w:p>
            <w:pPr>
              <w:spacing w:after="0"/>
              <w:rPr>
                <w:sz w:val="18"/>
                <w:szCs w:val="18"/>
                <w:color w:val="auto"/>
              </w:rPr>
            </w:pPr>
          </w:p>
        </w:tc>
        <w:tc>
          <w:tcPr>
            <w:tcW w:w="240" w:type="dxa"/>
            <w:vAlign w:val="bottom"/>
            <w:tcBorders>
              <w:top w:val="single" w:sz="8" w:color="0000FF"/>
              <w:bottom w:val="single" w:sz="8" w:color="0000FF"/>
            </w:tcBorders>
          </w:tcPr>
          <w:p>
            <w:pPr>
              <w:spacing w:after="0"/>
              <w:rPr>
                <w:rFonts w:ascii="Arial" w:cs="Arial" w:eastAsia="Arial" w:hAnsi="Arial"/>
                <w:sz w:val="18"/>
                <w:szCs w:val="18"/>
                <w:color w:val="0000FF"/>
                <w:w w:val="81"/>
              </w:rPr>
            </w:pPr>
            <w:hyperlink w:anchor="page189">
              <w:r>
                <w:rPr>
                  <w:rFonts w:ascii="Arial" w:cs="Arial" w:eastAsia="Arial" w:hAnsi="Arial"/>
                  <w:sz w:val="18"/>
                  <w:szCs w:val="18"/>
                  <w:color w:val="0000FF"/>
                  <w:w w:val="81"/>
                </w:rPr>
                <w:t>F-8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340" w:top="1440" w:right="359" w:bottom="1440" w:gutter="0" w:footer="0" w:header="0"/>
        </w:sectPr>
      </w:pPr>
    </w:p>
    <w:bookmarkStart w:id="183" w:name="page184"/>
    <w:bookmarkEnd w:id="183"/>
    <w:p>
      <w:pPr>
        <w:spacing w:after="0" w:line="140" w:lineRule="exact"/>
        <w:rPr>
          <w:sz w:val="20"/>
          <w:szCs w:val="20"/>
          <w:color w:val="auto"/>
        </w:rPr>
      </w:pPr>
    </w:p>
    <w:p>
      <w:pPr>
        <w:ind w:right="3320" w:firstLine="3364"/>
        <w:spacing w:after="0" w:line="42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Perella Weinberg Partners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Perella Weinberg Partners (the “Company”) as of December 31, 2021 and 2020, the related consolidated statements of comprehensive income (loss), changes in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-445135</wp:posOffset>
            </wp:positionV>
            <wp:extent cx="17145"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502,773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A common stock, par value $0.0001 per share (1,500,000,000 shares authorized, 43,649,319 issued</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and 42,649,319 outstanding at December 31, 2021)</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December 31, 2021)</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158,131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of Class A common stock at December 31, 2021)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Perella Weinberg Partners equity / Partners’ capital</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6"/>
                <w:szCs w:val="16"/>
                <w:b w:val="1"/>
                <w:bCs w:val="1"/>
                <w:color w:val="auto"/>
              </w:rPr>
              <w:t xml:space="preserve">Net income (loss) per share attributable to Class A common shareholders </w:t>
            </w:r>
            <w:r>
              <w:rPr>
                <w:rFonts w:ascii="Arial" w:cs="Arial" w:eastAsia="Arial" w:hAnsi="Arial"/>
                <w:sz w:val="21"/>
                <w:szCs w:val="21"/>
                <w:b w:val="1"/>
                <w:bCs w:val="1"/>
                <w:color w:val="auto"/>
                <w:vertAlign w:val="superscript"/>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xml:space="preserve">Weighted-average shares of Class A common stock outstanding </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42,595,712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48"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15—Net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12,883</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620" w:type="dxa"/>
            <w:vAlign w:val="bottom"/>
            <w:gridSpan w:val="2"/>
            <w:vMerge w:val="continue"/>
          </w:tcPr>
          <w:p>
            <w:pPr>
              <w:spacing w:after="0"/>
              <w:rPr>
                <w:sz w:val="9"/>
                <w:szCs w:val="9"/>
                <w:color w:val="auto"/>
              </w:rPr>
            </w:pPr>
          </w:p>
        </w:tc>
        <w:tc>
          <w:tcPr>
            <w:tcW w:w="6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99,176</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92,519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(164,019)</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(164,019)</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5"/>
              </w:rPr>
              <w:t>193,299</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193,299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(38,376)</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(38,376)</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0" w:type="dxa"/>
            <w:vAlign w:val="bottom"/>
          </w:tcPr>
          <w:p>
            <w:pPr>
              <w:spacing w:after="0"/>
              <w:rPr>
                <w:sz w:val="1"/>
                <w:szCs w:val="1"/>
                <w:color w:val="auto"/>
              </w:rPr>
            </w:pPr>
          </w:p>
        </w:tc>
      </w:tr>
      <w:tr>
        <w:trPr>
          <w:trHeight w:val="36"/>
        </w:trPr>
        <w:tc>
          <w:tcPr>
            <w:tcW w:w="23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87,725</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New accounting pronouncement adoption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(24,342)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(24,342)</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24,815</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24,815</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(11,989)</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(11,989)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488</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488</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3,494</w:t>
            </w:r>
          </w:p>
        </w:tc>
        <w:tc>
          <w:tcPr>
            <w:tcW w:w="0" w:type="dxa"/>
            <w:vAlign w:val="bottom"/>
          </w:tcPr>
          <w:p>
            <w:pPr>
              <w:spacing w:after="0"/>
              <w:rPr>
                <w:sz w:val="1"/>
                <w:szCs w:val="1"/>
                <w:color w:val="auto"/>
              </w:rPr>
            </w:pPr>
          </w:p>
        </w:tc>
      </w:tr>
      <w:tr>
        <w:trPr>
          <w:trHeight w:val="147"/>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76,509</w:t>
            </w: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96"/>
              </w:rPr>
              <w:t>Net income (loss)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59,857</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59,857</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Equity-based compensation prior to Business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11,761</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11,761</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w w:val="99"/>
              </w:rPr>
              <w:t>Foreign currency translation gain (loss) prior to</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Business Combination</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Distributions to partners prior to Business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(47,389)</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(47,389)</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Effect of Business Combination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(101,112)</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42,956,667</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50,154,199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154,619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(46,413)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(55,834)</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w w:val="94"/>
              </w:rPr>
              <w:t>Equity-based awards after Business Combination</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45,594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39,678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85,272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rPr>
              <w:t>Distributions to partners after Business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0" w:type="dxa"/>
            <w:vAlign w:val="bottom"/>
          </w:tcPr>
          <w:p>
            <w:pPr>
              <w:spacing w:after="0"/>
              <w:rPr>
                <w:sz w:val="1"/>
                <w:szCs w:val="1"/>
                <w:color w:val="auto"/>
              </w:rPr>
            </w:pPr>
          </w:p>
        </w:tc>
      </w:tr>
      <w:tr>
        <w:trPr>
          <w:trHeight w:val="154"/>
        </w:trPr>
        <w:tc>
          <w:tcPr>
            <w:tcW w:w="2340" w:type="dxa"/>
            <w:vAlign w:val="bottom"/>
          </w:tcPr>
          <w:p>
            <w:pPr>
              <w:ind w:left="60"/>
              <w:spacing w:after="0"/>
              <w:rPr>
                <w:sz w:val="20"/>
                <w:szCs w:val="20"/>
                <w:color w:val="auto"/>
              </w:rPr>
            </w:pPr>
            <w:r>
              <w:rPr>
                <w:rFonts w:ascii="Arial" w:cs="Arial" w:eastAsia="Arial" w:hAnsi="Arial"/>
                <w:sz w:val="11"/>
                <w:szCs w:val="11"/>
                <w:color w:val="auto"/>
              </w:rPr>
              <w:t>Liability awards reclassification to equity</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88"/>
              </w:rPr>
              <w:t>Issuance of Class A common stock for vested RSUs</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692,652</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340" w:type="dxa"/>
            <w:vAlign w:val="bottom"/>
          </w:tcPr>
          <w:p>
            <w:pPr>
              <w:ind w:left="6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(10,462)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w w:val="98"/>
              </w:rPr>
              <w:t>Dividends declared ($0.14 per share of Class A</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common stock)</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(8,654)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(8,424)</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Foreign currency translation gain (loss) after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Business Combination</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1,803</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7"/>
              </w:rPr>
              <w:t>43,649,319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7"/>
              </w:rPr>
              <w:t>50,154,199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145,033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271,352</w:t>
            </w: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4,023</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(164,019)</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Equity-based awards vesting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193,299</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discounts and deferred financing costs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Change in fair value of warrant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operating lease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Bad debt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(increase) in operating 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Accounts receivable, net of allowance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Due from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103,851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(148,421)</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compensation programs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Accounts payable, accrued expenses and other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Lease liabilities</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(15,416)</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234,908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85,907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(106,107)</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Distributions from company-owned life insurance policies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Purchases of fixed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(used in) investing activities</w:t>
            </w:r>
          </w:p>
        </w:tc>
        <w:tc>
          <w:tcPr>
            <w:tcW w:w="9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Proceeds from Business Combination, including PIPE Investment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Business Combination costs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Draw down of Revolving Credit Facility</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Principal payment on Revolving Credit Facility</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Redemption of Convertible Notes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(160,930)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Redemption of partners’ interests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(104,540)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Distributions to partners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Dividends paid</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Withholding payments for vested RSUs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Treasury stock purchases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Debt issuance costs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Partner Promissory Note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86"/>
        </w:trPr>
        <w:tc>
          <w:tcPr>
            <w:tcW w:w="6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(21,989)</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(30,213)</w:t>
            </w: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(141,949)</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408,531</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504,775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activity</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6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Liability awards reclassification to equity</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Dividends declared and unpaid</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2,664</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 arising from obtaining right-of-use lease assets</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Net assets of deconsolidated affiliate</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394</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12,547</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21" w:right="339" w:bottom="1440" w:gutter="0" w:footer="0" w:header="0"/>
          <w:type w:val="continuous"/>
        </w:sectPr>
      </w:pPr>
    </w:p>
    <w:bookmarkStart w:id="189" w:name="page190"/>
    <w:bookmarkEnd w:id="189"/>
    <w:p>
      <w:pPr>
        <w:jc w:val="center"/>
        <w:ind w:right="-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Nature of Business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(the “TPH Business Combination”).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320" w:top="121" w:right="37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Separation in February 2019, assets and liabilities held by PWP Group were for both the Advisory and Asset Management businesses.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the year ended December 31, 2019.</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Consolidated Statements of Comprehensive Income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17—Related Party Transactions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Estimates and the assumptions underlying these estimates are reviewed periodically, and the effects of revisions are reflected in the period in which they are determined to be necessary.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of amount due pursuant to the tax receivable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and timing of revenue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left="100" w:right="32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December 31, 2021 and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left="100" w:right="20"/>
        <w:spacing w:after="0" w:line="308"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2021 and 2020, the Company had restricted cash of $2.0 million and $1.8 million, respectively, maintained as collateral for letters of credit related to certain office leases.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reconciliation of the Company’s cash, cash equivalents and restricted cash as of December 31, 2021 and 2020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502,773</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329,063</w:t>
            </w:r>
          </w:p>
        </w:tc>
      </w:tr>
      <w:tr>
        <w:trPr>
          <w:trHeight w:val="229"/>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2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504,775</w:t>
            </w: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330,908</w:t>
            </w: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left="100" w:right="80"/>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2021 and 2020, $2.5 million and $5.1 million of accrued revenue, respectively, was included in Accounts receivable, net of allowance for credit losses on the Consolidated Statements of Financial Condition. These amounts represent amounts due from clients and recognized as revenue in accordance with the Company’s revenue recognition policies but unbilled at the end of the period.</w:t>
      </w:r>
    </w:p>
    <w:p>
      <w:pPr>
        <w:spacing w:after="0" w:line="134"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2021, certain accounts receivable in the aggregate amount of $13.6 million, were individually greater than 10% of the Company’s gross accounts receivable and were concentrated with two clients. Of that amount, $6.7 million was subsequently received after year end. As of December 31, 2020, no accounts receivable were individually greater than 10% of the Company’s total gross accounts receivable.</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left="100" w:right="18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(“ASU 2016-13”) </w:t>
      </w:r>
      <w:r>
        <w:rPr>
          <w:rFonts w:ascii="Arial" w:cs="Arial" w:eastAsia="Arial" w:hAnsi="Arial"/>
          <w:sz w:val="17"/>
          <w:szCs w:val="17"/>
          <w:color w:val="auto"/>
        </w:rPr>
        <w:t>under the modified retrospective approach. This new standard replaces the incurred loss impairment methodology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the current expected credit loss (“CECL”) model which requires an estimate of future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20" w:top="121" w:right="3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2021 and December 31, 2020, the net assets of PWP OpCo were $268.5 million and $74.2 million, respectively. As of December 31, 2021 and December 31, 2020, the Company did not consolidate any VIEs other than PWP OpCo that were deemed material to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Consolidated Statements of Financial Condition. The Company reflects its share of income and losses of the investee in Other income (expense) on the Consolidated Statements of Operations using the most recently available earnings data for the reporting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carrying values of the Company’s financial instruments approximate their fair value as of December 31, 2021 and 2020 due to their short-term nature or the bearing of market interest rates. Refer to Note 16—Fair Value Measurements and Investments for discussion on the fair value of the Company’s assets and liabilities that qualify as financial instruments under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Generally, the majority of Prepaid expenses and other assets consists of prepaid expenses. Prepaid expenses relate to various services, including subscriptions, software licenses and insurance, which are amortized over the life, related service period or policy.</w:t>
      </w:r>
    </w:p>
    <w:p>
      <w:pPr>
        <w:spacing w:after="0" w:line="9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When applicable, deferred offering costs are also presented within Prepaid expenses and other assets. As of December 31, 2020, cumulative offering costs of $9.1 million were deferred in relation to the Business Combination and were netted against proceeds of the Business Combination on the Closing Date. Prior to the Business Combination, the Company had deferred $14.8 million of costs associated with its pursuit of a traditional initial public offering, but upon termination of this process in May 2020, expensed this amount to Professional fees on the Consolidated Statements of Operations.</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Prepaid expenses and other assets included deferred offering costs of $0.9 million related to a primary offering of shares of its Class A common stock. Refer to Note 20—Subsequent Events for additional information regarding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evaluated the public and private warrants under ASC Topic 815, Derivatives and Hedging (“ASC 815”), and concluded that they do not meet the criteria to be classified as equity in the Consolidated Statements of Financial Condition. Since the public and private warrants meet the definition of a derivative under ASC 815, the Company recorded these warrants as liabilities at fair value upon the closing of the Business Combination in accordance with ASC 820, Fair Value Measurement, with subsequent changes in their respective fair values recorded in Change in fair value of warrant liabilities on the Consolidated Statements of Operations and on the Consolidated Statements of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the Business Combination as described in Note 3—Business Combination, PWP entered into a tax receivable agreement with PWP OpCo, Professional Partners and ILPs under which PWP agreed to payment of 85% of the amount of savings, if any, that PWP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Management’s best estimate of the amounts expected to be owed in connection with the tax receivable agreement at each reporting date are reported within the Amount due pursuant to tax receivable agreement on the Consolidated Statements of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3"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w:t>
      </w:r>
    </w:p>
    <w:p>
      <w:pPr>
        <w:spacing w:after="0" w:line="2" w:lineRule="exact"/>
        <w:rPr>
          <w:sz w:val="20"/>
          <w:szCs w:val="20"/>
          <w:color w:val="auto"/>
        </w:rPr>
      </w:pPr>
    </w:p>
    <w:p>
      <w:pPr>
        <w:ind w:firstLine="8"/>
        <w:spacing w:after="0" w:line="255"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14—Other Compensation and Benefits for further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5—Leases for further information regarding leases that fall under ASC Topic 842, Leases (“ASC 842”).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Taxes are accounted for using the asset and liability method of accounting pursuant to ASC Topic 740, Income Taxes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business, the Company may enter into transactions not denominated in U.S. dollars. Foreign exchange gains and losses arising from such transactions are included in Other income (expense) in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4—Revenue and Receivables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 Refer to Note 14—Other Compensation and Benefits for further information.</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Non-controlling interests are presented as a separate component of equity on the Consolidated Statements of Financial Condition. Net income (loss) includes the net income (loss) attributable to the holders of the non-controlling interests on the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Equity-Based Compensation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income (loss) consists of Net income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5—Leases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—In June 2016, the FASB issued ASU 2016-13. ASU 2016-13 provides amendments to ASC Topic 326,</w:t>
      </w:r>
      <w:r>
        <w:rPr>
          <w:rFonts w:ascii="Arial" w:cs="Arial" w:eastAsia="Arial" w:hAnsi="Arial"/>
          <w:sz w:val="17"/>
          <w:szCs w:val="17"/>
          <w:i w:val="1"/>
          <w:iCs w:val="1"/>
          <w:color w:val="auto"/>
        </w:rPr>
        <w:t xml:space="preserve"> Financial Instruments – Credit Losses</w:t>
      </w:r>
      <w:r>
        <w:rPr>
          <w:rFonts w:ascii="Arial" w:cs="Arial" w:eastAsia="Arial" w:hAnsi="Arial"/>
          <w:sz w:val="17"/>
          <w:szCs w:val="17"/>
          <w:color w:val="auto"/>
        </w:rPr>
        <w:t>, which amend the guidance on the impairment of financial instruments and adds an impairment model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that is based on expected losses rather than incurred losses. Entities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 changes to U.S. GAAP that are not yet effective are expected to have a material effect on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20" w:hanging="328"/>
        <w:spacing w:after="0" w:line="286"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40" w:hanging="328"/>
        <w:spacing w:after="0" w:line="259"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21" w:right="35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the Closing Date,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Professional Partners and the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3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Concurrent with the Closing, the Company entered into certain other related agreements which are discussed further in </w:t>
      </w:r>
      <w:r>
        <w:rPr>
          <w:rFonts w:ascii="Arial" w:cs="Arial" w:eastAsia="Arial" w:hAnsi="Arial"/>
          <w:sz w:val="18"/>
          <w:szCs w:val="18"/>
          <w:b w:val="1"/>
          <w:bCs w:val="1"/>
          <w:color w:val="auto"/>
        </w:rPr>
        <w:t>Note 11—Stockholders' Equity</w:t>
      </w:r>
      <w:r>
        <w:rPr>
          <w:rFonts w:ascii="Arial" w:cs="Arial" w:eastAsia="Arial" w:hAnsi="Arial"/>
          <w:sz w:val="18"/>
          <w:szCs w:val="18"/>
          <w:color w:val="auto"/>
        </w:rPr>
        <w:t xml:space="preserve"> and Note 17—Related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 and Receivables from Contracts with Customers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 Reimbursable expenses billed to clients was $5.0 million, $6.5 million, and $6.7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21" w:right="35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December 31, 2021, the aggregate amount of the transaction price allocated to performance obligations yet to be satisfied is $6.4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years ended December 31, 2021, 2020, and 2019, the Company recognized revenue of $313.2 million, $177.4 million, and $217.9 million, respectively, related to performance obligations that were satisfied or partially satisfied in prior periods, mainly due to constraints on variable consideration in prior periods being resolved for transaction-related advisory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2021 and 2020, the Company recorded $7.8 million and $10.6 million, respectively, for these contract liabilities which are presented as Deferred revenue on the Consolidated Statements of Financial Condition. For the years ended December 31, 2021, 2020, and 2019, $10.6 million, $1.7 million and $1.6 million, respectively, of the respective beginning deferred revenue balance was recognized as revenue and was primarily related to the Company’s transaction-related advisory services performance obligations that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years ended December 31,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320" w:hanging="332"/>
        <w:spacing w:after="0" w:line="358" w:lineRule="auto"/>
        <w:tabs>
          <w:tab w:leader="none" w:pos="332" w:val="left"/>
        </w:tabs>
        <w:numPr>
          <w:ilvl w:val="0"/>
          <w:numId w:val="92"/>
        </w:numPr>
        <w:rPr>
          <w:rFonts w:ascii="Arial" w:cs="Arial" w:eastAsia="Arial" w:hAnsi="Arial"/>
          <w:sz w:val="13"/>
          <w:szCs w:val="13"/>
          <w:color w:val="auto"/>
        </w:rPr>
      </w:pPr>
      <w:r>
        <w:rPr>
          <w:rFonts w:ascii="Arial" w:cs="Arial" w:eastAsia="Arial" w:hAnsi="Arial"/>
          <w:sz w:val="13"/>
          <w:szCs w:val="13"/>
          <w:color w:val="auto"/>
        </w:rPr>
        <w:t>Beginning balance for the year ended December 31, 2020 includes the cumulative adjustment of approximately $0.2 million which reflects the increase in the Company’s allowance for credit losses upon adoption of ASU 2016-13 and the CECL model on January 1, 2020. See Note 2—Summary of Significant Accounting Policies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 of ASC 842).</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conjunction with the Separation, the Company entered into sublease agreements for a portion of its Houston and New York office space with PWP Capital Holdings LP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During the year ended December 31, 2021, the Houston sublease was terminated, and the New York sublease was modified to extend the term and reduce the subleased space. See additional information regarding these subleases in Note 17—Related Party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New Leases and Lease Modifications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an increase of $12.9 million and a corresponding increase to the right-of-use asset as well as a $0.1 million gain, which was recognized as Other income (expense) on the Consolidated Statements of Operations.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320" w:top="121" w:right="3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8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3.26 years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66"/>
        </w:trPr>
        <w:tc>
          <w:tcPr>
            <w:tcW w:w="6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19,858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458"/>
        </w:trPr>
        <w:tc>
          <w:tcPr>
            <w:tcW w:w="8280" w:type="dxa"/>
            <w:vAlign w:val="bottom"/>
            <w:gridSpan w:val="6"/>
          </w:tcPr>
          <w:p>
            <w:pPr>
              <w:spacing w:after="0"/>
              <w:rPr>
                <w:sz w:val="20"/>
                <w:szCs w:val="20"/>
                <w:color w:val="auto"/>
              </w:rPr>
            </w:pPr>
            <w:r>
              <w:rPr>
                <w:rFonts w:ascii="Arial" w:cs="Arial" w:eastAsia="Arial" w:hAnsi="Arial"/>
                <w:sz w:val="18"/>
                <w:szCs w:val="18"/>
                <w:color w:val="auto"/>
                <w:w w:val="91"/>
              </w:rPr>
              <w:t>As of December 31, 2021, the maturities of undiscounted operating lease liabilities of the Company are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Sublease Income</w:t>
            </w:r>
          </w:p>
        </w:tc>
        <w:tc>
          <w:tcPr>
            <w:tcW w:w="220" w:type="dxa"/>
            <w:vAlign w:val="bottom"/>
          </w:tcPr>
          <w:p>
            <w:pPr>
              <w:spacing w:after="0"/>
              <w:rPr>
                <w:sz w:val="24"/>
                <w:szCs w:val="24"/>
                <w:color w:val="auto"/>
              </w:rPr>
            </w:pP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(1,602)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Intangible assets related to the TPH Business Combination were recognized at their estimated fair values, which was based on certain projected future revenues and involved the use of significant judgment. Below is the detail of the intangible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2021, 2020, and 2019, intangible amortization expense was $6.6 million, which is included in Depreciation and amortization in the Consolidated Statements of Operations. Amortization of intangible assets held at December 31, 2021 is expected to be $6.6 million for each of the years ending December 31, 2022, 2023, 2024, and 2025, and $6.0 million for the year ending December 31, 2026. These intangible assets will be fully amortized by November 30, 2026.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7—Regulatory Requirements</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clients or carry accounts of or for clients, and as such are all exempt from the SEC Customer Protection Rule (Rule 15c3-3). As of December 31, 2021 and 2020, all regulated subsidiaries were in excess of their applicable capital requirements.</w:t>
      </w:r>
    </w:p>
    <w:p>
      <w:pPr>
        <w:spacing w:after="0" w:line="1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8—Fixed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December 31, 2021 and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Depreciation expense related to fixed assets was $6.7 million, $7.3 million, and $7.8 million for the years ended December 31, 2021, 2020, and 2019, respectively. Amortization expense related to software development costs was $1.2 million, $1.7 million, and $1.5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the Company disposed of certain obsolete assets, substantially all of which were fully depreciated.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(loss) before income taxes is associated with activities in domestic and international jurisdictions,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Company’s operations are generally comprised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 benefit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 income tax</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(6,500)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income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 and local income tax</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48"/>
        </w:trPr>
        <w:tc>
          <w:tcPr>
            <w:tcW w:w="6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(Provision)/benefit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below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1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In connection with the step-up in tax basis generated on the day of the Business Combination, the Company recorded a payable of $14.1 million pursuant to the terms of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U.S. federal statutory tax rate to the effective income tax rate:</w:t>
      </w:r>
    </w:p>
    <w:p>
      <w:pPr>
        <w:spacing w:after="0" w:line="20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income tax expense at the federal statutory rate</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Partnership (income) loss not subject to U.S. corporate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(21.4 %)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(21.0 %)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15.7 %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26.7 %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82.5 %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(16.5 %)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Deferred income taxes reflect the net effect of temporary differences between the tax basis of an asset or liability and its reported amount in the Company’s Consolidated Statements of Financial Condition. These temporary differences result in taxable or deductible amounts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deferred tax assets and liabilities included on the Company’s Consolidated Statements of Financial Condition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Step-up in tax basis in PWP OpCo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Operating 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020" w:type="dxa"/>
            <w:vAlign w:val="bottom"/>
          </w:tcPr>
          <w:p>
            <w:pPr>
              <w:ind w:left="560"/>
              <w:spacing w:after="0"/>
              <w:rPr>
                <w:sz w:val="20"/>
                <w:szCs w:val="20"/>
                <w:color w:val="auto"/>
              </w:rPr>
            </w:pPr>
            <w:r>
              <w:rPr>
                <w:rFonts w:ascii="Arial" w:cs="Arial" w:eastAsia="Arial" w:hAnsi="Arial"/>
                <w:sz w:val="18"/>
                <w:szCs w:val="18"/>
                <w:color w:val="auto"/>
              </w:rPr>
              <w:t>Deferred tax asset,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realization of deferred tax assets arising from timing differences and net operating losses requires taxable income in future years in order to deduct the reversing timing differences and absorb the net operating losses. 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No deferred tax asset has been recorded for the excess of tax basis related to the outside partnership basis of its investment in PWP OpCo for the amount of the deferred tax asset that is not expected to reverse. The Company believes it is more-likely-than-not that the remaining net deferred tax asset recorded as of December 31, 2021 will be recovered in the future based on all available positive and negative evidence.</w:t>
      </w:r>
    </w:p>
    <w:p>
      <w:pPr>
        <w:spacing w:after="0" w:line="141" w:lineRule="exact"/>
        <w:rPr>
          <w:sz w:val="20"/>
          <w:szCs w:val="20"/>
          <w:color w:val="auto"/>
        </w:rPr>
      </w:pPr>
    </w:p>
    <w:p>
      <w:pPr>
        <w:jc w:val="both"/>
        <w:ind w:right="240"/>
        <w:spacing w:after="0" w:line="293" w:lineRule="auto"/>
        <w:rPr>
          <w:sz w:val="20"/>
          <w:szCs w:val="20"/>
          <w:color w:val="auto"/>
        </w:rPr>
      </w:pPr>
      <w:r>
        <w:rPr>
          <w:rFonts w:ascii="Arial" w:cs="Arial" w:eastAsia="Arial" w:hAnsi="Arial"/>
          <w:sz w:val="16"/>
          <w:szCs w:val="16"/>
          <w:color w:val="auto"/>
        </w:rPr>
        <w:t>As of December 31, 2020, as it relates to the deferred tax asset for the Company’s Canadian subsidiary, Tudor, Pickering, Holt &amp; Co. Securities Canada, ULC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of $1.0 million. During the year ended December 31, 2021, the Company reevaluated the historical evidence and projections of future income in the jurisdiction in which it operates and determined that the realization of the deferred tax assets is probable. As such, the valuation allowance was reversed and there was no valuation allowance related to the deferred tax asset of TPH Canada as of December 31, 2021.</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does not have excess basis in its foreign investments and has therefore not provided a deferred tax liability with respect to an outside basis difference in its investment in foreign subsidiaries.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 local and foreign jurisdictions. As of December 31, 2021, the Company is not generally subject to examination by the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tax positions for the years ended December 31,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unrecognized tax benefit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unrecognized tax benefit</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classifies interest relating to tax matters and tax penalties as components of income tax expense in its Consolidated Statements of Operations. As of December 31, 2021, there were $6.1 million of unrecognized tax benefits that, if recognized, would affect the effective tax rate. For the years ended December 31, 2021, 2020, and 2019, no interest or penalties were accrued with respect to unrecognized tax positions.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facilities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55"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December 31, 2021, the Company included unamortized debt issuance costs within Prepaid expenses and other assets on the Consolidated Statements of Financial Position since there were no outstanding borrowings under the Revolving Credit Facility, as defined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revolving credit facility (the “Revolving Credit Facility”) with Cadence Bank, N.A. (“Cadence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the Business Combination</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November 11, 2020, the Revolving Credit Facility was amended to extend the maturity date from December 31, 2021 to April 1, 2022. On December 28, 2020, the agreement was further amended to expressly permit the transactions contemplated by the proposed Business Combination.</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years ended December 31, 2020 and 2019, the Company made principal payments on the Revolving Credit Facility of $32.0 million and $10.0 million, respectively, as well as drawdowns of $22.0 million and $20.0 million, respectively.</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period prior to the Business Combination, the Revolving Credit Facility bore interest at a rate per annum equal to either the variable Eurodollar Rate (or London Interbank Offered Rate, LIBOR) or a variable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(defined as the higher of the (i) Federal Funds Rate plus ½ of 1.0%; (ii) Cadence Bank prime rate; or (iii) Eurodollar Rate plus 1.0%) plus a rate which varies by the Company’s leverage ratio, as noted in the table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$27.7 million of principal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Interest rate, Effective Interest Rate and Interest Expense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3.02%, and 4.95% for the years ended December 31, 2020 and 2019, respectively.</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—Prior to the Business Combination, the Company incurred $1.8 million in issuance costs related to the Credit Agreement,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3.93% and 6.48% for the years ended December 31, 2020 and 2019, respectively. The amendment that occurred with the Business Combination was accounted for as a modification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$0.7 million, $1.6 million, and $1.6 million during the years ended December 31, 2021, 2020, and 2019, respectively.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2021, the Company had no outstanding balance related to the Revolving Credit Facility and no incremental revolving commitments were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 Outstanding Prior to the Business Combination</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issued 7.0% subordinated unsecured convertible notes with an aggregate principal amount of $150.0 million (the “Convertible Notes”) under a Note Purchase Agreement (as amended, the “NPA”) executed in conjunction with the TPH Business Combination on November 30, 2016 (the “TPH Closing Date”). The Convertible Notes were due to mature on November 30, 2026 (the “Maturity Date”), unless earlier converted or repaid pursuant to the terms. Interest payments were due quarterly; however, until the fifth anniversary of the TPH Closing Date, the Company had the ability to elect to defer its payment of interest up to eight separate times but never exercised this election.</w:t>
      </w:r>
    </w:p>
    <w:p>
      <w:pPr>
        <w:spacing w:after="0" w:line="12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Applicable only to the period after the Separation and before the Business Combination, the NPA named PWP Capital Holdings LP as a guarantor of the Convertible Notes and required that financial covenants be determined on a combined basis with the results of both the Company and PWP Capital Holdings LP for the applicable periods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in relation to the NPA. The debt discounts and issuance costs were amortized using the effective interest method over the term of the Convertible Notes prior to the Business Combination and redemption.</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Optional Conversion </w:t>
      </w:r>
      <w:r>
        <w:rPr>
          <w:rFonts w:ascii="Arial" w:cs="Arial" w:eastAsia="Arial" w:hAnsi="Arial"/>
          <w:sz w:val="18"/>
          <w:szCs w:val="18"/>
          <w:color w:val="auto"/>
        </w:rPr>
        <w:t>- In accordance with the NPA, each holder of Convertible Notes (each herein referred to as a “Holder”) had the right at any time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Maturity Date, to convert all or a portion of their portion of the Convertible Notes into the Company’s common units at the conversion rate, plus an amount in cash equal to accrued and unpaid interest.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Letter Agreements </w:t>
      </w:r>
      <w:r>
        <w:rPr>
          <w:rFonts w:ascii="Arial" w:cs="Arial" w:eastAsia="Arial" w:hAnsi="Arial"/>
          <w:sz w:val="16"/>
          <w:szCs w:val="16"/>
          <w:color w:val="auto"/>
        </w:rPr>
        <w:t>- In December 2020, the Company entered into letter agreements (the “2020 Letter Agreements”) with all Holders, which amended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restated any existing letter agreements, pursuant to which all of the Holders (the “Redeeming Holders”) agreed to collectively tender for redemption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 million aggregate principal amount of their Convertible Notes (such Convertible Notes, the “Redeemed Notes”) for cash.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Letter Agreements, the Redeeming Holders agreed not to convert their Convertible Notes in connection with the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 and Redemption</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$28.5 million of unamortized debt discount and issuance costs. Each Redeeming Holder was entitled to receive a “top-up” payment if the redemption price was exceeded by the five-day volume weighted average price at which the Company’s Class A common stock traded on the 30th calendar day following the Business Combination plus the aggregate amount of accrued and unpaid interest on such Redeemed Notes. No additional “top-up” payment was required to the Redeeming Holders.</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the Business Combination and redemption, certain of the Redeeming Holders were partners. Refer to Note 17—Related Party Transactions for further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Interest Rate and Interest Expense</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and 11.95%, and 11.95% for the years ended December 31, 2020, and 2019, respectively. The aggregate interest expense related to the Convertible Notes was $6.9 million, $14.1 million, and $13.8 million during the years ended December 31,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121" w:right="35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the Class A common stock and Class B common stock do not have preemptive or subscription rights. Additionally, the Company has 7,869,975 warrants outstanding as of December 31, 2021. See Note 12—Warrants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On November 3, 2021, the Company’s Board of Directors declared a cash dividend of $0.07 per outstanding share of Class A common stock that was paid on December 17, 2021 to each of the holders of Class A common stock of record as of the close of business on December 3, 2021. Holders of Class B common stock also received dividends equal to the amount of dividends made on 0.001 shares of Class A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December 31, 2021, which represent a 54.01%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connection with the Closing, the Company entered into a registration rights agreement among the Sponsor, Professional Partners, the ILPs and other parties thereto from time to time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of the Closing,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121" w:right="3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2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December 31, 2021, the Company had 7,666,642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121" w:right="3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December 31, 2021, the Company had 203,333 private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Consolidated Statements of Operations. See Note 16—Fair Value Measurements and Investments for descriptions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2021, all of the public and private warrants became exercisable. As of December 31, 2021, none of the warrants were exercised.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with the exception of vested awards for certain employees in France which will be issued out of the Company’s treasury shares.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December 31, 2021, 3,574,786 total shares remained reserved and available for future issuance under the PWP Incentive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PSUs is generally satisfied over three to five years, with</w:t>
      </w:r>
      <w:r>
        <w:rPr>
          <w:rFonts w:ascii="Arial" w:cs="Arial" w:eastAsia="Arial" w:hAnsi="Arial"/>
          <w:sz w:val="18"/>
          <w:szCs w:val="18"/>
          <w:i w:val="1"/>
          <w:iCs w:val="1"/>
          <w:color w:val="auto"/>
        </w:rPr>
        <w:t xml:space="preserve"> </w:t>
      </w:r>
      <w:r>
        <w:rPr>
          <w:rFonts w:ascii="Arial" w:cs="Arial" w:eastAsia="Arial" w:hAnsi="Arial"/>
          <w:sz w:val="18"/>
          <w:szCs w:val="18"/>
          <w:color w:val="auto"/>
        </w:rPr>
        <w:t>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December 31, 2021, the $12 and $13.50 market condition requirements were satisfied.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PSUs for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3,208,126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grant date fair value of the Transaction Pool PSUs granted during the year ended December 31, 2021 was $40.9 million. As of December 31, 2021, total unrecognized compensation expense related to unvested Transaction Pool PSUs was $37.2 million, which is expected to be recognized over a weighted average period of 3.67 years.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Assumptions</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the year ended December 31, 2021 was $97.7 million, which was based on the PWP stock price on the date of grant. As of December 31, 2021, total unrecognized compensation expense related to unvested Transaction Pool RSUs was $60.0 million, which is expected to be recognized over a weighted average period of 2.44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RSUs for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6,990,474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5,450,604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Transaction Pool RSU grant date was reclassified from Accounts payable, accrued expenses and other liabilities to Additional paid-in capital on the Consolidated Statement of Financial Condition as of December 31, 2021.</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Management PSUs for the year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The weighted average grant date fair value of the Management PSUs granted during the year ended December 31, 2021 was $84.2 million. As of December 31, 2021, total unrecognized compensation expense related to unvested Management PSUs was $76.6 million, which is expected to be recognized over a weighted average period of 3.69 years.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Assumptions</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General RSUs vest over the requisite service period, which is generally one to five years. The grant date fair value of the General RSUs granted during the year ended December 31, 2021 was $12.5 million, which was based on the PWP stock price on the date of grant. As of December 31, 2021, total unrecognized compensation expense related to unvested General RSUs was $10.2 million which is expected to be recognized over a weighted average period of 2.60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General RSUs for the year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906,836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Partner Awards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more fully described below, prior to the Business Combination, Professional Partners granted certain equity-based awards to partners providing services to PWP OpCo (the “Legacy Awards”). 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Topic 718, Compensation—Stock Compensation,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Consolidated Statements of Operations and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12"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2021, there was $270.2 million of unrecognized compensation expense related to unvested Professional Partners Awards, which is expected to be recognized over a weighted-average period of 4.37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Legacy Awards Prior to Business Combination</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Concurrent with the TPH Business Combination, an initial tranche of Legacy Awards was granted to certain partners supporting the Company’s operations. The initial tranche of the Legacy Awards generally vested over a three-year service period beginning on the grant date. Subsequent to the initial tranche, Legacy Awards were granted to partners on a periodic basis in accordance with the LPA and generally vested over four years. Prior to the Business Combination, in the event one of these partners was terminated or left at will before meeting their service requirement, all or a portion of their equity was forfeited and allocated to the other partners in accordance with the LPA. Professional Partners had a right but not an obligation to repurchase the awards upon certain termination events.</w:t>
      </w:r>
    </w:p>
    <w:p>
      <w:pPr>
        <w:spacing w:after="0" w:line="14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years ended December 31, 2018 and 2017, Professional Partners granted Legacy Awards in the amount of $4.6 million and $37.6 million, respectively, which vested over a four year service period beginning on the grant date.</w:t>
      </w:r>
    </w:p>
    <w:p>
      <w:pPr>
        <w:spacing w:after="0" w:line="11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measurement of the grant-date fair value required Professional Partners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2018, the Company modified certain of its existing Legacy Awards, and as a result of the modification, the Company was required to recognize incremental equity-based compensation expense of $74.6 million, which was subject to a graded vesting schedule over a five year service period beginning on October 1, 2018. In connection with the October 1, 2018 modification, the Company utilized a Monte Carlo simulation, in addition to the market and income approaches, to estimate the fair value of the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risk-free interest rate selected was based on a five-year U.S. Treasury rate, which matched the expected term of the award. The stock price volatility selected was based upon an average of historical volatilities of comparable publicly traded companies in industries similar to the Professional Partners, as the Professional Partners did not have a basis for actual stock price volatility. Additionally, it was assumed that no dividends would be paid over the vesting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Professional Partners granted Legacy Awards with a grant date fair value of $14.7 million. The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awards was estimated using the income approach and assumed a range of discount rates between 3.6% and 12.1%.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Professional Partners granted Legacy Awards with a grant date fair value of $6.4 million. The fair value of these awards was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income approach and assumed a range of discount rates between 3.8% and 11.2%. During the year ended December 31, 2021,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granted Legacy Awards with a grant date fair value of $9.3 million, which was estimated using the income approach and assume a range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discount rates between 2.0% and 9.8%. Under the income approach, fair value is determined by converting future projected cash flows to a single present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amount (discounted) using current expectations about those future cash flows.</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year ended December 31, 2020, the Company modified certain Legacy Awards that were granted in 2016 by extending the vesting period and changing certain vesting provisions regarding termination, resignation or death/disability. The awards were considered probable of vesting both prior to and post modification and therefore the modification was considered a Type 1 modification. The award value at the time of modification was determined to be less than the original grant date fair value and as a result no additional compensation expense was recognized due to the modification. Additionally, the Company elected to continue to recognize Equity-based compensation expense over the original vesting period.</w:t>
      </w:r>
    </w:p>
    <w:p>
      <w:pPr>
        <w:spacing w:after="0" w:line="12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Legacy Awards were cancelled in connection with the Business Combination, but the Company will continue to amortize the unrecognized cost associated with the Legacy Awards over the original vesting schedule. As of December 31, 2021, there was $22.9 million of unrecognized compensation cost associated with the Legacy Awards that is expected to be recognized over a weighted-average period of 1.74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Professional fees</w:t>
            </w: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44,891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30"/>
        </w:trPr>
        <w:tc>
          <w:tcPr>
            <w:tcW w:w="63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32,334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w:t>
            </w: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Pr>
          <w:p>
            <w:pPr>
              <w:spacing w:after="0"/>
              <w:rPr>
                <w:sz w:val="20"/>
                <w:szCs w:val="20"/>
                <w:color w:val="auto"/>
              </w:rPr>
            </w:pPr>
            <w:r>
              <w:rPr>
                <w:rFonts w:ascii="Arial" w:cs="Arial" w:eastAsia="Arial" w:hAnsi="Arial"/>
                <w:sz w:val="14"/>
                <w:szCs w:val="14"/>
                <w:color w:val="auto"/>
              </w:rPr>
              <w:t>_________________</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right="540" w:hanging="332"/>
        <w:spacing w:after="0" w:line="255"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14—Other Compensation and Benefits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the Company granted deferred compensation to certain U.S. partners. These awards total approximately</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 ended December 31, 2019, the Company entered into deferred profit sharing arrangements with certain UK partners in the amount of $3.4 million. The deferred amounts will be paid to these UK partners on various dates, commencing on December 31, 2020 through April 15, 2023. No deferred compensation awards were granted during the years ended December 31, 2021 and 2020.</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Deferred compensation liabilities will be paid at various intervals through 2023 and are presented within Deferred compensation programs on the Consolidated Statements of Financial Condition. During the year ended December 31, 2019, $0.9 million of deferred compensation awards were forfeited. There were no forfeitures during the years ended December 31, 2021 and 2020. Compensation expenses related to these deferred compensation plans was $1.1 million, $5.8 million and $5.5 million for the years ended December 31, 2021, 2020, and 2019, respectively, and are presented within Compensation and benefits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December 31, 2021, 2020 and 2019, expenses related to the Company’s employee benefit plans were $5.0 million, $4.5 million, and $4.4 million, respectively, and are included in Compensation and benefits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for the year ended December 31, 2020.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15—Net Income (Loss) Per Share Attributable to Class A Common Shareholders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For the period from June 24,</w:t>
            </w:r>
          </w:p>
        </w:tc>
      </w:tr>
      <w:tr>
        <w:trPr>
          <w:trHeight w:val="135"/>
        </w:trPr>
        <w:tc>
          <w:tcPr>
            <w:tcW w:w="9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1"/>
              </w:rPr>
              <w:t>2021 through December 31,</w:t>
            </w:r>
          </w:p>
        </w:tc>
      </w:tr>
      <w:tr>
        <w:trPr>
          <w:trHeight w:val="188"/>
        </w:trPr>
        <w:tc>
          <w:tcPr>
            <w:tcW w:w="9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(9,421)</w:t>
            </w:r>
          </w:p>
        </w:tc>
      </w:tr>
      <w:tr>
        <w:trPr>
          <w:trHeight w:val="230"/>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(61,325)</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7"/>
        </w:trPr>
        <w:tc>
          <w:tcPr>
            <w:tcW w:w="9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42,595,712</w:t>
            </w:r>
          </w:p>
        </w:tc>
      </w:tr>
      <w:tr>
        <w:trPr>
          <w:trHeight w:val="229"/>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50,154,199</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92,749,911</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7"/>
        </w:trPr>
        <w:tc>
          <w:tcPr>
            <w:tcW w:w="9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30"/>
        </w:trPr>
        <w:tc>
          <w:tcPr>
            <w:tcW w:w="920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9"/>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bl>
    <w:p>
      <w:pPr>
        <w:spacing w:after="0" w:line="24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Basic and diluted net income (loss) per share attributable to Class B common shareholders has not been presented as these shares are entitled to an insignificant amount of economic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period from June 24,</w:t>
            </w:r>
          </w:p>
        </w:tc>
      </w:tr>
      <w:tr>
        <w:trPr>
          <w:trHeight w:val="135"/>
        </w:trPr>
        <w:tc>
          <w:tcPr>
            <w:tcW w:w="92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2021 through December 31,</w:t>
            </w:r>
          </w:p>
        </w:tc>
      </w:tr>
      <w:tr>
        <w:trPr>
          <w:trHeight w:val="188"/>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1,029,210</w:t>
            </w:r>
          </w:p>
        </w:tc>
      </w:tr>
      <w:tr>
        <w:trPr>
          <w:trHeight w:val="22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and PSUs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275,453</w:t>
            </w:r>
          </w:p>
        </w:tc>
      </w:tr>
      <w:tr>
        <w:trPr>
          <w:trHeight w:val="248"/>
        </w:trPr>
        <w:tc>
          <w:tcPr>
            <w:tcW w:w="9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1,304,663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and Investments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Warrant liabilities - Public warrants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27,063</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liabilities - Private warrants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27,805</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0"/>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2021 and 2020.</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and 2020, the Company held investments related to a legacy deferred compensation program and securities. These amounts are included in Prepaid expenses and other assets on the Consolidated Statements of Financial Condition.</w:t>
      </w:r>
    </w:p>
    <w:p>
      <w:pPr>
        <w:spacing w:after="0" w:line="11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2021 and 2020, which approximates fair value.</w:t>
      </w:r>
    </w:p>
    <w:p>
      <w:pPr>
        <w:spacing w:after="0" w:line="9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public warrants are valued using quoted market prices on the Nasdaq Global Select Market under the ticker PWPPW and are included in Warrant liabilities on the Consolidated Statements of Financial Condition. As of December 31, 2021, the price per public warrant was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December 31, 2021 because of the use of significant unobservable inputs in the Valuation Model. The inputs into the Valuation Model for the private warrants, including some significant unobservable inputs,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35.06 %</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11.50</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12.86</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42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continuously compounded, term-matching, zero-coupon rate derived from a U.S. Treasury yield curve on each valuation date.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average of the implied volatility from the Company’s publicly traded warrants and a leverage adjusted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dividend yield was based on the continuously compounded quarterly dividend the Company expects to pay during the term.</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resulting valuation for the private warrants were determined to be $3.65 per unit as of December 31, 2021. The Company had 203,333 private warrants outstanding as of December 31, 2021, resulting in a fair value of $0.7 million recorded within Warrant liabilities in the Consolidated Statements of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As of December 31, 2021, the Company applies the equity method of accounting to its investment in PFAC Holdings I LLC (“PFAC Holdings”), an indirect parent of PWP Forward Acquisition Corp. I (“PFAC”), a special purpose acquisition company. As of December 31, 2021, the Company’s investment in PFAC Holdings was $1.3 million. The Company’s share of earnings of PFAC Holdings is included in the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the Separation, PWP Holdings LP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TSA Agreemen</w:t>
      </w:r>
      <w:r>
        <w:rPr>
          <w:rFonts w:ascii="Arial" w:cs="Arial" w:eastAsia="Arial" w:hAnsi="Arial"/>
          <w:sz w:val="17"/>
          <w:szCs w:val="17"/>
          <w:color w:val="auto"/>
        </w:rPr>
        <w:t>t - In connection with the Separation, the Company entered into a transition services agreement (the “TSA”) with PWP Capital Holdings LP</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2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Amounts due from PWP Capital Holdings LP are reflected as Due from related parties on the Consolidated Statements of Financial Condition.</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components of related party income and expenses related to the TSA and sublease agreements included in the Consolidated Statements of Operations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income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income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TSA compensation expense</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TSA non-compensation expense</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Business Combination, the Company entered into a tax receivable agreement with PWP OpCo, Professional Partners and ILPs under which the Company agreed to payment of 85% of the amount of savings, if any, that the Company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As of December 31,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Estimated Payments</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0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3"/>
              </w:rPr>
              <w:t>Under 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Consolidated Statements of Financial Condition in the amounts of $6.0 million and $8.0 million as of December 31, 2021 and 2020, respectively.</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 ended December 31, 2021, $1.8 million of principal and interest was repaid to the Company from partners. 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 ended December 31, 2020.</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year ended December 31, 2019 and in connection with the Separation, certain Partner Promissory Notes in the amount of $1.6 million were transferred from the Company to PWP Capital Holdings 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Partner Loans and Loan Guarantees</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These loans are recognized in Due from related parties on the Consolidated Statements of Financial Condition.</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unconditionally guaranteed certain of its partners’ loans with First Republic Bank. Refer to Note 18—Commitments and Contingencies for additional information on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228" w:name="page229"/>
    <w:bookmarkEnd w:id="228"/>
    <w:p>
      <w:pPr>
        <w:jc w:val="center"/>
        <w:ind w:right="-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amounts of $8.7 million related to the Convertible Notes were held by partners prior to redemption upon closing of the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10—Debt for additional information on the Convertible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10—Debt for additional information on the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year ended December 31, 2021. In addition, the Company receives a fee of $10,000 per month for certain administrative services provided to PFAC.</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year ended December 31, 2021, the Company earned $3.1 million in advisory fees from entities controlled by a member of the Board of Directors, which are included in Revenues on the Consolidated Statements of Operations. The Company may earn additional advisory fees from these related entities in future periods.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Company has unconditionally guaranteed certain of its partners’ loans with First Republic Bank (“Lender”) whereby it will pay the Lender upon the occurrence of a default event. The total guarantees related to partners was $3.3 million and $5.6 million as of December 31, 2021 and 2020, respectively. These guarantees are secured by the partners’ interests in Professional Partners. As of December 31, 2021 and 2020, no loan was in default.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2021 and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2021 and 2020 and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320" w:top="121" w:right="37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years ended December 31, 2021, 2020, and 2019, the Company incurred $1.1 million, $1.4 million, and $4.0 million, respectively, in legal and professional fees, net of expected insurance reimbursement, related to this litigation. These litigation costs are included in Professional fees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Information</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2021, 2020, and 2019.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659,947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446,320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552,865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January 1, 2022, the total shares reserved and available for future issuance under the PWP Incentive Plan increased to 13.9 million in accordance with the terms of such plan, and on March 4, 2022, the Company granted 6,322,746 RSUs to certain employees and executive officers pursuant to such plan.</w:t>
      </w:r>
    </w:p>
    <w:p>
      <w:pPr>
        <w:spacing w:after="0" w:line="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January 21, 2022, the Company closed its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purchase from certain non-employee holders (i) outstanding PWP OpCo Units and (ii) outstanding shares of the Company’s Class B common stock. As a result of the use of proceeds, the non-controlling ownership interests in PWP OpCo decreased to 50.17%. Under the terms of the underwriting agreement, directors, officers and certain significant shareholders signed customary lockup agreements with respect to their ownership of Class A common stock.</w:t>
      </w:r>
    </w:p>
    <w:p>
      <w:pPr>
        <w:spacing w:after="0" w:line="1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February 16, 2022, the Company’s Board of Directors declared a cash dividend of $0.07 per outstanding share of Class A common stock. This dividend will be payable on March 17, 2022 to each of the holders of Class A common stock of record as of the close of business on March 3,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231" w:name="page232"/>
    <w:bookmarkEnd w:id="231"/>
    <w:p>
      <w:pPr>
        <w:jc w:val="center"/>
        <w:ind w:right="-1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February 18, 2022, the Company entered into a lease agreement related to the relocation of its U.K. office to 80 Charlotte Street, London, United Kingdom. The lease has an initial term of 12 years and is expected to commence in mid 2022.</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22, 2022, the Company entered into an amendment to its Los Angeles office lease whereby the Company will move to a larger space within the building. The lease is expected to commence in mid 2022 and is scheduled to expire on December 31, 2032.</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28, 2022, the Company settled an exchange of certain PWP OpCo Units and certain shares of Class B common stock for 337,048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60"/>
          </w:cols>
          <w:pgMar w:left="320" w:top="121" w:right="51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1014730</wp:posOffset>
            </wp:positionV>
            <wp:extent cx="1714500" cy="651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Perella Weinberg Partners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64,738,934 Shares of Class A Common Stock</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203,333 Warrants to Purchase Class A Common Stock</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lowerRoman"/>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lvl w:ilvl="1">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lowerRoman"/>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lowerLetter"/>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1)"/>
      <w:numFmt w:val="lowerRoman"/>
      <w:start w:val="2"/>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lowerRoman"/>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2"/>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decimal"/>
      <w:start w:val="1"/>
    </w:lvl>
    <w:lvl w:ilvl="1">
      <w:lvlJc w:val="left"/>
      <w:lvlText w:val="(%2)"/>
      <w:numFmt w:val="lowerLetter"/>
      <w:start w:val="6"/>
    </w:lvl>
  </w:abstractNum>
  <w:abstractNum w:abstractNumId="40">
    <w:nsid w:val="15014ACB"/>
    <w:multiLevelType w:val="hybridMultilevel"/>
    <w:lvl w:ilvl="0">
      <w:lvlJc w:val="left"/>
      <w:lvlText w:val="%1."/>
      <w:numFmt w:val="decimal"/>
      <w:start w:val="3"/>
    </w:lvl>
    <w:lvl w:ilvl="1">
      <w:lvlJc w:val="left"/>
      <w:lvlText w:val="%2"/>
      <w:numFmt w:val="lowerLetter"/>
      <w:start w:val="1"/>
    </w:lvl>
  </w:abstractNum>
  <w:abstractNum w:abstractNumId="41">
    <w:nsid w:val="5F5E7FD0"/>
    <w:multiLevelType w:val="hybridMultilevel"/>
    <w:lvl w:ilvl="0">
      <w:lvlJc w:val="left"/>
      <w:lvlText w:val="(%1)"/>
      <w:numFmt w:val="lowerLetter"/>
      <w:start w:val="27"/>
    </w:lvl>
  </w:abstractNum>
  <w:abstractNum w:abstractNumId="42">
    <w:nsid w:val="98A3148"/>
    <w:multiLevelType w:val="hybridMultilevel"/>
    <w:lvl w:ilvl="0">
      <w:lvlJc w:val="left"/>
      <w:lvlText w:val="(%1)"/>
      <w:numFmt w:val="lowerLetter"/>
      <w:start w:val="29"/>
    </w:lvl>
  </w:abstractNum>
  <w:abstractNum w:abstractNumId="43">
    <w:nsid w:val="799D0247"/>
    <w:multiLevelType w:val="hybridMultilevel"/>
    <w:lvl w:ilvl="0">
      <w:lvlJc w:val="left"/>
      <w:lvlText w:val="(%1)"/>
      <w:numFmt w:val="lowerLetter"/>
      <w:start w:val="31"/>
    </w:lvl>
  </w:abstractNum>
  <w:abstractNum w:abstractNumId="44">
    <w:nsid w:val="6B94764"/>
    <w:multiLevelType w:val="hybridMultilevel"/>
    <w:lvl w:ilvl="0">
      <w:lvlJc w:val="left"/>
      <w:lvlText w:val="(%1)"/>
      <w:numFmt w:val="lowerLetter"/>
      <w:start w:val="35"/>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lowerRoman"/>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1)"/>
      <w:numFmt w:val="lowerRoman"/>
      <w:start w:val="2"/>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amp;"/>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4"/>
    </w:lvl>
  </w:abstractNum>
  <w:abstractNum w:abstractNumId="69">
    <w:nsid w:val="100F59DC"/>
    <w:multiLevelType w:val="hybridMultilevel"/>
    <w:lvl w:ilvl="0">
      <w:lvlJc w:val="left"/>
      <w:lvlText w:val="(%1)"/>
      <w:numFmt w:val="decimal"/>
      <w:start w:val="14"/>
    </w:lvl>
  </w:abstractNum>
  <w:abstractNum w:abstractNumId="70">
    <w:nsid w:val="7FB7E0AA"/>
    <w:multiLevelType w:val="hybridMultilevel"/>
    <w:lvl w:ilvl="0">
      <w:lvlJc w:val="left"/>
      <w:lvlText w:val="(%1)"/>
      <w:numFmt w:val="decimal"/>
      <w:start w:val="19"/>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emdash "/>
      <w:numFmt w:val="bullet"/>
      <w:start w:val="1"/>
    </w:lvl>
    <w:lvl w:ilvl="1">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4"/>
    </w:lvl>
  </w:abstractNum>
  <w:abstractNum w:abstractNumId="79">
    <w:nsid w:val="3222E7CD"/>
    <w:multiLevelType w:val="hybridMultilevel"/>
    <w:lvl w:ilvl="0">
      <w:lvlJc w:val="left"/>
      <w:lvlText w:val="(%1)"/>
      <w:numFmt w:val="decimal"/>
      <w:start w:val="14"/>
    </w:lvl>
  </w:abstractNum>
  <w:abstractNum w:abstractNumId="80">
    <w:nsid w:val="74DE0EE3"/>
    <w:multiLevelType w:val="hybridMultilevel"/>
    <w:lvl w:ilvl="0">
      <w:lvlJc w:val="left"/>
      <w:lvlText w:val="(%1)"/>
      <w:numFmt w:val="decimal"/>
      <w:start w:val="27"/>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lowerRoman"/>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2022-03-22T16:30:16Z</dcterms:created>
  <dcterms:modified xsi:type="dcterms:W3CDTF">2022-03-22T16:30:16Z</dcterms:modified>
</cp:coreProperties>
</file>