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240"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spacing w:before="0" w:after="6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before="60" w:after="283"/>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24, 2022</w:t>
      </w:r>
    </w:p>
    <w:p>
      <w:pPr>
        <w:pStyle w:val="TextBody"/>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p>
      <w:pPr>
        <w:pStyle w:val="TextBody"/>
        <w:spacing w:before="60" w:after="283"/>
        <w:jc w:val="center"/>
        <w:rPr/>
      </w:pPr>
      <w:r>
        <w:rPr/>
      </w:r>
    </w:p>
    <w:p>
      <w:pPr>
        <w:pStyle w:val="TextBody"/>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PERELLA WEINBERG PARTNERS</w:t>
      </w:r>
    </w:p>
    <w:p>
      <w:pPr>
        <w:pStyle w:val="TextBody"/>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p>
      <w:pPr>
        <w:pStyle w:val="TextBody"/>
        <w:spacing w:before="0" w:after="0"/>
        <w:jc w:val="center"/>
        <w:rPr/>
      </w:pPr>
      <w:r>
        <w:rPr/>
      </w:r>
    </w:p>
    <w:p>
      <w:pPr>
        <w:pStyle w:val="TextBody"/>
        <w:spacing w:before="0" w:after="0"/>
        <w:rPr/>
      </w:pPr>
      <w:r>
        <w:rPr/>
      </w:r>
    </w:p>
    <w:tbl>
      <w:tblPr>
        <w:tblW w:w="6030" w:type="dxa"/>
        <w:jc w:val="left"/>
        <w:tblInd w:w="0" w:type="dxa"/>
        <w:tblCellMar>
          <w:top w:w="28" w:type="dxa"/>
          <w:left w:w="28" w:type="dxa"/>
          <w:bottom w:w="28" w:type="dxa"/>
          <w:right w:w="28" w:type="dxa"/>
        </w:tblCellMar>
      </w:tblPr>
      <w:tblGrid>
        <w:gridCol w:w="1365"/>
        <w:gridCol w:w="1200"/>
        <w:gridCol w:w="1215"/>
        <w:gridCol w:w="657"/>
        <w:gridCol w:w="657"/>
        <w:gridCol w:w="936"/>
      </w:tblGrid>
      <w:tr>
        <w:trPr/>
        <w:tc>
          <w:tcPr>
            <w:tcW w:w="1365"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 incorporation or organization)</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225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before="60"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spacing w:before="0" w:after="0"/>
        <w:jc w:val="center"/>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333" w:before="0" w:after="60"/>
        <w:rPr>
          <w:color w:val="000000"/>
        </w:rPr>
      </w:pPr>
      <w:r>
        <w:rPr>
          <w:color w:val="000000"/>
        </w:rPr>
        <w:t> </w:t>
      </w:r>
    </w:p>
    <w:tbl>
      <w:tblPr>
        <w:tblW w:w="7751" w:type="dxa"/>
        <w:jc w:val="left"/>
        <w:tblInd w:w="0" w:type="dxa"/>
        <w:tblCellMar>
          <w:top w:w="28" w:type="dxa"/>
          <w:left w:w="28" w:type="dxa"/>
          <w:bottom w:w="28" w:type="dxa"/>
          <w:right w:w="28" w:type="dxa"/>
        </w:tblCellMar>
      </w:tblPr>
      <w:tblGrid>
        <w:gridCol w:w="124"/>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CellMar>
          <w:top w:w="28" w:type="dxa"/>
          <w:left w:w="28" w:type="dxa"/>
          <w:bottom w:w="28" w:type="dxa"/>
          <w:right w:w="28" w:type="dxa"/>
        </w:tblCellMar>
      </w:tblPr>
      <w:tblGrid>
        <w:gridCol w:w="124"/>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CellMar>
          <w:top w:w="28" w:type="dxa"/>
          <w:left w:w="28" w:type="dxa"/>
          <w:bottom w:w="28" w:type="dxa"/>
          <w:right w:w="28" w:type="dxa"/>
        </w:tblCellMar>
      </w:tblPr>
      <w:tblGrid>
        <w:gridCol w:w="124"/>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882"/>
        <w:gridCol w:w="1594"/>
        <w:gridCol w:w="1604"/>
        <w:gridCol w:w="109"/>
        <w:gridCol w:w="109"/>
        <w:gridCol w:w="109"/>
        <w:gridCol w:w="473"/>
        <w:gridCol w:w="473"/>
        <w:gridCol w:w="475"/>
        <w:gridCol w:w="109"/>
        <w:gridCol w:w="109"/>
        <w:gridCol w:w="109"/>
        <w:gridCol w:w="892"/>
        <w:gridCol w:w="892"/>
        <w:gridCol w:w="1266"/>
      </w:tblGrid>
      <w:tr>
        <w:trPr/>
        <w:tc>
          <w:tcPr>
            <w:tcW w:w="1882"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5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5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327"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PWP </w:t>
            </w:r>
          </w:p>
        </w:tc>
        <w:tc>
          <w:tcPr>
            <w:tcW w:w="327"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r>
        <w:trPr/>
        <w:tc>
          <w:tcPr>
            <w:tcW w:w="5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each whole warrant exercisable for one share of 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PWPPW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33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770"/>
        <w:gridCol w:w="770"/>
        <w:gridCol w:w="771"/>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2022 Annual Meeting of Stockholders (the “Annual Meeting”) held on May 24, 2022, the stockholders of Perella Weinberg Partners (the “Company”) voted on the matters described below.</w:t>
      </w:r>
    </w:p>
    <w:p>
      <w:pPr>
        <w:pStyle w:val="TextBody"/>
        <w:spacing w:before="0" w:after="0"/>
        <w:rPr/>
      </w:pPr>
      <w:r>
        <w:rPr/>
      </w:r>
    </w:p>
    <w:p>
      <w:pPr>
        <w:pStyle w:val="TextBody"/>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Company’s stockholders elected three Class I directors and two new Class II and III directors, each of whom will hold office until the 2025, 2023 and 2024 annual meeting of stockholders, respectively, and until his or her respective successor has been duly elected and qualified, based on the following votes:</w:t>
      </w:r>
    </w:p>
    <w:tbl>
      <w:tblPr>
        <w:tblW w:w="6581" w:type="dxa"/>
        <w:jc w:val="center"/>
        <w:tblInd w:w="0" w:type="dxa"/>
        <w:tblCellMar>
          <w:top w:w="28" w:type="dxa"/>
          <w:left w:w="28" w:type="dxa"/>
          <w:bottom w:w="28" w:type="dxa"/>
          <w:right w:w="28" w:type="dxa"/>
        </w:tblCellMar>
      </w:tblPr>
      <w:tblGrid>
        <w:gridCol w:w="621"/>
        <w:gridCol w:w="543"/>
        <w:gridCol w:w="546"/>
        <w:gridCol w:w="379"/>
        <w:gridCol w:w="379"/>
        <w:gridCol w:w="383"/>
        <w:gridCol w:w="109"/>
        <w:gridCol w:w="109"/>
        <w:gridCol w:w="109"/>
        <w:gridCol w:w="370"/>
        <w:gridCol w:w="370"/>
        <w:gridCol w:w="371"/>
        <w:gridCol w:w="109"/>
        <w:gridCol w:w="109"/>
        <w:gridCol w:w="109"/>
        <w:gridCol w:w="574"/>
        <w:gridCol w:w="574"/>
        <w:gridCol w:w="817"/>
      </w:tblGrid>
      <w:tr>
        <w:trPr/>
        <w:tc>
          <w:tcPr>
            <w:tcW w:w="62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WITHHELD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 NON-VOTE</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R. Perella</w:t>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472,217,090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13,574,468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2,044,050</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G. Cohen</w:t>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472,273,408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13,518,150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2,044,050</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Ivan G. Seidenberg</w:t>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479,713,029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6,078,529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2,044,050</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Elizabeth Fascitelli</w:t>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485,192,957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598,601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2,044,050</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Kristin W. Mugford</w:t>
            </w:r>
          </w:p>
        </w:tc>
        <w:tc>
          <w:tcPr>
            <w:tcW w:w="11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485,194,157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597,401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2,044,050</w:t>
            </w:r>
          </w:p>
        </w:tc>
      </w:tr>
    </w:tbl>
    <w:p>
      <w:pPr>
        <w:pStyle w:val="TextBody"/>
        <w:spacing w:before="0" w:after="0"/>
        <w:rPr/>
      </w:pPr>
      <w:r>
        <w:rPr/>
      </w:r>
    </w:p>
    <w:p>
      <w:pPr>
        <w:pStyle w:val="TextBody"/>
        <w:spacing w:lineRule="auto" w:line="268" w:before="0" w:after="240"/>
        <w:rPr>
          <w:rFonts w:ascii="Times New Roman;sans-serif" w:hAnsi="Times New Roman;sans-serif"/>
          <w:b w:val="false"/>
          <w:color w:val="000000"/>
          <w:sz w:val="20"/>
        </w:rPr>
      </w:pPr>
      <w:r>
        <w:rPr>
          <w:rFonts w:ascii="Times New Roman;sans-serif" w:hAnsi="Times New Roman;sans-serif"/>
          <w:b w:val="false"/>
          <w:color w:val="000000"/>
          <w:sz w:val="20"/>
        </w:rPr>
        <w:t>2. The Company’s stockholders ratified the appointment of Ernst &amp; Young, LLP as the Company’s independent registered public accounting firm for the fiscal year ending December 31, 2022, based on the following votes:</w:t>
      </w:r>
    </w:p>
    <w:tbl>
      <w:tblPr>
        <w:tblW w:w="3717" w:type="dxa"/>
        <w:jc w:val="center"/>
        <w:tblInd w:w="0" w:type="dxa"/>
        <w:tblCellMar>
          <w:top w:w="28" w:type="dxa"/>
          <w:left w:w="28" w:type="dxa"/>
          <w:bottom w:w="28" w:type="dxa"/>
          <w:right w:w="28" w:type="dxa"/>
        </w:tblCellMar>
      </w:tblPr>
      <w:tblGrid>
        <w:gridCol w:w="417"/>
        <w:gridCol w:w="368"/>
        <w:gridCol w:w="371"/>
        <w:gridCol w:w="109"/>
        <w:gridCol w:w="109"/>
        <w:gridCol w:w="109"/>
        <w:gridCol w:w="310"/>
        <w:gridCol w:w="310"/>
        <w:gridCol w:w="311"/>
        <w:gridCol w:w="109"/>
        <w:gridCol w:w="109"/>
        <w:gridCol w:w="109"/>
        <w:gridCol w:w="285"/>
        <w:gridCol w:w="285"/>
        <w:gridCol w:w="406"/>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AGAINST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ABSTAIN</w:t>
            </w:r>
          </w:p>
        </w:tc>
      </w:tr>
      <w:tr>
        <w:trPr/>
        <w:tc>
          <w:tcPr>
            <w:tcW w:w="11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487,787,218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48,289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196" w:type="dxa"/>
        <w:jc w:val="left"/>
        <w:tblInd w:w="0" w:type="dxa"/>
        <w:tblCellMar>
          <w:top w:w="28" w:type="dxa"/>
          <w:left w:w="28" w:type="dxa"/>
          <w:bottom w:w="28" w:type="dxa"/>
          <w:right w:w="28" w:type="dxa"/>
        </w:tblCellMar>
      </w:tblPr>
      <w:tblGrid>
        <w:gridCol w:w="629"/>
        <w:gridCol w:w="554"/>
        <w:gridCol w:w="557"/>
        <w:gridCol w:w="482"/>
        <w:gridCol w:w="482"/>
        <w:gridCol w:w="482"/>
        <w:gridCol w:w="585"/>
        <w:gridCol w:w="585"/>
        <w:gridCol w:w="84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25, 2022</w:t>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Gary Barancik</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Barancik</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545</Words>
  <CharactersWithSpaces>3502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