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6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_____________________________________________________________________________________________________________________________________________________________________</w:t>
      </w:r>
    </w:p>
    <w:p>
      <w:pPr>
        <w:pStyle w:val="TextBody"/>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spacing w:lineRule="auto" w:line="288" w:before="6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_____________________________________________________________________________________________________________________________________________________________________</w:t>
      </w:r>
    </w:p>
    <w:p>
      <w:pPr>
        <w:pStyle w:val="TextBody"/>
        <w:spacing w:lineRule="auto" w:line="288" w:before="40" w:after="283"/>
        <w:rPr>
          <w:rFonts w:ascii="Times New Roman;sans-serif" w:hAnsi="Times New Roman;sans-serif"/>
          <w:b/>
          <w:color w:val="000000"/>
          <w:sz w:val="16"/>
        </w:rPr>
      </w:pPr>
      <w:r>
        <w:rPr>
          <w:rFonts w:ascii="Times New Roman;sans-serif" w:hAnsi="Times New Roman;sans-serif"/>
          <w:b/>
          <w:color w:val="000000"/>
          <w:sz w:val="16"/>
        </w:rPr>
        <w:t>(Mark One)</w:t>
      </w:r>
    </w:p>
    <w:tbl>
      <w:tblPr>
        <w:tblW w:w="9761" w:type="dxa"/>
        <w:jc w:val="center"/>
        <w:tblInd w:w="0" w:type="dxa"/>
        <w:tblCellMar>
          <w:top w:w="28" w:type="dxa"/>
          <w:left w:w="28" w:type="dxa"/>
          <w:bottom w:w="28" w:type="dxa"/>
          <w:right w:w="28" w:type="dxa"/>
        </w:tblCellMar>
      </w:tblPr>
      <w:tblGrid>
        <w:gridCol w:w="124"/>
        <w:gridCol w:w="109"/>
        <w:gridCol w:w="109"/>
        <w:gridCol w:w="2759"/>
        <w:gridCol w:w="2759"/>
        <w:gridCol w:w="39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9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9761" w:type="dxa"/>
        <w:jc w:val="center"/>
        <w:tblInd w:w="0" w:type="dxa"/>
        <w:tblCellMar>
          <w:top w:w="28" w:type="dxa"/>
          <w:left w:w="28" w:type="dxa"/>
          <w:bottom w:w="28" w:type="dxa"/>
          <w:right w:w="28" w:type="dxa"/>
        </w:tblCellMar>
      </w:tblPr>
      <w:tblGrid>
        <w:gridCol w:w="124"/>
        <w:gridCol w:w="109"/>
        <w:gridCol w:w="109"/>
        <w:gridCol w:w="2759"/>
        <w:gridCol w:w="2759"/>
        <w:gridCol w:w="39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Commission File Number: 001-39558</w:t>
      </w:r>
    </w:p>
    <w:p>
      <w:pPr>
        <w:pStyle w:val="TextBody"/>
        <w:spacing w:lineRule="auto" w:line="288" w:before="6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_____________________________________________________________________________________________________________________________________________________________________</w:t>
      </w:r>
    </w:p>
    <w:p>
      <w:pPr>
        <w:pStyle w:val="TextBody"/>
        <w:spacing w:lineRule="auto" w:line="288" w:before="60" w:after="283"/>
        <w:jc w:val="center"/>
        <w:rPr>
          <w:rFonts w:ascii="Times New Roman;sans-serif" w:hAnsi="Times New Roman;sans-serif"/>
          <w:b/>
          <w:color w:val="000000"/>
          <w:sz w:val="48"/>
        </w:rPr>
      </w:pPr>
      <w:r>
        <w:rPr>
          <w:rFonts w:ascii="Times New Roman;sans-serif" w:hAnsi="Times New Roman;sans-serif"/>
          <w:b/>
          <w:color w:val="000000"/>
          <w:sz w:val="48"/>
        </w:rPr>
        <w:t>PERELLA WEINBERG PARTNERS</w:t>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(Exact Name of Registrant as Specified in its Charter)</w:t>
      </w:r>
    </w:p>
    <w:p>
      <w:pPr>
        <w:pStyle w:val="TextBody"/>
        <w:spacing w:lineRule="auto" w:line="288" w:before="6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_____________________________________________________________________________________________________________________________________________________________________</w:t>
      </w:r>
    </w:p>
    <w:tbl>
      <w:tblPr>
        <w:tblW w:w="3674" w:type="dxa"/>
        <w:jc w:val="left"/>
        <w:tblInd w:w="0" w:type="dxa"/>
        <w:tblCellMar>
          <w:top w:w="28" w:type="dxa"/>
          <w:left w:w="28" w:type="dxa"/>
          <w:bottom w:w="28" w:type="dxa"/>
          <w:right w:w="28" w:type="dxa"/>
        </w:tblCellMar>
      </w:tblPr>
      <w:tblGrid>
        <w:gridCol w:w="878"/>
        <w:gridCol w:w="771"/>
        <w:gridCol w:w="781"/>
        <w:gridCol w:w="363"/>
        <w:gridCol w:w="363"/>
        <w:gridCol w:w="518"/>
      </w:tblGrid>
      <w:tr>
        <w:trPr/>
        <w:tc>
          <w:tcPr>
            <w:tcW w:w="878"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r>
      <w:tr>
        <w:trPr/>
        <w:tc>
          <w:tcPr>
            <w:tcW w:w="24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2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84-1770732</w:t>
            </w:r>
          </w:p>
        </w:tc>
      </w:tr>
      <w:tr>
        <w:trPr/>
        <w:tc>
          <w:tcPr>
            <w:tcW w:w="2430" w:type="dxa"/>
            <w:gridSpan w:val="3"/>
            <w:tcBorders/>
            <w:shd w:fill="auto" w:val="clear"/>
            <w:tcMar>
              <w:top w:w="0" w:type="dxa"/>
              <w:left w:w="0" w:type="dxa"/>
              <w:bottom w:w="0" w:type="dxa"/>
              <w:right w:w="0" w:type="dxa"/>
            </w:tcMar>
            <w:vAlign w:val="center"/>
          </w:tcPr>
          <w:p>
            <w:pPr>
              <w:pStyle w:val="TableContents"/>
              <w:spacing w:lineRule="auto" w:line="362" w:before="75" w:after="283"/>
              <w:jc w:val="center"/>
              <w:rPr>
                <w:rFonts w:ascii="Times New Roman;sans-serif" w:hAnsi="Times New Roman;sans-serif"/>
                <w:b/>
                <w:color w:val="000000"/>
                <w:sz w:val="14"/>
              </w:rPr>
            </w:pPr>
            <w:r>
              <w:rPr>
                <w:rFonts w:ascii="Times New Roman;sans-serif" w:hAnsi="Times New Roman;sans-serif"/>
                <w:b/>
                <w:color w:val="000000"/>
                <w:sz w:val="14"/>
              </w:rPr>
              <w:t>( State or other jurisdiction of</w:t>
            </w:r>
          </w:p>
          <w:p>
            <w:pPr>
              <w:pStyle w:val="TableContents"/>
              <w:spacing w:lineRule="auto" w:line="362" w:before="14" w:after="30"/>
              <w:jc w:val="center"/>
              <w:rPr>
                <w:rFonts w:ascii="Times New Roman;sans-serif" w:hAnsi="Times New Roman;sans-serif"/>
                <w:b/>
                <w:color w:val="000000"/>
                <w:sz w:val="14"/>
              </w:rPr>
            </w:pPr>
            <w:r>
              <w:rPr>
                <w:rFonts w:ascii="Times New Roman;sans-serif" w:hAnsi="Times New Roman;sans-serif"/>
                <w:b/>
                <w:color w:val="000000"/>
                <w:sz w:val="14"/>
              </w:rPr>
              <w:t>incorporation or organization)</w:t>
            </w:r>
          </w:p>
        </w:tc>
        <w:tc>
          <w:tcPr>
            <w:tcW w:w="1244" w:type="dxa"/>
            <w:gridSpan w:val="3"/>
            <w:tcBorders/>
            <w:shd w:fill="auto" w:val="clear"/>
            <w:tcMar>
              <w:top w:w="0" w:type="dxa"/>
              <w:left w:w="0" w:type="dxa"/>
              <w:bottom w:w="0" w:type="dxa"/>
              <w:right w:w="0" w:type="dxa"/>
            </w:tcMar>
            <w:vAlign w:val="center"/>
          </w:tcPr>
          <w:p>
            <w:pPr>
              <w:pStyle w:val="TableContents"/>
              <w:spacing w:lineRule="auto" w:line="362" w:before="75" w:after="283"/>
              <w:jc w:val="center"/>
              <w:rPr>
                <w:rFonts w:ascii="Times New Roman;sans-serif" w:hAnsi="Times New Roman;sans-serif"/>
                <w:b/>
                <w:color w:val="000000"/>
                <w:sz w:val="14"/>
              </w:rPr>
            </w:pPr>
            <w:r>
              <w:rPr>
                <w:rFonts w:ascii="Times New Roman;sans-serif" w:hAnsi="Times New Roman;sans-serif"/>
                <w:b/>
                <w:color w:val="000000"/>
                <w:sz w:val="14"/>
              </w:rPr>
              <w:t>(I.R.S. Employer</w:t>
            </w:r>
          </w:p>
          <w:p>
            <w:pPr>
              <w:pStyle w:val="TableContents"/>
              <w:spacing w:lineRule="auto" w:line="362" w:before="14" w:after="30"/>
              <w:jc w:val="center"/>
              <w:rPr>
                <w:rFonts w:ascii="Times New Roman;sans-serif" w:hAnsi="Times New Roman;sans-serif"/>
                <w:b/>
                <w:color w:val="000000"/>
                <w:sz w:val="14"/>
              </w:rPr>
            </w:pPr>
            <w:r>
              <w:rPr>
                <w:rFonts w:ascii="Times New Roman;sans-serif" w:hAnsi="Times New Roman;sans-serif"/>
                <w:b/>
                <w:color w:val="000000"/>
                <w:sz w:val="14"/>
              </w:rPr>
              <w:t>Identification No.)</w:t>
            </w:r>
          </w:p>
        </w:tc>
      </w:tr>
      <w:tr>
        <w:trPr/>
        <w:tc>
          <w:tcPr>
            <w:tcW w:w="243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767 Fifth Avenue</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New York, NY</w:t>
            </w:r>
          </w:p>
        </w:tc>
        <w:tc>
          <w:tcPr>
            <w:tcW w:w="12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10153</w:t>
            </w:r>
          </w:p>
        </w:tc>
      </w:tr>
      <w:tr>
        <w:trPr/>
        <w:tc>
          <w:tcPr>
            <w:tcW w:w="24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w:t>
            </w:r>
          </w:p>
        </w:tc>
        <w:tc>
          <w:tcPr>
            <w:tcW w:w="12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(Zip Code)</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(212) 287-3200</w:t>
      </w:r>
    </w:p>
    <w:p>
      <w:pPr>
        <w:pStyle w:val="TextBody"/>
        <w:spacing w:lineRule="auto" w:line="288" w:before="6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_____________________________________________________________________________________________________________________________________________________________________</w:t>
      </w:r>
    </w:p>
    <w:p>
      <w:pPr>
        <w:pStyle w:val="TextBody"/>
        <w:spacing w:lineRule="auto" w:line="288" w:before="40" w:after="12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tbl>
      <w:tblPr>
        <w:tblW w:w="9321" w:type="dxa"/>
        <w:jc w:val="left"/>
        <w:tblInd w:w="0" w:type="dxa"/>
        <w:tblCellMar>
          <w:top w:w="28" w:type="dxa"/>
          <w:left w:w="28" w:type="dxa"/>
          <w:bottom w:w="28" w:type="dxa"/>
          <w:right w:w="28" w:type="dxa"/>
        </w:tblCellMar>
      </w:tblPr>
      <w:tblGrid>
        <w:gridCol w:w="1410"/>
        <w:gridCol w:w="1236"/>
        <w:gridCol w:w="1253"/>
        <w:gridCol w:w="109"/>
        <w:gridCol w:w="109"/>
        <w:gridCol w:w="109"/>
        <w:gridCol w:w="484"/>
        <w:gridCol w:w="484"/>
        <w:gridCol w:w="486"/>
        <w:gridCol w:w="109"/>
        <w:gridCol w:w="109"/>
        <w:gridCol w:w="109"/>
        <w:gridCol w:w="970"/>
        <w:gridCol w:w="970"/>
        <w:gridCol w:w="1374"/>
      </w:tblGrid>
      <w:tr>
        <w:trPr/>
        <w:tc>
          <w:tcPr>
            <w:tcW w:w="1410"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12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89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par value $0.0001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PWP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spacing w:lineRule="auto" w:line="288" w:before="80" w:after="283"/>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p>
    <w:p>
      <w:pPr>
        <w:pStyle w:val="TextBody"/>
        <w:spacing w:lineRule="auto" w:line="288" w:before="80" w:after="283"/>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p>
    <w:p>
      <w:pPr>
        <w:pStyle w:val="TextBody"/>
        <w:spacing w:lineRule="auto" w:line="288" w:before="80" w:after="80"/>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bl>
    <w:p>
      <w:pPr>
        <w:pStyle w:val="TextBody"/>
        <w:spacing w:lineRule="auto" w:line="288" w:before="80" w:after="283"/>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spacing w:lineRule="auto" w:line="288" w:before="80" w:after="283"/>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 xml:space="preserve">o </w:t>
      </w:r>
      <w:r>
        <w:rPr>
          <w:rFonts w:ascii="Times New Roman;sans-serif" w:hAnsi="Times New Roman;sans-serif"/>
          <w:b w:val="false"/>
          <w:color w:val="000000"/>
          <w:sz w:val="18"/>
        </w:rPr>
        <w:t xml:space="preserve">No </w:t>
      </w:r>
      <w:r>
        <w:rPr>
          <w:rFonts w:ascii="Wingdings;sans-serif" w:hAnsi="Wingdings;sans-serif"/>
          <w:b w:val="false"/>
          <w:color w:val="000000"/>
          <w:sz w:val="18"/>
        </w:rPr>
        <w:t>x</w:t>
      </w:r>
      <w:r>
        <w:rPr>
          <w:color w:val="000000"/>
        </w:rPr>
        <w:t xml:space="preserve"> </w:t>
      </w:r>
    </w:p>
    <w:p>
      <w:pPr>
        <w:pStyle w:val="TextBody"/>
        <w:spacing w:lineRule="auto" w:line="288" w:before="80" w:after="283"/>
        <w:rPr>
          <w:rFonts w:ascii="Times New Roman;sans-serif" w:hAnsi="Times New Roman;sans-serif"/>
          <w:b w:val="false"/>
          <w:color w:val="000000"/>
          <w:sz w:val="18"/>
        </w:rPr>
      </w:pPr>
      <w:r>
        <w:rPr>
          <w:rFonts w:ascii="Times New Roman;sans-serif" w:hAnsi="Times New Roman;sans-serif"/>
          <w:b w:val="false"/>
          <w:color w:val="000000"/>
          <w:sz w:val="18"/>
        </w:rPr>
        <w:t>As of May 1, 2023, the registrant had 41,859,792 shares of Class A common stock, par value $0.0001 per share, and 43,778,015 shares of Class B common stock, par value $0.0001 per share, outstanding.</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CellMar>
          <w:top w:w="28" w:type="dxa"/>
          <w:left w:w="28" w:type="dxa"/>
          <w:bottom w:w="28" w:type="dxa"/>
          <w:right w:w="28" w:type="dxa"/>
        </w:tblCellMar>
      </w:tblPr>
      <w:tblGrid>
        <w:gridCol w:w="305"/>
        <w:gridCol w:w="268"/>
        <w:gridCol w:w="270"/>
        <w:gridCol w:w="2927"/>
        <w:gridCol w:w="2927"/>
        <w:gridCol w:w="2934"/>
        <w:gridCol w:w="167"/>
        <w:gridCol w:w="167"/>
        <w:gridCol w:w="240"/>
      </w:tblGrid>
      <w:tr>
        <w:trPr/>
        <w:tc>
          <w:tcPr>
            <w:tcW w:w="305"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927" w:type="dxa"/>
            <w:tcBorders/>
            <w:shd w:fill="auto" w:val="clear"/>
            <w:vAlign w:val="center"/>
          </w:tcPr>
          <w:p>
            <w:pPr>
              <w:pStyle w:val="TableContents"/>
              <w:spacing w:before="0" w:after="283"/>
              <w:rPr>
                <w:sz w:val="4"/>
                <w:szCs w:val="4"/>
              </w:rPr>
            </w:pPr>
            <w:r>
              <w:rPr>
                <w:sz w:val="4"/>
                <w:szCs w:val="4"/>
              </w:rPr>
            </w:r>
          </w:p>
        </w:tc>
        <w:tc>
          <w:tcPr>
            <w:tcW w:w="2927" w:type="dxa"/>
            <w:tcBorders/>
            <w:shd w:fill="auto" w:val="clear"/>
            <w:vAlign w:val="center"/>
          </w:tcPr>
          <w:p>
            <w:pPr>
              <w:pStyle w:val="TableContents"/>
              <w:spacing w:before="0" w:after="283"/>
              <w:rPr>
                <w:sz w:val="4"/>
                <w:szCs w:val="4"/>
              </w:rPr>
            </w:pPr>
            <w:r>
              <w:rPr>
                <w:sz w:val="4"/>
                <w:szCs w:val="4"/>
              </w:rPr>
            </w:r>
          </w:p>
        </w:tc>
        <w:tc>
          <w:tcPr>
            <w:tcW w:w="2934"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r>
      <w:tr>
        <w:trPr/>
        <w:tc>
          <w:tcPr>
            <w:tcW w:w="8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3"/>
            <w:tcBorders/>
            <w:shd w:fill="auto" w:val="clear"/>
            <w:tcMar>
              <w:top w:w="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843" w:type="dxa"/>
            <w:gridSpan w:val="3"/>
            <w:tcBorders/>
            <w:shd w:fill="auto" w:val="clear"/>
            <w:tcMar>
              <w:top w:w="0" w:type="dxa"/>
              <w:left w:w="0" w:type="dxa"/>
              <w:bottom w:w="0" w:type="dxa"/>
              <w:right w:w="0" w:type="dxa"/>
            </w:tcMar>
            <w:vAlign w:val="center"/>
          </w:tcPr>
          <w:p>
            <w:pPr>
              <w:pStyle w:val="TableContents"/>
              <w:spacing w:lineRule="auto" w:line="312" w:before="0" w:after="0"/>
              <w:jc w:val="left"/>
              <w:rPr/>
            </w:pPr>
            <w:hyperlink w:anchor="i1cc0003ddf5845c7bc6bb4bd9cd34882_13">
              <w:r>
                <w:rPr>
                  <w:rStyle w:val="InternetLink"/>
                  <w:rFonts w:ascii="Times New Roman;sans-serif" w:hAnsi="Times New Roman;sans-serif"/>
                  <w:b/>
                  <w:color w:val="0000FF"/>
                  <w:sz w:val="20"/>
                  <w:u w:val="single"/>
                </w:rPr>
                <w:t>PART I.</w:t>
              </w:r>
            </w:hyperlink>
          </w:p>
        </w:tc>
        <w:tc>
          <w:tcPr>
            <w:tcW w:w="8788" w:type="dxa"/>
            <w:gridSpan w:val="3"/>
            <w:tcBorders/>
            <w:shd w:fill="auto" w:val="clear"/>
            <w:tcMar>
              <w:top w:w="0" w:type="dxa"/>
              <w:left w:w="0" w:type="dxa"/>
              <w:bottom w:w="0" w:type="dxa"/>
              <w:right w:w="0" w:type="dxa"/>
            </w:tcMar>
            <w:vAlign w:val="center"/>
          </w:tcPr>
          <w:p>
            <w:pPr>
              <w:pStyle w:val="TableContents"/>
              <w:spacing w:lineRule="auto" w:line="312" w:before="0" w:after="0"/>
              <w:jc w:val="left"/>
              <w:rPr/>
            </w:pPr>
            <w:hyperlink w:anchor="i1cc0003ddf5845c7bc6bb4bd9cd34882_13">
              <w:r>
                <w:rPr>
                  <w:rStyle w:val="InternetLink"/>
                  <w:rFonts w:ascii="Times New Roman;sans-serif" w:hAnsi="Times New Roman;sans-serif"/>
                  <w:b/>
                  <w:color w:val="0000FF"/>
                  <w:sz w:val="20"/>
                  <w:u w:val="single"/>
                </w:rPr>
                <w:t>FINANCIAL INFORMATION</w:t>
              </w:r>
            </w:hyperlink>
          </w:p>
        </w:tc>
        <w:tc>
          <w:tcPr>
            <w:tcW w:w="57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43" w:type="dxa"/>
            <w:gridSpan w:val="3"/>
            <w:tcBorders/>
            <w:shd w:fill="auto" w:val="clear"/>
            <w:tcMar>
              <w:top w:w="0" w:type="dxa"/>
              <w:left w:w="0" w:type="dxa"/>
              <w:bottom w:w="0" w:type="dxa"/>
              <w:right w:w="0" w:type="dxa"/>
            </w:tcMar>
            <w:vAlign w:val="center"/>
          </w:tcPr>
          <w:p>
            <w:pPr>
              <w:pStyle w:val="TableContents"/>
              <w:spacing w:lineRule="auto" w:line="312" w:before="0" w:after="0"/>
              <w:jc w:val="left"/>
              <w:rPr/>
            </w:pPr>
            <w:hyperlink w:anchor="i1cc0003ddf5845c7bc6bb4bd9cd34882_16">
              <w:r>
                <w:rPr>
                  <w:rStyle w:val="InternetLink"/>
                  <w:rFonts w:ascii="Times New Roman;sans-serif" w:hAnsi="Times New Roman;sans-serif"/>
                  <w:b w:val="false"/>
                  <w:color w:val="0000FF"/>
                  <w:sz w:val="20"/>
                  <w:u w:val="single"/>
                </w:rPr>
                <w:t>Item 1.</w:t>
              </w:r>
            </w:hyperlink>
          </w:p>
        </w:tc>
        <w:tc>
          <w:tcPr>
            <w:tcW w:w="8788" w:type="dxa"/>
            <w:gridSpan w:val="3"/>
            <w:tcBorders/>
            <w:shd w:fill="auto" w:val="clear"/>
            <w:tcMar>
              <w:top w:w="0" w:type="dxa"/>
              <w:left w:w="0" w:type="dxa"/>
              <w:bottom w:w="0" w:type="dxa"/>
              <w:right w:w="0" w:type="dxa"/>
            </w:tcMar>
            <w:vAlign w:val="center"/>
          </w:tcPr>
          <w:p>
            <w:pPr>
              <w:pStyle w:val="TableContents"/>
              <w:spacing w:lineRule="auto" w:line="312" w:before="0" w:after="0"/>
              <w:jc w:val="left"/>
              <w:rPr/>
            </w:pPr>
            <w:hyperlink w:anchor="i1cc0003ddf5845c7bc6bb4bd9cd34882_16">
              <w:r>
                <w:rPr>
                  <w:rStyle w:val="InternetLink"/>
                  <w:rFonts w:ascii="Times New Roman;sans-serif" w:hAnsi="Times New Roman;sans-serif"/>
                  <w:b w:val="false"/>
                  <w:color w:val="0000FF"/>
                  <w:sz w:val="20"/>
                  <w:u w:val="single"/>
                </w:rPr>
                <w:t>Financial Statements (Unaudited)</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312" w:before="0" w:after="0"/>
              <w:jc w:val="right"/>
              <w:rPr/>
            </w:pPr>
            <w:hyperlink w:anchor="i1cc0003ddf5845c7bc6bb4bd9cd34882_16">
              <w:r>
                <w:rPr>
                  <w:rStyle w:val="InternetLink"/>
                  <w:rFonts w:ascii="Times New Roman;sans-serif" w:hAnsi="Times New Roman;sans-serif"/>
                  <w:b w:val="false"/>
                  <w:color w:val="0000FF"/>
                  <w:sz w:val="20"/>
                  <w:u w:val="single"/>
                </w:rPr>
                <w:t>3</w:t>
              </w:r>
            </w:hyperlink>
          </w:p>
        </w:tc>
      </w:tr>
      <w:tr>
        <w:trPr/>
        <w:tc>
          <w:tcPr>
            <w:tcW w:w="8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8" w:type="dxa"/>
            <w:gridSpan w:val="3"/>
            <w:tcBorders/>
            <w:shd w:fill="auto" w:val="clear"/>
            <w:tcMar>
              <w:top w:w="0" w:type="dxa"/>
              <w:left w:w="0" w:type="dxa"/>
              <w:bottom w:w="0" w:type="dxa"/>
              <w:right w:w="0" w:type="dxa"/>
            </w:tcMar>
            <w:vAlign w:val="center"/>
          </w:tcPr>
          <w:p>
            <w:pPr>
              <w:pStyle w:val="TableContents"/>
              <w:spacing w:lineRule="auto" w:line="312" w:before="0" w:after="0"/>
              <w:jc w:val="left"/>
              <w:rPr/>
            </w:pPr>
            <w:hyperlink w:anchor="i1cc0003ddf5845c7bc6bb4bd9cd34882_19">
              <w:r>
                <w:rPr>
                  <w:rStyle w:val="InternetLink"/>
                  <w:rFonts w:ascii="Times New Roman;sans-serif" w:hAnsi="Times New Roman;sans-serif"/>
                  <w:b w:val="false"/>
                  <w:color w:val="0000FF"/>
                  <w:sz w:val="20"/>
                  <w:u w:val="single"/>
                </w:rPr>
                <w:t>Condensed Consolidated Statements of Financial Condition as of March 31, 2023 and December 31, 2022</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312" w:before="0" w:after="0"/>
              <w:jc w:val="right"/>
              <w:rPr/>
            </w:pPr>
            <w:hyperlink w:anchor="i1cc0003ddf5845c7bc6bb4bd9cd34882_19">
              <w:r>
                <w:rPr>
                  <w:rStyle w:val="InternetLink"/>
                  <w:rFonts w:ascii="Times New Roman;sans-serif" w:hAnsi="Times New Roman;sans-serif"/>
                  <w:b w:val="false"/>
                  <w:color w:val="0000FF"/>
                  <w:sz w:val="20"/>
                  <w:u w:val="single"/>
                </w:rPr>
                <w:t>3</w:t>
              </w:r>
            </w:hyperlink>
          </w:p>
        </w:tc>
      </w:tr>
      <w:tr>
        <w:trPr/>
        <w:tc>
          <w:tcPr>
            <w:tcW w:w="8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8" w:type="dxa"/>
            <w:gridSpan w:val="3"/>
            <w:tcBorders/>
            <w:shd w:fill="auto" w:val="clear"/>
            <w:tcMar>
              <w:top w:w="0" w:type="dxa"/>
              <w:left w:w="0" w:type="dxa"/>
              <w:bottom w:w="0" w:type="dxa"/>
              <w:right w:w="0" w:type="dxa"/>
            </w:tcMar>
            <w:vAlign w:val="center"/>
          </w:tcPr>
          <w:p>
            <w:pPr>
              <w:pStyle w:val="TableContents"/>
              <w:spacing w:lineRule="auto" w:line="312" w:before="0" w:after="0"/>
              <w:jc w:val="left"/>
              <w:rPr/>
            </w:pPr>
            <w:hyperlink w:anchor="i1cc0003ddf5845c7bc6bb4bd9cd34882_22">
              <w:r>
                <w:rPr>
                  <w:rStyle w:val="InternetLink"/>
                  <w:rFonts w:ascii="Times New Roman;sans-serif" w:hAnsi="Times New Roman;sans-serif"/>
                  <w:b w:val="false"/>
                  <w:color w:val="0000FF"/>
                  <w:sz w:val="20"/>
                  <w:u w:val="single"/>
                </w:rPr>
                <w:t>Condensed Consolidated Statements of Operations for the Three Months Ended March 31, 2023 and 2022</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312" w:before="0" w:after="0"/>
              <w:jc w:val="right"/>
              <w:rPr/>
            </w:pPr>
            <w:hyperlink w:anchor="i1cc0003ddf5845c7bc6bb4bd9cd34882_22">
              <w:r>
                <w:rPr>
                  <w:rStyle w:val="InternetLink"/>
                  <w:rFonts w:ascii="Times New Roman;sans-serif" w:hAnsi="Times New Roman;sans-serif"/>
                  <w:b w:val="false"/>
                  <w:color w:val="0000FF"/>
                  <w:sz w:val="20"/>
                  <w:u w:val="single"/>
                </w:rPr>
                <w:t>4</w:t>
              </w:r>
            </w:hyperlink>
          </w:p>
        </w:tc>
      </w:tr>
      <w:tr>
        <w:trPr/>
        <w:tc>
          <w:tcPr>
            <w:tcW w:w="8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8" w:type="dxa"/>
            <w:gridSpan w:val="3"/>
            <w:tcBorders/>
            <w:shd w:fill="auto" w:val="clear"/>
            <w:tcMar>
              <w:top w:w="0" w:type="dxa"/>
              <w:left w:w="0" w:type="dxa"/>
              <w:bottom w:w="0" w:type="dxa"/>
              <w:right w:w="0" w:type="dxa"/>
            </w:tcMar>
            <w:vAlign w:val="center"/>
          </w:tcPr>
          <w:p>
            <w:pPr>
              <w:pStyle w:val="TableContents"/>
              <w:spacing w:lineRule="auto" w:line="312" w:before="0" w:after="0"/>
              <w:jc w:val="left"/>
              <w:rPr/>
            </w:pPr>
            <w:hyperlink w:anchor="i1cc0003ddf5845c7bc6bb4bd9cd34882_25">
              <w:r>
                <w:rPr>
                  <w:rStyle w:val="InternetLink"/>
                </w:rPr>
                <w:t xml:space="preserve">Condensed Consolidated Statements of Comprehensive Income (Loss) for the Three </w:t>
              </w:r>
            </w:hyperlink>
            <w:hyperlink w:anchor="i1cc0003ddf5845c7bc6bb4bd9cd34882_25">
              <w:r>
                <w:rPr>
                  <w:rStyle w:val="InternetLink"/>
                </w:rPr>
                <w:t>Months Ended March 31, 2023 and 2022</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312" w:before="0" w:after="0"/>
              <w:jc w:val="right"/>
              <w:rPr/>
            </w:pPr>
            <w:hyperlink w:anchor="i1cc0003ddf5845c7bc6bb4bd9cd34882_25">
              <w:r>
                <w:rPr>
                  <w:rStyle w:val="InternetLink"/>
                  <w:rFonts w:ascii="Times New Roman;sans-serif" w:hAnsi="Times New Roman;sans-serif"/>
                  <w:b w:val="false"/>
                  <w:color w:val="0000FF"/>
                  <w:sz w:val="20"/>
                  <w:u w:val="single"/>
                </w:rPr>
                <w:t>5</w:t>
              </w:r>
            </w:hyperlink>
          </w:p>
        </w:tc>
      </w:tr>
      <w:tr>
        <w:trPr/>
        <w:tc>
          <w:tcPr>
            <w:tcW w:w="8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8" w:type="dxa"/>
            <w:gridSpan w:val="3"/>
            <w:tcBorders/>
            <w:shd w:fill="auto" w:val="clear"/>
            <w:tcMar>
              <w:top w:w="0" w:type="dxa"/>
              <w:left w:w="0" w:type="dxa"/>
              <w:bottom w:w="0" w:type="dxa"/>
              <w:right w:w="0" w:type="dxa"/>
            </w:tcMar>
            <w:vAlign w:val="center"/>
          </w:tcPr>
          <w:p>
            <w:pPr>
              <w:pStyle w:val="TableContents"/>
              <w:spacing w:lineRule="auto" w:line="312" w:before="0" w:after="0"/>
              <w:jc w:val="left"/>
              <w:rPr/>
            </w:pPr>
            <w:hyperlink w:anchor="i1cc0003ddf5845c7bc6bb4bd9cd34882_28">
              <w:r>
                <w:rPr>
                  <w:rStyle w:val="InternetLink"/>
                  <w:rFonts w:ascii="Times New Roman;sans-serif" w:hAnsi="Times New Roman;sans-serif"/>
                  <w:b w:val="false"/>
                  <w:color w:val="0000FF"/>
                  <w:sz w:val="20"/>
                  <w:u w:val="single"/>
                </w:rPr>
                <w:t>Condensed Consolidated Statements of Changes in Equity for the Three Months Ended March 31, 2023 and 2022</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312" w:before="0" w:after="0"/>
              <w:jc w:val="right"/>
              <w:rPr/>
            </w:pPr>
            <w:hyperlink w:anchor="i1cc0003ddf5845c7bc6bb4bd9cd34882_28">
              <w:r>
                <w:rPr>
                  <w:rStyle w:val="InternetLink"/>
                  <w:rFonts w:ascii="Times New Roman;sans-serif" w:hAnsi="Times New Roman;sans-serif"/>
                  <w:b w:val="false"/>
                  <w:color w:val="0000FF"/>
                  <w:sz w:val="20"/>
                  <w:u w:val="single"/>
                </w:rPr>
                <w:t>6</w:t>
              </w:r>
            </w:hyperlink>
          </w:p>
        </w:tc>
      </w:tr>
      <w:tr>
        <w:trPr/>
        <w:tc>
          <w:tcPr>
            <w:tcW w:w="8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8" w:type="dxa"/>
            <w:gridSpan w:val="3"/>
            <w:tcBorders/>
            <w:shd w:fill="auto" w:val="clear"/>
            <w:tcMar>
              <w:top w:w="0" w:type="dxa"/>
              <w:left w:w="0" w:type="dxa"/>
              <w:bottom w:w="0" w:type="dxa"/>
              <w:right w:w="0" w:type="dxa"/>
            </w:tcMar>
            <w:vAlign w:val="center"/>
          </w:tcPr>
          <w:p>
            <w:pPr>
              <w:pStyle w:val="TableContents"/>
              <w:spacing w:lineRule="auto" w:line="312" w:before="0" w:after="0"/>
              <w:jc w:val="left"/>
              <w:rPr/>
            </w:pPr>
            <w:hyperlink w:anchor="i1cc0003ddf5845c7bc6bb4bd9cd34882_31">
              <w:r>
                <w:rPr>
                  <w:rStyle w:val="InternetLink"/>
                  <w:rFonts w:ascii="Times New Roman;sans-serif" w:hAnsi="Times New Roman;sans-serif"/>
                  <w:b w:val="false"/>
                  <w:color w:val="0000FF"/>
                  <w:sz w:val="20"/>
                  <w:u w:val="single"/>
                </w:rPr>
                <w:t>Condensed Consolidated Statements of Cash Flows for the Three Months Ended March 31, 2023 and 2022</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312" w:before="0" w:after="0"/>
              <w:jc w:val="right"/>
              <w:rPr/>
            </w:pPr>
            <w:hyperlink w:anchor="i1cc0003ddf5845c7bc6bb4bd9cd34882_31">
              <w:r>
                <w:rPr>
                  <w:rStyle w:val="InternetLink"/>
                  <w:rFonts w:ascii="Times New Roman;sans-serif" w:hAnsi="Times New Roman;sans-serif"/>
                  <w:b w:val="false"/>
                  <w:color w:val="0000FF"/>
                  <w:sz w:val="20"/>
                  <w:u w:val="single"/>
                </w:rPr>
                <w:t>8</w:t>
              </w:r>
            </w:hyperlink>
          </w:p>
        </w:tc>
      </w:tr>
      <w:tr>
        <w:trPr/>
        <w:tc>
          <w:tcPr>
            <w:tcW w:w="8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8" w:type="dxa"/>
            <w:gridSpan w:val="3"/>
            <w:tcBorders/>
            <w:shd w:fill="auto" w:val="clear"/>
            <w:tcMar>
              <w:top w:w="0" w:type="dxa"/>
              <w:left w:w="0" w:type="dxa"/>
              <w:bottom w:w="0" w:type="dxa"/>
              <w:right w:w="0" w:type="dxa"/>
            </w:tcMar>
            <w:vAlign w:val="center"/>
          </w:tcPr>
          <w:p>
            <w:pPr>
              <w:pStyle w:val="TableContents"/>
              <w:spacing w:lineRule="auto" w:line="312" w:before="0" w:after="0"/>
              <w:jc w:val="left"/>
              <w:rPr/>
            </w:pPr>
            <w:hyperlink w:anchor="i1cc0003ddf5845c7bc6bb4bd9cd34882_34">
              <w:r>
                <w:rPr>
                  <w:rStyle w:val="InternetLink"/>
                  <w:rFonts w:ascii="Times New Roman;sans-serif" w:hAnsi="Times New Roman;sans-serif"/>
                  <w:b w:val="false"/>
                  <w:color w:val="0000FF"/>
                  <w:sz w:val="20"/>
                  <w:u w:val="single"/>
                </w:rPr>
                <w:t>Notes to Condensed Consolidated Financial Statements (Unaudited)</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312" w:before="0" w:after="0"/>
              <w:jc w:val="right"/>
              <w:rPr/>
            </w:pPr>
            <w:hyperlink w:anchor="i1cc0003ddf5845c7bc6bb4bd9cd34882_34">
              <w:r>
                <w:rPr>
                  <w:rStyle w:val="InternetLink"/>
                  <w:rFonts w:ascii="Times New Roman;sans-serif" w:hAnsi="Times New Roman;sans-serif"/>
                  <w:b w:val="false"/>
                  <w:color w:val="0000FF"/>
                  <w:sz w:val="20"/>
                  <w:u w:val="single"/>
                </w:rPr>
                <w:t>9</w:t>
              </w:r>
            </w:hyperlink>
          </w:p>
        </w:tc>
      </w:tr>
      <w:tr>
        <w:trPr/>
        <w:tc>
          <w:tcPr>
            <w:tcW w:w="843" w:type="dxa"/>
            <w:gridSpan w:val="3"/>
            <w:tcBorders/>
            <w:shd w:fill="auto" w:val="clear"/>
            <w:tcMar>
              <w:top w:w="0" w:type="dxa"/>
              <w:left w:w="0" w:type="dxa"/>
              <w:bottom w:w="0" w:type="dxa"/>
              <w:right w:w="0" w:type="dxa"/>
            </w:tcMar>
            <w:vAlign w:val="center"/>
          </w:tcPr>
          <w:p>
            <w:pPr>
              <w:pStyle w:val="TableContents"/>
              <w:spacing w:lineRule="auto" w:line="312" w:before="0" w:after="0"/>
              <w:jc w:val="left"/>
              <w:rPr/>
            </w:pPr>
            <w:hyperlink w:anchor="i1cc0003ddf5845c7bc6bb4bd9cd34882_106">
              <w:r>
                <w:rPr>
                  <w:rStyle w:val="InternetLink"/>
                  <w:rFonts w:ascii="Times New Roman;sans-serif" w:hAnsi="Times New Roman;sans-serif"/>
                  <w:b w:val="false"/>
                  <w:color w:val="0000FF"/>
                  <w:sz w:val="20"/>
                  <w:u w:val="single"/>
                </w:rPr>
                <w:t>Item 2.</w:t>
              </w:r>
            </w:hyperlink>
          </w:p>
        </w:tc>
        <w:tc>
          <w:tcPr>
            <w:tcW w:w="8788" w:type="dxa"/>
            <w:gridSpan w:val="3"/>
            <w:tcBorders/>
            <w:shd w:fill="auto" w:val="clear"/>
            <w:tcMar>
              <w:top w:w="0" w:type="dxa"/>
              <w:left w:w="0" w:type="dxa"/>
              <w:bottom w:w="0" w:type="dxa"/>
              <w:right w:w="0" w:type="dxa"/>
            </w:tcMar>
            <w:vAlign w:val="center"/>
          </w:tcPr>
          <w:p>
            <w:pPr>
              <w:pStyle w:val="TableContents"/>
              <w:spacing w:lineRule="auto" w:line="312" w:before="0" w:after="0"/>
              <w:jc w:val="left"/>
              <w:rPr/>
            </w:pPr>
            <w:hyperlink w:anchor="i1cc0003ddf5845c7bc6bb4bd9cd34882_10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312" w:before="0" w:after="0"/>
              <w:jc w:val="right"/>
              <w:rPr/>
            </w:pPr>
            <w:hyperlink w:anchor="i1cc0003ddf5845c7bc6bb4bd9cd34882_106">
              <w:r>
                <w:rPr>
                  <w:rStyle w:val="InternetLink"/>
                  <w:rFonts w:ascii="Times New Roman;sans-serif" w:hAnsi="Times New Roman;sans-serif"/>
                  <w:b w:val="false"/>
                  <w:color w:val="0000FF"/>
                  <w:sz w:val="20"/>
                  <w:u w:val="single"/>
                </w:rPr>
                <w:t>27</w:t>
              </w:r>
            </w:hyperlink>
          </w:p>
        </w:tc>
      </w:tr>
      <w:tr>
        <w:trPr/>
        <w:tc>
          <w:tcPr>
            <w:tcW w:w="843" w:type="dxa"/>
            <w:gridSpan w:val="3"/>
            <w:tcBorders/>
            <w:shd w:fill="auto" w:val="clear"/>
            <w:tcMar>
              <w:top w:w="0" w:type="dxa"/>
              <w:left w:w="0" w:type="dxa"/>
              <w:bottom w:w="0" w:type="dxa"/>
              <w:right w:w="0" w:type="dxa"/>
            </w:tcMar>
            <w:vAlign w:val="center"/>
          </w:tcPr>
          <w:p>
            <w:pPr>
              <w:pStyle w:val="TableContents"/>
              <w:spacing w:lineRule="auto" w:line="312" w:before="0" w:after="0"/>
              <w:jc w:val="left"/>
              <w:rPr/>
            </w:pPr>
            <w:hyperlink w:anchor="i1cc0003ddf5845c7bc6bb4bd9cd34882_130">
              <w:r>
                <w:rPr>
                  <w:rStyle w:val="InternetLink"/>
                  <w:rFonts w:ascii="Times New Roman;sans-serif" w:hAnsi="Times New Roman;sans-serif"/>
                  <w:b w:val="false"/>
                  <w:color w:val="0000FF"/>
                  <w:sz w:val="20"/>
                  <w:u w:val="single"/>
                </w:rPr>
                <w:t>Item 3.</w:t>
              </w:r>
            </w:hyperlink>
          </w:p>
        </w:tc>
        <w:tc>
          <w:tcPr>
            <w:tcW w:w="8788" w:type="dxa"/>
            <w:gridSpan w:val="3"/>
            <w:tcBorders/>
            <w:shd w:fill="auto" w:val="clear"/>
            <w:tcMar>
              <w:top w:w="0" w:type="dxa"/>
              <w:left w:w="0" w:type="dxa"/>
              <w:bottom w:w="0" w:type="dxa"/>
              <w:right w:w="0" w:type="dxa"/>
            </w:tcMar>
            <w:vAlign w:val="center"/>
          </w:tcPr>
          <w:p>
            <w:pPr>
              <w:pStyle w:val="TableContents"/>
              <w:spacing w:lineRule="auto" w:line="312" w:before="0" w:after="0"/>
              <w:jc w:val="left"/>
              <w:rPr/>
            </w:pPr>
            <w:hyperlink w:anchor="i1cc0003ddf5845c7bc6bb4bd9cd34882_130">
              <w:r>
                <w:rPr>
                  <w:rStyle w:val="InternetLink"/>
                  <w:rFonts w:ascii="Times New Roman;sans-serif" w:hAnsi="Times New Roman;sans-serif"/>
                  <w:b w:val="false"/>
                  <w:color w:val="0000FF"/>
                  <w:sz w:val="20"/>
                  <w:u w:val="single"/>
                </w:rPr>
                <w:t>Quantitative and Qualitative Disclosures About Market Risk</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312" w:before="0" w:after="0"/>
              <w:jc w:val="right"/>
              <w:rPr/>
            </w:pPr>
            <w:hyperlink w:anchor="i1cc0003ddf5845c7bc6bb4bd9cd34882_130">
              <w:r>
                <w:rPr>
                  <w:rStyle w:val="InternetLink"/>
                  <w:rFonts w:ascii="Times New Roman;sans-serif" w:hAnsi="Times New Roman;sans-serif"/>
                  <w:b w:val="false"/>
                  <w:color w:val="0000FF"/>
                  <w:sz w:val="20"/>
                  <w:u w:val="single"/>
                </w:rPr>
                <w:t>35</w:t>
              </w:r>
            </w:hyperlink>
          </w:p>
        </w:tc>
      </w:tr>
      <w:tr>
        <w:trPr/>
        <w:tc>
          <w:tcPr>
            <w:tcW w:w="843" w:type="dxa"/>
            <w:gridSpan w:val="3"/>
            <w:tcBorders/>
            <w:shd w:fill="auto" w:val="clear"/>
            <w:tcMar>
              <w:top w:w="0" w:type="dxa"/>
              <w:left w:w="0" w:type="dxa"/>
              <w:bottom w:w="0" w:type="dxa"/>
              <w:right w:w="0" w:type="dxa"/>
            </w:tcMar>
            <w:vAlign w:val="center"/>
          </w:tcPr>
          <w:p>
            <w:pPr>
              <w:pStyle w:val="TableContents"/>
              <w:spacing w:lineRule="auto" w:line="312" w:before="0" w:after="0"/>
              <w:jc w:val="left"/>
              <w:rPr/>
            </w:pPr>
            <w:hyperlink w:anchor="i1cc0003ddf5845c7bc6bb4bd9cd34882_133">
              <w:r>
                <w:rPr>
                  <w:rStyle w:val="InternetLink"/>
                  <w:rFonts w:ascii="Times New Roman;sans-serif" w:hAnsi="Times New Roman;sans-serif"/>
                  <w:b w:val="false"/>
                  <w:color w:val="0000FF"/>
                  <w:sz w:val="20"/>
                  <w:u w:val="single"/>
                </w:rPr>
                <w:t>Item 4.</w:t>
              </w:r>
            </w:hyperlink>
          </w:p>
        </w:tc>
        <w:tc>
          <w:tcPr>
            <w:tcW w:w="8788" w:type="dxa"/>
            <w:gridSpan w:val="3"/>
            <w:tcBorders/>
            <w:shd w:fill="auto" w:val="clear"/>
            <w:tcMar>
              <w:top w:w="0" w:type="dxa"/>
              <w:left w:w="0" w:type="dxa"/>
              <w:bottom w:w="0" w:type="dxa"/>
              <w:right w:w="0" w:type="dxa"/>
            </w:tcMar>
            <w:vAlign w:val="center"/>
          </w:tcPr>
          <w:p>
            <w:pPr>
              <w:pStyle w:val="TableContents"/>
              <w:spacing w:lineRule="auto" w:line="312" w:before="0" w:after="0"/>
              <w:jc w:val="left"/>
              <w:rPr/>
            </w:pPr>
            <w:hyperlink w:anchor="i1cc0003ddf5845c7bc6bb4bd9cd34882_133">
              <w:r>
                <w:rPr>
                  <w:rStyle w:val="InternetLink"/>
                  <w:rFonts w:ascii="Times New Roman;sans-serif" w:hAnsi="Times New Roman;sans-serif"/>
                  <w:b w:val="false"/>
                  <w:color w:val="0000FF"/>
                  <w:sz w:val="20"/>
                  <w:u w:val="single"/>
                </w:rPr>
                <w:t>Controls and Procedures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312" w:before="0" w:after="0"/>
              <w:jc w:val="right"/>
              <w:rPr/>
            </w:pPr>
            <w:hyperlink w:anchor="i1cc0003ddf5845c7bc6bb4bd9cd34882_133">
              <w:r>
                <w:rPr>
                  <w:rStyle w:val="InternetLink"/>
                  <w:rFonts w:ascii="Times New Roman;sans-serif" w:hAnsi="Times New Roman;sans-serif"/>
                  <w:b w:val="false"/>
                  <w:color w:val="0000FF"/>
                  <w:sz w:val="20"/>
                  <w:u w:val="single"/>
                </w:rPr>
                <w:t>35</w:t>
              </w:r>
            </w:hyperlink>
          </w:p>
        </w:tc>
      </w:tr>
      <w:tr>
        <w:trPr/>
        <w:tc>
          <w:tcPr>
            <w:tcW w:w="843" w:type="dxa"/>
            <w:gridSpan w:val="3"/>
            <w:tcBorders/>
            <w:shd w:fill="auto" w:val="clear"/>
            <w:tcMar>
              <w:top w:w="0" w:type="dxa"/>
              <w:left w:w="0" w:type="dxa"/>
              <w:bottom w:w="0" w:type="dxa"/>
              <w:right w:w="0" w:type="dxa"/>
            </w:tcMar>
            <w:vAlign w:val="center"/>
          </w:tcPr>
          <w:p>
            <w:pPr>
              <w:pStyle w:val="TableContents"/>
              <w:spacing w:lineRule="auto" w:line="312" w:before="0" w:after="0"/>
              <w:jc w:val="left"/>
              <w:rPr/>
            </w:pPr>
            <w:hyperlink w:anchor="i1cc0003ddf5845c7bc6bb4bd9cd34882_136">
              <w:r>
                <w:rPr>
                  <w:rStyle w:val="InternetLink"/>
                  <w:rFonts w:ascii="Times New Roman;sans-serif" w:hAnsi="Times New Roman;sans-serif"/>
                  <w:b/>
                  <w:color w:val="0000FF"/>
                  <w:sz w:val="20"/>
                  <w:u w:val="single"/>
                </w:rPr>
                <w:t>PART II.</w:t>
              </w:r>
            </w:hyperlink>
          </w:p>
        </w:tc>
        <w:tc>
          <w:tcPr>
            <w:tcW w:w="8788" w:type="dxa"/>
            <w:gridSpan w:val="3"/>
            <w:tcBorders/>
            <w:shd w:fill="auto" w:val="clear"/>
            <w:tcMar>
              <w:top w:w="0" w:type="dxa"/>
              <w:left w:w="0" w:type="dxa"/>
              <w:bottom w:w="0" w:type="dxa"/>
              <w:right w:w="0" w:type="dxa"/>
            </w:tcMar>
            <w:vAlign w:val="center"/>
          </w:tcPr>
          <w:p>
            <w:pPr>
              <w:pStyle w:val="TableContents"/>
              <w:spacing w:lineRule="auto" w:line="312" w:before="0" w:after="0"/>
              <w:jc w:val="left"/>
              <w:rPr/>
            </w:pPr>
            <w:hyperlink w:anchor="i1cc0003ddf5845c7bc6bb4bd9cd34882_136">
              <w:r>
                <w:rPr>
                  <w:rStyle w:val="InternetLink"/>
                  <w:rFonts w:ascii="Times New Roman;sans-serif" w:hAnsi="Times New Roman;sans-serif"/>
                  <w:b/>
                  <w:color w:val="0000FF"/>
                  <w:sz w:val="20"/>
                  <w:u w:val="single"/>
                </w:rPr>
                <w:t>OTHER INFORMATION</w:t>
              </w:r>
            </w:hyperlink>
          </w:p>
        </w:tc>
        <w:tc>
          <w:tcPr>
            <w:tcW w:w="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3" w:type="dxa"/>
            <w:gridSpan w:val="3"/>
            <w:tcBorders/>
            <w:shd w:fill="auto" w:val="clear"/>
            <w:tcMar>
              <w:top w:w="0" w:type="dxa"/>
              <w:left w:w="0" w:type="dxa"/>
              <w:bottom w:w="0" w:type="dxa"/>
              <w:right w:w="0" w:type="dxa"/>
            </w:tcMar>
            <w:vAlign w:val="center"/>
          </w:tcPr>
          <w:p>
            <w:pPr>
              <w:pStyle w:val="TableContents"/>
              <w:spacing w:lineRule="auto" w:line="312" w:before="0" w:after="0"/>
              <w:jc w:val="left"/>
              <w:rPr/>
            </w:pPr>
            <w:hyperlink w:anchor="i1cc0003ddf5845c7bc6bb4bd9cd34882_139">
              <w:r>
                <w:rPr>
                  <w:rStyle w:val="InternetLink"/>
                  <w:rFonts w:ascii="Times New Roman;sans-serif" w:hAnsi="Times New Roman;sans-serif"/>
                  <w:b w:val="false"/>
                  <w:color w:val="0000FF"/>
                  <w:sz w:val="20"/>
                  <w:u w:val="single"/>
                </w:rPr>
                <w:t>Item 1.</w:t>
              </w:r>
            </w:hyperlink>
          </w:p>
        </w:tc>
        <w:tc>
          <w:tcPr>
            <w:tcW w:w="8788" w:type="dxa"/>
            <w:gridSpan w:val="3"/>
            <w:tcBorders/>
            <w:shd w:fill="auto" w:val="clear"/>
            <w:tcMar>
              <w:top w:w="0" w:type="dxa"/>
              <w:left w:w="0" w:type="dxa"/>
              <w:bottom w:w="0" w:type="dxa"/>
              <w:right w:w="0" w:type="dxa"/>
            </w:tcMar>
            <w:vAlign w:val="center"/>
          </w:tcPr>
          <w:p>
            <w:pPr>
              <w:pStyle w:val="TableContents"/>
              <w:spacing w:lineRule="auto" w:line="312" w:before="0" w:after="0"/>
              <w:jc w:val="left"/>
              <w:rPr/>
            </w:pPr>
            <w:hyperlink w:anchor="i1cc0003ddf5845c7bc6bb4bd9cd34882_139">
              <w:r>
                <w:rPr>
                  <w:rStyle w:val="InternetLink"/>
                  <w:rFonts w:ascii="Times New Roman;sans-serif" w:hAnsi="Times New Roman;sans-serif"/>
                  <w:b w:val="false"/>
                  <w:color w:val="0000FF"/>
                  <w:sz w:val="20"/>
                  <w:u w:val="single"/>
                </w:rPr>
                <w:t>Legal Proceedings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312" w:before="0" w:after="0"/>
              <w:jc w:val="right"/>
              <w:rPr/>
            </w:pPr>
            <w:hyperlink w:anchor="i1cc0003ddf5845c7bc6bb4bd9cd34882_139">
              <w:r>
                <w:rPr>
                  <w:rStyle w:val="InternetLink"/>
                  <w:rFonts w:ascii="Times New Roman;sans-serif" w:hAnsi="Times New Roman;sans-serif"/>
                  <w:b w:val="false"/>
                  <w:color w:val="0000FF"/>
                  <w:sz w:val="20"/>
                  <w:u w:val="single"/>
                </w:rPr>
                <w:t>37</w:t>
              </w:r>
            </w:hyperlink>
          </w:p>
        </w:tc>
      </w:tr>
      <w:tr>
        <w:trPr/>
        <w:tc>
          <w:tcPr>
            <w:tcW w:w="843" w:type="dxa"/>
            <w:gridSpan w:val="3"/>
            <w:tcBorders/>
            <w:shd w:fill="auto" w:val="clear"/>
            <w:tcMar>
              <w:top w:w="0" w:type="dxa"/>
              <w:left w:w="0" w:type="dxa"/>
              <w:bottom w:w="0" w:type="dxa"/>
              <w:right w:w="0" w:type="dxa"/>
            </w:tcMar>
            <w:vAlign w:val="center"/>
          </w:tcPr>
          <w:p>
            <w:pPr>
              <w:pStyle w:val="TableContents"/>
              <w:spacing w:lineRule="auto" w:line="312" w:before="0" w:after="0"/>
              <w:jc w:val="left"/>
              <w:rPr/>
            </w:pPr>
            <w:hyperlink w:anchor="i1cc0003ddf5845c7bc6bb4bd9cd34882_142">
              <w:r>
                <w:rPr>
                  <w:rStyle w:val="InternetLink"/>
                  <w:rFonts w:ascii="Times New Roman;sans-serif" w:hAnsi="Times New Roman;sans-serif"/>
                  <w:b w:val="false"/>
                  <w:color w:val="0000FF"/>
                  <w:sz w:val="20"/>
                  <w:u w:val="single"/>
                </w:rPr>
                <w:t>Item 1A.</w:t>
              </w:r>
            </w:hyperlink>
          </w:p>
        </w:tc>
        <w:tc>
          <w:tcPr>
            <w:tcW w:w="8788" w:type="dxa"/>
            <w:gridSpan w:val="3"/>
            <w:tcBorders/>
            <w:shd w:fill="auto" w:val="clear"/>
            <w:tcMar>
              <w:top w:w="0" w:type="dxa"/>
              <w:left w:w="0" w:type="dxa"/>
              <w:bottom w:w="0" w:type="dxa"/>
              <w:right w:w="0" w:type="dxa"/>
            </w:tcMar>
            <w:vAlign w:val="center"/>
          </w:tcPr>
          <w:p>
            <w:pPr>
              <w:pStyle w:val="TableContents"/>
              <w:spacing w:lineRule="auto" w:line="312" w:before="0" w:after="0"/>
              <w:jc w:val="left"/>
              <w:rPr/>
            </w:pPr>
            <w:hyperlink w:anchor="i1cc0003ddf5845c7bc6bb4bd9cd34882_142">
              <w:r>
                <w:rPr>
                  <w:rStyle w:val="InternetLink"/>
                  <w:rFonts w:ascii="Times New Roman;sans-serif" w:hAnsi="Times New Roman;sans-serif"/>
                  <w:b w:val="false"/>
                  <w:color w:val="0000FF"/>
                  <w:sz w:val="20"/>
                  <w:u w:val="single"/>
                </w:rPr>
                <w:t>Risk Factors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312" w:before="0" w:after="0"/>
              <w:jc w:val="right"/>
              <w:rPr/>
            </w:pPr>
            <w:hyperlink w:anchor="i1cc0003ddf5845c7bc6bb4bd9cd34882_142">
              <w:r>
                <w:rPr>
                  <w:rStyle w:val="InternetLink"/>
                  <w:rFonts w:ascii="Times New Roman;sans-serif" w:hAnsi="Times New Roman;sans-serif"/>
                  <w:b w:val="false"/>
                  <w:color w:val="0000FF"/>
                  <w:sz w:val="20"/>
                  <w:u w:val="single"/>
                </w:rPr>
                <w:t>37</w:t>
              </w:r>
            </w:hyperlink>
          </w:p>
        </w:tc>
      </w:tr>
      <w:tr>
        <w:trPr/>
        <w:tc>
          <w:tcPr>
            <w:tcW w:w="843" w:type="dxa"/>
            <w:gridSpan w:val="3"/>
            <w:tcBorders/>
            <w:shd w:fill="auto" w:val="clear"/>
            <w:tcMar>
              <w:top w:w="0" w:type="dxa"/>
              <w:left w:w="0" w:type="dxa"/>
              <w:bottom w:w="0" w:type="dxa"/>
              <w:right w:w="0" w:type="dxa"/>
            </w:tcMar>
            <w:vAlign w:val="center"/>
          </w:tcPr>
          <w:p>
            <w:pPr>
              <w:pStyle w:val="TableContents"/>
              <w:spacing w:lineRule="auto" w:line="312" w:before="0" w:after="0"/>
              <w:jc w:val="left"/>
              <w:rPr/>
            </w:pPr>
            <w:hyperlink w:anchor="i1cc0003ddf5845c7bc6bb4bd9cd34882_145">
              <w:r>
                <w:rPr>
                  <w:rStyle w:val="InternetLink"/>
                  <w:rFonts w:ascii="Times New Roman;sans-serif" w:hAnsi="Times New Roman;sans-serif"/>
                  <w:b w:val="false"/>
                  <w:color w:val="0000FF"/>
                  <w:sz w:val="20"/>
                  <w:u w:val="single"/>
                </w:rPr>
                <w:t>Item 2.</w:t>
              </w:r>
            </w:hyperlink>
          </w:p>
        </w:tc>
        <w:tc>
          <w:tcPr>
            <w:tcW w:w="8788" w:type="dxa"/>
            <w:gridSpan w:val="3"/>
            <w:tcBorders/>
            <w:shd w:fill="auto" w:val="clear"/>
            <w:tcMar>
              <w:top w:w="0" w:type="dxa"/>
              <w:left w:w="0" w:type="dxa"/>
              <w:bottom w:w="0" w:type="dxa"/>
              <w:right w:w="0" w:type="dxa"/>
            </w:tcMar>
            <w:vAlign w:val="center"/>
          </w:tcPr>
          <w:p>
            <w:pPr>
              <w:pStyle w:val="TableContents"/>
              <w:spacing w:lineRule="auto" w:line="312" w:before="0" w:after="0"/>
              <w:jc w:val="left"/>
              <w:rPr/>
            </w:pPr>
            <w:hyperlink w:anchor="i1cc0003ddf5845c7bc6bb4bd9cd34882_145">
              <w:r>
                <w:rPr>
                  <w:rStyle w:val="InternetLink"/>
                  <w:rFonts w:ascii="Times New Roman;sans-serif" w:hAnsi="Times New Roman;sans-serif"/>
                  <w:b w:val="false"/>
                  <w:color w:val="0000FF"/>
                  <w:sz w:val="20"/>
                  <w:u w:val="single"/>
                </w:rPr>
                <w:t>Unregistered Sales of Equity Securities and Use of Proceeds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312" w:before="0" w:after="0"/>
              <w:jc w:val="right"/>
              <w:rPr/>
            </w:pPr>
            <w:hyperlink w:anchor="i1cc0003ddf5845c7bc6bb4bd9cd34882_145">
              <w:r>
                <w:rPr>
                  <w:rStyle w:val="InternetLink"/>
                  <w:rFonts w:ascii="Times New Roman;sans-serif" w:hAnsi="Times New Roman;sans-serif"/>
                  <w:b w:val="false"/>
                  <w:color w:val="0000FF"/>
                  <w:sz w:val="20"/>
                  <w:u w:val="single"/>
                </w:rPr>
                <w:t>37</w:t>
              </w:r>
            </w:hyperlink>
          </w:p>
        </w:tc>
      </w:tr>
      <w:tr>
        <w:trPr/>
        <w:tc>
          <w:tcPr>
            <w:tcW w:w="843" w:type="dxa"/>
            <w:gridSpan w:val="3"/>
            <w:tcBorders/>
            <w:shd w:fill="auto" w:val="clear"/>
            <w:tcMar>
              <w:top w:w="0" w:type="dxa"/>
              <w:left w:w="0" w:type="dxa"/>
              <w:bottom w:w="0" w:type="dxa"/>
              <w:right w:w="0" w:type="dxa"/>
            </w:tcMar>
            <w:vAlign w:val="center"/>
          </w:tcPr>
          <w:p>
            <w:pPr>
              <w:pStyle w:val="TableContents"/>
              <w:spacing w:lineRule="auto" w:line="312" w:before="0" w:after="0"/>
              <w:jc w:val="left"/>
              <w:rPr/>
            </w:pPr>
            <w:hyperlink w:anchor="i1cc0003ddf5845c7bc6bb4bd9cd34882_151">
              <w:r>
                <w:rPr>
                  <w:rStyle w:val="InternetLink"/>
                  <w:rFonts w:ascii="Times New Roman;sans-serif" w:hAnsi="Times New Roman;sans-serif"/>
                  <w:b w:val="false"/>
                  <w:color w:val="0000FF"/>
                  <w:sz w:val="20"/>
                  <w:u w:val="single"/>
                </w:rPr>
                <w:t>Item 3.</w:t>
              </w:r>
            </w:hyperlink>
          </w:p>
        </w:tc>
        <w:tc>
          <w:tcPr>
            <w:tcW w:w="8788" w:type="dxa"/>
            <w:gridSpan w:val="3"/>
            <w:tcBorders/>
            <w:shd w:fill="auto" w:val="clear"/>
            <w:tcMar>
              <w:top w:w="0" w:type="dxa"/>
              <w:left w:w="0" w:type="dxa"/>
              <w:bottom w:w="0" w:type="dxa"/>
              <w:right w:w="0" w:type="dxa"/>
            </w:tcMar>
            <w:vAlign w:val="center"/>
          </w:tcPr>
          <w:p>
            <w:pPr>
              <w:pStyle w:val="TableContents"/>
              <w:spacing w:lineRule="auto" w:line="312" w:before="0" w:after="0"/>
              <w:jc w:val="left"/>
              <w:rPr/>
            </w:pPr>
            <w:hyperlink w:anchor="i1cc0003ddf5845c7bc6bb4bd9cd34882_151">
              <w:r>
                <w:rPr>
                  <w:rStyle w:val="InternetLink"/>
                  <w:rFonts w:ascii="Times New Roman;sans-serif" w:hAnsi="Times New Roman;sans-serif"/>
                  <w:b w:val="false"/>
                  <w:color w:val="0000FF"/>
                  <w:sz w:val="20"/>
                  <w:u w:val="single"/>
                </w:rPr>
                <w:t>Defaults Upon Senior Securities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312" w:before="0" w:after="0"/>
              <w:jc w:val="right"/>
              <w:rPr/>
            </w:pPr>
            <w:hyperlink w:anchor="i1cc0003ddf5845c7bc6bb4bd9cd34882_151">
              <w:r>
                <w:rPr>
                  <w:rStyle w:val="InternetLink"/>
                  <w:rFonts w:ascii="Times New Roman;sans-serif" w:hAnsi="Times New Roman;sans-serif"/>
                  <w:b w:val="false"/>
                  <w:color w:val="0000FF"/>
                  <w:sz w:val="20"/>
                  <w:u w:val="single"/>
                </w:rPr>
                <w:t>37</w:t>
              </w:r>
            </w:hyperlink>
          </w:p>
        </w:tc>
      </w:tr>
      <w:tr>
        <w:trPr/>
        <w:tc>
          <w:tcPr>
            <w:tcW w:w="843" w:type="dxa"/>
            <w:gridSpan w:val="3"/>
            <w:tcBorders/>
            <w:shd w:fill="auto" w:val="clear"/>
            <w:tcMar>
              <w:top w:w="0" w:type="dxa"/>
              <w:left w:w="0" w:type="dxa"/>
              <w:bottom w:w="0" w:type="dxa"/>
              <w:right w:w="0" w:type="dxa"/>
            </w:tcMar>
            <w:vAlign w:val="center"/>
          </w:tcPr>
          <w:p>
            <w:pPr>
              <w:pStyle w:val="TableContents"/>
              <w:spacing w:lineRule="auto" w:line="312" w:before="0" w:after="0"/>
              <w:jc w:val="left"/>
              <w:rPr/>
            </w:pPr>
            <w:hyperlink w:anchor="i1cc0003ddf5845c7bc6bb4bd9cd34882_154">
              <w:r>
                <w:rPr>
                  <w:rStyle w:val="InternetLink"/>
                  <w:rFonts w:ascii="Times New Roman;sans-serif" w:hAnsi="Times New Roman;sans-serif"/>
                  <w:b w:val="false"/>
                  <w:color w:val="0000FF"/>
                  <w:sz w:val="20"/>
                  <w:u w:val="single"/>
                </w:rPr>
                <w:t>Item 4.</w:t>
              </w:r>
            </w:hyperlink>
          </w:p>
        </w:tc>
        <w:tc>
          <w:tcPr>
            <w:tcW w:w="8788" w:type="dxa"/>
            <w:gridSpan w:val="3"/>
            <w:tcBorders/>
            <w:shd w:fill="auto" w:val="clear"/>
            <w:tcMar>
              <w:top w:w="0" w:type="dxa"/>
              <w:left w:w="0" w:type="dxa"/>
              <w:bottom w:w="0" w:type="dxa"/>
              <w:right w:w="0" w:type="dxa"/>
            </w:tcMar>
            <w:vAlign w:val="center"/>
          </w:tcPr>
          <w:p>
            <w:pPr>
              <w:pStyle w:val="TableContents"/>
              <w:spacing w:lineRule="auto" w:line="312" w:before="0" w:after="0"/>
              <w:jc w:val="left"/>
              <w:rPr/>
            </w:pPr>
            <w:hyperlink w:anchor="i1cc0003ddf5845c7bc6bb4bd9cd34882_154">
              <w:r>
                <w:rPr>
                  <w:rStyle w:val="InternetLink"/>
                  <w:rFonts w:ascii="Times New Roman;sans-serif" w:hAnsi="Times New Roman;sans-serif"/>
                  <w:b w:val="false"/>
                  <w:color w:val="0000FF"/>
                  <w:sz w:val="20"/>
                  <w:u w:val="single"/>
                </w:rPr>
                <w:t>Mine Safety Disclosures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312" w:before="0" w:after="0"/>
              <w:jc w:val="right"/>
              <w:rPr/>
            </w:pPr>
            <w:hyperlink w:anchor="i1cc0003ddf5845c7bc6bb4bd9cd34882_154">
              <w:r>
                <w:rPr>
                  <w:rStyle w:val="InternetLink"/>
                  <w:rFonts w:ascii="Times New Roman;sans-serif" w:hAnsi="Times New Roman;sans-serif"/>
                  <w:b w:val="false"/>
                  <w:color w:val="0000FF"/>
                  <w:sz w:val="20"/>
                  <w:u w:val="single"/>
                </w:rPr>
                <w:t>37</w:t>
              </w:r>
            </w:hyperlink>
          </w:p>
        </w:tc>
      </w:tr>
      <w:tr>
        <w:trPr/>
        <w:tc>
          <w:tcPr>
            <w:tcW w:w="843" w:type="dxa"/>
            <w:gridSpan w:val="3"/>
            <w:tcBorders/>
            <w:shd w:fill="auto" w:val="clear"/>
            <w:tcMar>
              <w:top w:w="0" w:type="dxa"/>
              <w:left w:w="0" w:type="dxa"/>
              <w:bottom w:w="0" w:type="dxa"/>
              <w:right w:w="0" w:type="dxa"/>
            </w:tcMar>
            <w:vAlign w:val="center"/>
          </w:tcPr>
          <w:p>
            <w:pPr>
              <w:pStyle w:val="TableContents"/>
              <w:spacing w:lineRule="auto" w:line="312" w:before="0" w:after="0"/>
              <w:jc w:val="left"/>
              <w:rPr/>
            </w:pPr>
            <w:hyperlink w:anchor="i1cc0003ddf5845c7bc6bb4bd9cd34882_157">
              <w:r>
                <w:rPr>
                  <w:rStyle w:val="InternetLink"/>
                  <w:rFonts w:ascii="Times New Roman;sans-serif" w:hAnsi="Times New Roman;sans-serif"/>
                  <w:b w:val="false"/>
                  <w:color w:val="0000FF"/>
                  <w:sz w:val="20"/>
                  <w:u w:val="single"/>
                </w:rPr>
                <w:t>Item 5.</w:t>
              </w:r>
            </w:hyperlink>
          </w:p>
        </w:tc>
        <w:tc>
          <w:tcPr>
            <w:tcW w:w="8788" w:type="dxa"/>
            <w:gridSpan w:val="3"/>
            <w:tcBorders/>
            <w:shd w:fill="auto" w:val="clear"/>
            <w:tcMar>
              <w:top w:w="0" w:type="dxa"/>
              <w:left w:w="0" w:type="dxa"/>
              <w:bottom w:w="0" w:type="dxa"/>
              <w:right w:w="0" w:type="dxa"/>
            </w:tcMar>
            <w:vAlign w:val="center"/>
          </w:tcPr>
          <w:p>
            <w:pPr>
              <w:pStyle w:val="TableContents"/>
              <w:spacing w:lineRule="auto" w:line="312" w:before="0" w:after="0"/>
              <w:jc w:val="left"/>
              <w:rPr/>
            </w:pPr>
            <w:hyperlink w:anchor="i1cc0003ddf5845c7bc6bb4bd9cd34882_157">
              <w:r>
                <w:rPr>
                  <w:rStyle w:val="InternetLink"/>
                  <w:rFonts w:ascii="Times New Roman;sans-serif" w:hAnsi="Times New Roman;sans-serif"/>
                  <w:b w:val="false"/>
                  <w:color w:val="0000FF"/>
                  <w:sz w:val="20"/>
                  <w:u w:val="single"/>
                </w:rPr>
                <w:t>Other Information</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312" w:before="0" w:after="0"/>
              <w:jc w:val="right"/>
              <w:rPr/>
            </w:pPr>
            <w:hyperlink w:anchor="i1cc0003ddf5845c7bc6bb4bd9cd34882_157">
              <w:r>
                <w:rPr>
                  <w:rStyle w:val="InternetLink"/>
                  <w:rFonts w:ascii="Times New Roman;sans-serif" w:hAnsi="Times New Roman;sans-serif"/>
                  <w:b w:val="false"/>
                  <w:color w:val="0000FF"/>
                  <w:sz w:val="20"/>
                  <w:u w:val="single"/>
                </w:rPr>
                <w:t>37</w:t>
              </w:r>
            </w:hyperlink>
          </w:p>
        </w:tc>
      </w:tr>
      <w:tr>
        <w:trPr/>
        <w:tc>
          <w:tcPr>
            <w:tcW w:w="843" w:type="dxa"/>
            <w:gridSpan w:val="3"/>
            <w:tcBorders/>
            <w:shd w:fill="auto" w:val="clear"/>
            <w:tcMar>
              <w:top w:w="0" w:type="dxa"/>
              <w:left w:w="0" w:type="dxa"/>
              <w:bottom w:w="0" w:type="dxa"/>
              <w:right w:w="0" w:type="dxa"/>
            </w:tcMar>
            <w:vAlign w:val="center"/>
          </w:tcPr>
          <w:p>
            <w:pPr>
              <w:pStyle w:val="TableContents"/>
              <w:spacing w:lineRule="auto" w:line="312" w:before="0" w:after="0"/>
              <w:jc w:val="left"/>
              <w:rPr/>
            </w:pPr>
            <w:hyperlink w:anchor="i1cc0003ddf5845c7bc6bb4bd9cd34882_160">
              <w:r>
                <w:rPr>
                  <w:rStyle w:val="InternetLink"/>
                  <w:rFonts w:ascii="Times New Roman;sans-serif" w:hAnsi="Times New Roman;sans-serif"/>
                  <w:b w:val="false"/>
                  <w:color w:val="0000FF"/>
                  <w:sz w:val="20"/>
                  <w:u w:val="single"/>
                </w:rPr>
                <w:t>Item 6.</w:t>
              </w:r>
            </w:hyperlink>
          </w:p>
        </w:tc>
        <w:tc>
          <w:tcPr>
            <w:tcW w:w="8788" w:type="dxa"/>
            <w:gridSpan w:val="3"/>
            <w:tcBorders/>
            <w:shd w:fill="auto" w:val="clear"/>
            <w:tcMar>
              <w:top w:w="0" w:type="dxa"/>
              <w:left w:w="0" w:type="dxa"/>
              <w:bottom w:w="0" w:type="dxa"/>
              <w:right w:w="0" w:type="dxa"/>
            </w:tcMar>
            <w:vAlign w:val="center"/>
          </w:tcPr>
          <w:p>
            <w:pPr>
              <w:pStyle w:val="TableContents"/>
              <w:spacing w:lineRule="auto" w:line="312" w:before="0" w:after="0"/>
              <w:jc w:val="left"/>
              <w:rPr/>
            </w:pPr>
            <w:hyperlink w:anchor="i1cc0003ddf5845c7bc6bb4bd9cd34882_160">
              <w:r>
                <w:rPr>
                  <w:rStyle w:val="InternetLink"/>
                  <w:rFonts w:ascii="Times New Roman;sans-serif" w:hAnsi="Times New Roman;sans-serif"/>
                  <w:b w:val="false"/>
                  <w:color w:val="0000FF"/>
                  <w:sz w:val="20"/>
                  <w:u w:val="single"/>
                </w:rPr>
                <w:t>Exhibits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312" w:before="0" w:after="0"/>
              <w:jc w:val="right"/>
              <w:rPr/>
            </w:pPr>
            <w:hyperlink w:anchor="i1cc0003ddf5845c7bc6bb4bd9cd34882_160">
              <w:r>
                <w:rPr>
                  <w:rStyle w:val="InternetLink"/>
                  <w:rFonts w:ascii="Times New Roman;sans-serif" w:hAnsi="Times New Roman;sans-serif"/>
                  <w:b w:val="false"/>
                  <w:color w:val="0000FF"/>
                  <w:sz w:val="20"/>
                  <w:u w:val="single"/>
                </w:rPr>
                <w:t>38</w:t>
              </w:r>
            </w:hyperlink>
          </w:p>
        </w:tc>
      </w:tr>
      <w:tr>
        <w:trPr/>
        <w:tc>
          <w:tcPr>
            <w:tcW w:w="9631" w:type="dxa"/>
            <w:gridSpan w:val="6"/>
            <w:tcBorders/>
            <w:shd w:fill="auto" w:val="clear"/>
            <w:tcMar>
              <w:top w:w="0" w:type="dxa"/>
              <w:left w:w="0" w:type="dxa"/>
              <w:bottom w:w="0" w:type="dxa"/>
              <w:right w:w="0" w:type="dxa"/>
            </w:tcMar>
            <w:vAlign w:val="center"/>
          </w:tcPr>
          <w:p>
            <w:pPr>
              <w:pStyle w:val="TableContents"/>
              <w:spacing w:lineRule="auto" w:line="312" w:before="0" w:after="0"/>
              <w:jc w:val="left"/>
              <w:rPr/>
            </w:pPr>
            <w:hyperlink w:anchor="i1cc0003ddf5845c7bc6bb4bd9cd34882_163">
              <w:r>
                <w:rPr>
                  <w:rStyle w:val="InternetLink"/>
                  <w:rFonts w:ascii="Times New Roman;sans-serif" w:hAnsi="Times New Roman;sans-serif"/>
                  <w:b w:val="false"/>
                  <w:color w:val="0000FF"/>
                  <w:sz w:val="20"/>
                  <w:u w:val="single"/>
                </w:rPr>
                <w:t>Signatures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312" w:before="0" w:after="0"/>
              <w:jc w:val="right"/>
              <w:rPr/>
            </w:pPr>
            <w:hyperlink w:anchor="i1cc0003ddf5845c7bc6bb4bd9cd34882_163">
              <w:r>
                <w:rPr>
                  <w:rStyle w:val="InternetLink"/>
                  <w:rFonts w:ascii="Times New Roman;sans-serif" w:hAnsi="Times New Roman;sans-serif"/>
                  <w:b w:val="false"/>
                  <w:color w:val="0000FF"/>
                  <w:sz w:val="20"/>
                  <w:u w:val="single"/>
                </w:rPr>
                <w:t>39</w:t>
              </w:r>
            </w:hyperlink>
          </w:p>
        </w:tc>
      </w:tr>
      <w:tr>
        <w:trPr/>
        <w:tc>
          <w:tcPr>
            <w:tcW w:w="8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6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6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rPr/>
      </w:pPr>
      <w:r>
        <w:rPr/>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24, 2021 (the “Closing Date” or the “Closing”), Perella Weinberg Partners consummated a business combination pursuant to that certain Business Combination Agreement, dated as of December 29, 2020 (the “Business Combination Agreement”). As contemplated by the Business Combination Agreement, (i) Perella Weinberg Partners acquired certain partnership interests in PWP Holdings LP (“PWP OpCo”), (ii) PWP OpCo became jointly-owned by Perella Weinberg Partners, PWP Professional Partners LP (“Professional Partners”) and certain existing partners of PWP OpCo, and (iii) PWP OpCo serves as Perella Weinberg Partners’ operating partnership as part of an umbrella limited partnership C-corporation (Up-C) structure (collectively with the other transactions contemplated by the Business Combination Agreement, the “Business Combination”). Unless the context otherwise requires, all references to “PWP,” the “Company,” “we,” “us” or “our” refer to Perella Weinberg Partners and its consolidated subsidiaries. </w:t>
      </w:r>
    </w:p>
    <w:p>
      <w:pPr>
        <w:pStyle w:val="TextBody"/>
        <w:spacing w:lineRule="auto" w:line="240" w:before="240" w:after="240"/>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STATEMENTS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statements made in this Quarterly Report on Form 10-Q are “forward-looking statements” within the meaning of the federal securities laws, including the Private Securities Litigation Reform Act of 1995, Section 27A of the Securities Act of 1933, as amended (the “Securities Act”), and Section 21E of the Securities Exchange Act of 1934, as amended (the “Exchange Act”). Statements regarding the expectations regarding the combined business are “forward-looking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Important factors, among others, that may affect actual results or outcomes include (but are not limited to): global economic, business, and market conditions; the Company’s dependence on and ability to retain key employees; the Company’s ability to successfully identify, recruit and develop talent; conditions impacting the corporate advisory industry; the Company’s dependence on its fee-paying clients and fluctuating revenues from its non-exclusive, engagement-by-engagement business model; the high volatility of the Company’s revenue as a result of its reliance on advisory fees that are largely contingent on the completion of events which may be out of its control; the Company’s ability to appropriately manage conflicts of interest and tax and other regulatory factors relevant to the Company’s business, including actual, potential or perceived conflicts of interest and other factors that may damage its business and reputation; the Company’s successful formulation and execution of its business and growth strategies; substantial litigation risks in the financial services industry; cybersecurity and other operational risks; assumptions relating to the Company’s operations, financial results, financial condition, business prospects, growth strategy and liquidity; extensive regulation of the corporate advisory industry and U.S. and foreign regulatory developments relating to, among other things, financial institutions and markets, government oversight, fiscal and tax policy and laws (including the treatment of carried interest); other risks and uncertainties described under the section entitled “Risk Factors” included in our Annual Report on Form 10-K.</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contained in this Quarterly Report on Form 10-Q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 information, future events or otherwise, except as may be required under applicable securities laws.</w:t>
      </w:r>
    </w:p>
    <w:p>
      <w:pPr>
        <w:pStyle w:val="TextBody"/>
        <w:spacing w:lineRule="auto" w:line="240" w:before="240" w:after="240"/>
        <w:rPr>
          <w:rFonts w:ascii="Times New Roman;sans-serif" w:hAnsi="Times New Roman;sans-serif"/>
          <w:b/>
          <w:color w:val="000000"/>
          <w:sz w:val="20"/>
        </w:rPr>
      </w:pPr>
      <w:r>
        <w:rPr>
          <w:rFonts w:ascii="Times New Roman;sans-serif" w:hAnsi="Times New Roman;sans-serif"/>
          <w:b/>
          <w:color w:val="000000"/>
          <w:sz w:val="20"/>
        </w:rPr>
        <w:t>Website Disclosure</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file annual, quarterly and current reports, proxy statements and other information with the Securities and Exchange Commission (the “SEC”). The SEC maintains an internet site where reports, proxy and information statements, and other information regarding issuers that file electronically with the SEC are available. Our SEC filings are available to the public over the Internet at the SEC’s website at www.sec.gov and on our website at https://investors.pwpartners.com/ free of charge as soon as reasonably practicable after such reports are electronically filed with or furnished to the SEC. Our website is https://pwpartners.com/. Although we refer to our website in this report, the contents of our website are not included or incorporated by reference into this report. All references to our website in this report are intended to be inactive textual references only.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6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6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240" w:after="240"/>
        <w:ind w:left="0" w:right="0" w:firstLine="720"/>
        <w:jc w:val="both"/>
        <w:rPr/>
      </w:pPr>
      <w:r>
        <w:rPr/>
      </w:r>
    </w:p>
    <w:p>
      <w:pPr>
        <w:pStyle w:val="TextBody"/>
        <w:spacing w:lineRule="auto" w:line="288" w:before="240" w:after="240"/>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Times New Roman;sans-serif" w:hAnsi="Times New Roman;sans-serif"/>
          <w:b/>
          <w:color w:val="000000"/>
          <w:sz w:val="20"/>
        </w:rPr>
      </w:pPr>
      <w:r>
        <w:rPr>
          <w:rFonts w:ascii="Times New Roman;sans-serif" w:hAnsi="Times New Roman;sans-serif"/>
          <w:b/>
          <w:color w:val="000000"/>
          <w:sz w:val="20"/>
        </w:rPr>
        <w:t>Item 1. Financial Statements (Unaudited)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Financial Condition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w:t>
      </w:r>
    </w:p>
    <w:tbl>
      <w:tblPr>
        <w:tblW w:w="10205" w:type="dxa"/>
        <w:jc w:val="left"/>
        <w:tblInd w:w="0" w:type="dxa"/>
        <w:tblCellMar>
          <w:top w:w="28" w:type="dxa"/>
          <w:left w:w="28" w:type="dxa"/>
          <w:bottom w:w="28" w:type="dxa"/>
          <w:right w:w="28" w:type="dxa"/>
        </w:tblCellMar>
      </w:tblPr>
      <w:tblGrid>
        <w:gridCol w:w="2798"/>
        <w:gridCol w:w="2231"/>
        <w:gridCol w:w="2250"/>
        <w:gridCol w:w="227"/>
        <w:gridCol w:w="889"/>
        <w:gridCol w:w="117"/>
        <w:gridCol w:w="109"/>
        <w:gridCol w:w="109"/>
        <w:gridCol w:w="109"/>
        <w:gridCol w:w="241"/>
        <w:gridCol w:w="945"/>
        <w:gridCol w:w="180"/>
      </w:tblGrid>
      <w:tr>
        <w:trPr/>
        <w:tc>
          <w:tcPr>
            <w:tcW w:w="2798" w:type="dxa"/>
            <w:tcBorders/>
            <w:shd w:fill="auto" w:val="clear"/>
            <w:vAlign w:val="center"/>
          </w:tcPr>
          <w:p>
            <w:pPr>
              <w:pStyle w:val="TableContents"/>
              <w:spacing w:before="0" w:after="283"/>
              <w:rPr>
                <w:sz w:val="4"/>
                <w:szCs w:val="4"/>
              </w:rPr>
            </w:pPr>
            <w:r>
              <w:rPr>
                <w:sz w:val="4"/>
                <w:szCs w:val="4"/>
              </w:rPr>
            </w:r>
          </w:p>
        </w:tc>
        <w:tc>
          <w:tcPr>
            <w:tcW w:w="2231" w:type="dxa"/>
            <w:tcBorders/>
            <w:shd w:fill="auto" w:val="clear"/>
            <w:vAlign w:val="center"/>
          </w:tcPr>
          <w:p>
            <w:pPr>
              <w:pStyle w:val="TableContents"/>
              <w:spacing w:before="0" w:after="283"/>
              <w:rPr>
                <w:sz w:val="4"/>
                <w:szCs w:val="4"/>
              </w:rPr>
            </w:pPr>
            <w:r>
              <w:rPr>
                <w:sz w:val="4"/>
                <w:szCs w:val="4"/>
              </w:rPr>
            </w:r>
          </w:p>
        </w:tc>
        <w:tc>
          <w:tcPr>
            <w:tcW w:w="2250"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r>
      <w:tr>
        <w:trPr/>
        <w:tc>
          <w:tcPr>
            <w:tcW w:w="7279" w:type="dxa"/>
            <w:gridSpan w:val="3"/>
            <w:tcBorders/>
            <w:shd w:fill="auto" w:val="clear"/>
            <w:vAlign w:val="center"/>
          </w:tcPr>
          <w:p>
            <w:pPr>
              <w:pStyle w:val="TableContents"/>
              <w:spacing w:before="0" w:after="283"/>
              <w:rPr>
                <w:sz w:val="4"/>
                <w:szCs w:val="4"/>
              </w:rPr>
            </w:pPr>
            <w:r>
              <w:rPr>
                <w:sz w:val="4"/>
                <w:szCs w:val="4"/>
              </w:rPr>
            </w:r>
          </w:p>
        </w:tc>
        <w:tc>
          <w:tcPr>
            <w:tcW w:w="1233" w:type="dxa"/>
            <w:gridSpan w:val="3"/>
            <w:tcBorders/>
            <w:shd w:fill="auto" w:val="clear"/>
            <w:vAlign w:val="center"/>
          </w:tcPr>
          <w:p>
            <w:pPr>
              <w:pStyle w:val="TableContents"/>
              <w:spacing w:before="0" w:after="283"/>
              <w:rPr>
                <w:sz w:val="4"/>
                <w:szCs w:val="4"/>
              </w:rPr>
            </w:pPr>
            <w:r>
              <w:rPr>
                <w:sz w:val="4"/>
                <w:szCs w:val="4"/>
              </w:rPr>
            </w:r>
          </w:p>
        </w:tc>
        <w:tc>
          <w:tcPr>
            <w:tcW w:w="1693" w:type="dxa"/>
            <w:gridSpan w:val="6"/>
            <w:tcBorders/>
            <w:shd w:fill="auto" w:val="clear"/>
          </w:tcPr>
          <w:p>
            <w:pPr>
              <w:pStyle w:val="TableContents"/>
              <w:spacing w:before="0" w:after="283"/>
              <w:rPr>
                <w:sz w:val="4"/>
                <w:szCs w:val="4"/>
              </w:rPr>
            </w:pPr>
            <w:r>
              <w:rPr>
                <w:sz w:val="4"/>
                <w:szCs w:val="4"/>
              </w:rPr>
            </w:r>
          </w:p>
        </w:tc>
      </w:tr>
      <w:tr>
        <w:trPr/>
        <w:tc>
          <w:tcPr>
            <w:tcW w:w="7279" w:type="dxa"/>
            <w:gridSpan w:val="3"/>
            <w:tcBorders/>
            <w:shd w:fill="auto" w:val="clear"/>
            <w:vAlign w:val="center"/>
          </w:tcPr>
          <w:p>
            <w:pPr>
              <w:pStyle w:val="TableContents"/>
              <w:spacing w:before="0" w:after="283"/>
              <w:rPr>
                <w:sz w:val="4"/>
                <w:szCs w:val="4"/>
              </w:rPr>
            </w:pPr>
            <w:r>
              <w:rPr>
                <w:sz w:val="4"/>
                <w:szCs w:val="4"/>
              </w:rPr>
            </w:r>
          </w:p>
        </w:tc>
        <w:tc>
          <w:tcPr>
            <w:tcW w:w="12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6" w:type="dxa"/>
            <w:gridSpan w:val="3"/>
            <w:tcBorders/>
            <w:shd w:fill="auto" w:val="clear"/>
            <w:vAlign w:val="center"/>
          </w:tcPr>
          <w:p>
            <w:pPr>
              <w:pStyle w:val="TableContents"/>
              <w:spacing w:before="0" w:after="283"/>
              <w:rPr>
                <w:sz w:val="4"/>
                <w:szCs w:val="4"/>
              </w:rPr>
            </w:pPr>
            <w:r>
              <w:rPr>
                <w:sz w:val="4"/>
                <w:szCs w:val="4"/>
              </w:rPr>
            </w:r>
          </w:p>
        </w:tc>
      </w:tr>
      <w:tr>
        <w:trPr/>
        <w:tc>
          <w:tcPr>
            <w:tcW w:w="7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7279"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33"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7" w:type="dxa"/>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104,957 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171,570 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1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short-term marketable debt securities</w:t>
            </w:r>
          </w:p>
        </w:tc>
        <w:tc>
          <w:tcPr>
            <w:tcW w:w="111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24,962 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140,110 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w:t>
            </w:r>
          </w:p>
        </w:tc>
        <w:tc>
          <w:tcPr>
            <w:tcW w:w="111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45,414 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67,906 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111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 net of accumulated depreciation and amortization</w:t>
            </w:r>
          </w:p>
        </w:tc>
        <w:tc>
          <w:tcPr>
            <w:tcW w:w="111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61,480 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48,390 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of accumulated amortization</w:t>
            </w:r>
          </w:p>
        </w:tc>
        <w:tc>
          <w:tcPr>
            <w:tcW w:w="111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24,127 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25,772 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1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34,383 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34,383 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11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36,887 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36,190 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lease assets</w:t>
            </w:r>
          </w:p>
        </w:tc>
        <w:tc>
          <w:tcPr>
            <w:tcW w:w="111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150,555 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153,720 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w:t>
            </w:r>
          </w:p>
        </w:tc>
        <w:tc>
          <w:tcPr>
            <w:tcW w:w="111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35,734 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33,094 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7"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524,505 </w:t>
            </w:r>
          </w:p>
        </w:tc>
        <w:tc>
          <w:tcPr>
            <w:tcW w:w="117"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717,093 </w:t>
            </w:r>
          </w:p>
        </w:tc>
        <w:tc>
          <w:tcPr>
            <w:tcW w:w="180"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23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227" w:type="dxa"/>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36,869 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217,011 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liabilities</w:t>
            </w:r>
          </w:p>
        </w:tc>
        <w:tc>
          <w:tcPr>
            <w:tcW w:w="111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41,702 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46,336 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1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11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168,777 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165,601 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due pursuant to tax receivable agreement</w:t>
            </w:r>
          </w:p>
        </w:tc>
        <w:tc>
          <w:tcPr>
            <w:tcW w:w="111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25,116 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22,991 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16"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275,493 </w:t>
            </w:r>
          </w:p>
        </w:tc>
        <w:tc>
          <w:tcPr>
            <w:tcW w:w="117"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456,953 </w:t>
            </w:r>
          </w:p>
        </w:tc>
        <w:tc>
          <w:tcPr>
            <w:tcW w:w="180"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17)</w:t>
            </w:r>
          </w:p>
        </w:tc>
        <w:tc>
          <w:tcPr>
            <w:tcW w:w="1233"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 (1,500,000,000 shares authorized, 54,274,053 issued and 42,423,520 outstanding at March 31, 2023; 1,500,000,000 shares authorized, 52,237,247 issued and 41,744,961 outstanding at December 31, 2022)</w:t>
            </w:r>
          </w:p>
        </w:tc>
        <w:tc>
          <w:tcPr>
            <w:tcW w:w="111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par value $0.0001 per share (600,000,000 shares authorized, 43,778,015 issued and outstanding at March 31, 2023; 600,000,000 shares authorized, 44,563,877 issued and outstanding at December 31, 2022)</w:t>
            </w:r>
          </w:p>
        </w:tc>
        <w:tc>
          <w:tcPr>
            <w:tcW w:w="111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par value $0.0001 per share (100,000,000 shares authorized, no shares issued and outstanding at March 31, 2023 and December 31, 2022)</w:t>
            </w:r>
          </w:p>
        </w:tc>
        <w:tc>
          <w:tcPr>
            <w:tcW w:w="111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paid-in-capital</w:t>
            </w:r>
          </w:p>
        </w:tc>
        <w:tc>
          <w:tcPr>
            <w:tcW w:w="111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260,806 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242,129 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 (accumulated deficit)</w:t>
            </w:r>
          </w:p>
        </w:tc>
        <w:tc>
          <w:tcPr>
            <w:tcW w:w="111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(28,119)</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(18,071)</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11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(5,752)</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(6,538)</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(11,850,533 and 10,492,286 shares of Class A common stock at March 31, 2023 and December 31, 2022, respectively)</w:t>
            </w:r>
          </w:p>
        </w:tc>
        <w:tc>
          <w:tcPr>
            <w:tcW w:w="111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(93,632)</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(80,067)</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Perella Weinberg Partners equity</w:t>
            </w:r>
          </w:p>
        </w:tc>
        <w:tc>
          <w:tcPr>
            <w:tcW w:w="1116"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133,312 </w:t>
            </w:r>
          </w:p>
        </w:tc>
        <w:tc>
          <w:tcPr>
            <w:tcW w:w="117"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137,462 </w:t>
            </w:r>
          </w:p>
        </w:tc>
        <w:tc>
          <w:tcPr>
            <w:tcW w:w="180"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11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115,700 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122,678 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116"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249,012 </w:t>
            </w:r>
          </w:p>
        </w:tc>
        <w:tc>
          <w:tcPr>
            <w:tcW w:w="117"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260,140 </w:t>
            </w:r>
          </w:p>
        </w:tc>
        <w:tc>
          <w:tcPr>
            <w:tcW w:w="180"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2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524,505 </w:t>
            </w:r>
          </w:p>
        </w:tc>
        <w:tc>
          <w:tcPr>
            <w:tcW w:w="11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717,093 </w:t>
            </w:r>
          </w:p>
        </w:tc>
        <w:tc>
          <w:tcPr>
            <w:tcW w:w="18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2580"/>
                <wp:effectExtent l="0" t="0" r="0" b="0"/>
                <wp:wrapNone/>
                <wp:docPr id="4" name="Frame4"/>
                <a:graphic xmlns:a="http://schemas.openxmlformats.org/drawingml/2006/main">
                  <a:graphicData uri="http://schemas.microsoft.com/office/word/2010/wordprocessingShape">
                    <wps:wsp>
                      <wps:cNvSpPr txBox="1"/>
                      <wps:spPr>
                        <a:xfrm>
                          <a:off x="0" y="0"/>
                          <a:ext cx="6480175" cy="322580"/>
                        </a:xfrm>
                        <a:prstGeom prst="rect"/>
                      </wps:spPr>
                      <wps:txbx>
                        <w:txbxContent>
                          <w:p>
                            <w:pPr>
                              <w:pStyle w:val="TextBody"/>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 (unaudited)</w:t>
                            </w:r>
                          </w:p>
                          <w:p>
                            <w:pPr>
                              <w:pStyle w:val="TextBody"/>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 (unaudited)</w:t>
                      </w:r>
                    </w:p>
                    <w:p>
                      <w:pPr>
                        <w:pStyle w:val="TextBody"/>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w:t>
      </w:r>
    </w:p>
    <w:p>
      <w:pPr>
        <w:pStyle w:val="TextBody"/>
        <w:spacing w:before="0" w:after="0"/>
        <w:jc w:val="center"/>
        <w:rPr/>
      </w:pPr>
      <w:r>
        <w:rPr/>
      </w:r>
    </w:p>
    <w:tbl>
      <w:tblPr>
        <w:tblW w:w="9893" w:type="dxa"/>
        <w:jc w:val="center"/>
        <w:tblInd w:w="0" w:type="dxa"/>
        <w:tblCellMar>
          <w:top w:w="28" w:type="dxa"/>
          <w:left w:w="28" w:type="dxa"/>
          <w:bottom w:w="28" w:type="dxa"/>
          <w:right w:w="28" w:type="dxa"/>
        </w:tblCellMar>
      </w:tblPr>
      <w:tblGrid>
        <w:gridCol w:w="2259"/>
        <w:gridCol w:w="1979"/>
        <w:gridCol w:w="2002"/>
        <w:gridCol w:w="109"/>
        <w:gridCol w:w="109"/>
        <w:gridCol w:w="149"/>
        <w:gridCol w:w="149"/>
        <w:gridCol w:w="290"/>
        <w:gridCol w:w="1136"/>
        <w:gridCol w:w="149"/>
        <w:gridCol w:w="109"/>
        <w:gridCol w:w="109"/>
        <w:gridCol w:w="109"/>
        <w:gridCol w:w="219"/>
        <w:gridCol w:w="862"/>
        <w:gridCol w:w="154"/>
      </w:tblGrid>
      <w:tr>
        <w:trPr/>
        <w:tc>
          <w:tcPr>
            <w:tcW w:w="2259" w:type="dxa"/>
            <w:tcBorders/>
            <w:shd w:fill="auto" w:val="clear"/>
            <w:vAlign w:val="center"/>
          </w:tcPr>
          <w:p>
            <w:pPr>
              <w:pStyle w:val="TableContents"/>
              <w:spacing w:before="0" w:after="283"/>
              <w:rPr>
                <w:sz w:val="4"/>
                <w:szCs w:val="4"/>
              </w:rPr>
            </w:pPr>
            <w:r>
              <w:rPr>
                <w:sz w:val="4"/>
                <w:szCs w:val="4"/>
              </w:rPr>
            </w:r>
          </w:p>
        </w:tc>
        <w:tc>
          <w:tcPr>
            <w:tcW w:w="1979" w:type="dxa"/>
            <w:tcBorders/>
            <w:shd w:fill="auto" w:val="clear"/>
            <w:vAlign w:val="center"/>
          </w:tcPr>
          <w:p>
            <w:pPr>
              <w:pStyle w:val="TableContents"/>
              <w:spacing w:before="0" w:after="283"/>
              <w:rPr>
                <w:sz w:val="4"/>
                <w:szCs w:val="4"/>
              </w:rPr>
            </w:pPr>
            <w:r>
              <w:rPr>
                <w:sz w:val="4"/>
                <w:szCs w:val="4"/>
              </w:rPr>
            </w:r>
          </w:p>
        </w:tc>
        <w:tc>
          <w:tcPr>
            <w:tcW w:w="20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40" w:type="dxa"/>
            <w:gridSpan w:val="3"/>
            <w:tcBorders/>
            <w:shd w:fill="auto" w:val="clear"/>
            <w:tcMar>
              <w:top w:w="0" w:type="dxa"/>
              <w:left w:w="0" w:type="dxa"/>
              <w:bottom w:w="0" w:type="dxa"/>
              <w:right w:w="0" w:type="dxa"/>
            </w:tcMar>
            <w:vAlign w:val="center"/>
          </w:tcPr>
          <w:p>
            <w:pPr>
              <w:pStyle w:val="TableContents"/>
              <w:spacing w:lineRule="auto" w:line="312"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3" w:type="dxa"/>
            <w:gridSpan w:val="5"/>
            <w:tcBorders/>
            <w:shd w:fill="auto" w:val="clear"/>
            <w:tcMar>
              <w:top w:w="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562" w:type="dxa"/>
            <w:gridSpan w:val="6"/>
            <w:tcBorders/>
            <w:shd w:fill="auto" w:val="clear"/>
          </w:tcPr>
          <w:p>
            <w:pPr>
              <w:pStyle w:val="TableContents"/>
              <w:spacing w:before="0" w:after="283"/>
              <w:rPr>
                <w:sz w:val="4"/>
                <w:szCs w:val="4"/>
              </w:rPr>
            </w:pPr>
            <w:r>
              <w:rPr>
                <w:sz w:val="4"/>
                <w:szCs w:val="4"/>
              </w:rPr>
            </w:r>
          </w:p>
        </w:tc>
      </w:tr>
      <w:tr>
        <w:trPr/>
        <w:tc>
          <w:tcPr>
            <w:tcW w:w="6240" w:type="dxa"/>
            <w:gridSpan w:val="3"/>
            <w:tcBorders/>
            <w:shd w:fill="auto" w:val="clear"/>
            <w:tcMar>
              <w:top w:w="0" w:type="dxa"/>
              <w:left w:w="0" w:type="dxa"/>
              <w:bottom w:w="0" w:type="dxa"/>
              <w:right w:w="0" w:type="dxa"/>
            </w:tcMar>
            <w:vAlign w:val="center"/>
          </w:tcPr>
          <w:p>
            <w:pPr>
              <w:pStyle w:val="TableContents"/>
              <w:spacing w:lineRule="auto" w:line="312"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57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90"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131,426 </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151,876 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69,963 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87,245 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47,671 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compensation and benefits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26"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117,634 </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128,135 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7,553 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infrastructure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8,512 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and occupancy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7,414 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Travel and related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4,774 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administrative and other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26"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154,116 </w:t>
            </w:r>
          </w:p>
        </w:tc>
        <w:tc>
          <w:tcPr>
            <w:tcW w:w="14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162,235 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26"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(22,690)</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(10,359)</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Non-operating income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non-operating income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26"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4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14,407 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26"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(22,134)</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26"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(27,420)</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(22,297)</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Perella Weinberg Partners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90"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(5,123)</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share attributable to Class A common shareholders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57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6" w:type="dxa"/>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6" w:type="dxa"/>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shares of Class A common stock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42,317,827 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45,917,935 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86,611,018 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93,231,332 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240" w:after="2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2580"/>
                <wp:effectExtent l="0" t="0" r="0" b="0"/>
                <wp:wrapNone/>
                <wp:docPr id="5" name="Frame5"/>
                <a:graphic xmlns:a="http://schemas.openxmlformats.org/drawingml/2006/main">
                  <a:graphicData uri="http://schemas.microsoft.com/office/word/2010/wordprocessingShape">
                    <wps:wsp>
                      <wps:cNvSpPr txBox="1"/>
                      <wps:spPr>
                        <a:xfrm>
                          <a:off x="0" y="0"/>
                          <a:ext cx="6480175" cy="322580"/>
                        </a:xfrm>
                        <a:prstGeom prst="rect"/>
                      </wps:spPr>
                      <wps:txbx>
                        <w:txbxContent>
                          <w:p>
                            <w:pPr>
                              <w:pStyle w:val="TextBody"/>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 (unaudited)</w:t>
                            </w:r>
                          </w:p>
                          <w:p>
                            <w:pPr>
                              <w:pStyle w:val="TextBody"/>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 (unaudited)</w:t>
                      </w:r>
                    </w:p>
                    <w:p>
                      <w:pPr>
                        <w:pStyle w:val="TextBody"/>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bl>
      <w:tblPr>
        <w:tblW w:w="9640" w:type="dxa"/>
        <w:jc w:val="center"/>
        <w:tblInd w:w="0" w:type="dxa"/>
        <w:tblCellMar>
          <w:top w:w="28" w:type="dxa"/>
          <w:left w:w="28" w:type="dxa"/>
          <w:bottom w:w="28" w:type="dxa"/>
          <w:right w:w="28" w:type="dxa"/>
        </w:tblCellMar>
      </w:tblPr>
      <w:tblGrid>
        <w:gridCol w:w="2255"/>
        <w:gridCol w:w="1984"/>
        <w:gridCol w:w="2001"/>
        <w:gridCol w:w="109"/>
        <w:gridCol w:w="109"/>
        <w:gridCol w:w="153"/>
        <w:gridCol w:w="153"/>
        <w:gridCol w:w="296"/>
        <w:gridCol w:w="1119"/>
        <w:gridCol w:w="153"/>
        <w:gridCol w:w="109"/>
        <w:gridCol w:w="109"/>
        <w:gridCol w:w="109"/>
        <w:gridCol w:w="211"/>
        <w:gridCol w:w="616"/>
        <w:gridCol w:w="154"/>
      </w:tblGrid>
      <w:tr>
        <w:trPr/>
        <w:tc>
          <w:tcPr>
            <w:tcW w:w="2255" w:type="dxa"/>
            <w:tcBorders/>
            <w:shd w:fill="auto" w:val="clear"/>
            <w:vAlign w:val="center"/>
          </w:tcPr>
          <w:p>
            <w:pPr>
              <w:pStyle w:val="TableContents"/>
              <w:spacing w:before="0" w:after="283"/>
              <w:rPr>
                <w:sz w:val="4"/>
                <w:szCs w:val="4"/>
              </w:rPr>
            </w:pPr>
            <w:r>
              <w:rPr>
                <w:sz w:val="4"/>
                <w:szCs w:val="4"/>
              </w:rPr>
            </w:r>
          </w:p>
        </w:tc>
        <w:tc>
          <w:tcPr>
            <w:tcW w:w="1984" w:type="dxa"/>
            <w:tcBorders/>
            <w:shd w:fill="auto" w:val="clear"/>
            <w:vAlign w:val="center"/>
          </w:tcPr>
          <w:p>
            <w:pPr>
              <w:pStyle w:val="TableContents"/>
              <w:spacing w:before="0" w:after="283"/>
              <w:rPr>
                <w:sz w:val="4"/>
                <w:szCs w:val="4"/>
              </w:rPr>
            </w:pPr>
            <w:r>
              <w:rPr>
                <w:sz w:val="4"/>
                <w:szCs w:val="4"/>
              </w:rPr>
            </w:r>
          </w:p>
        </w:tc>
        <w:tc>
          <w:tcPr>
            <w:tcW w:w="20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40" w:type="dxa"/>
            <w:gridSpan w:val="3"/>
            <w:tcBorders/>
            <w:shd w:fill="auto" w:val="clear"/>
            <w:tcMar>
              <w:top w:w="0" w:type="dxa"/>
              <w:left w:w="0" w:type="dxa"/>
              <w:bottom w:w="0" w:type="dxa"/>
              <w:right w:w="0" w:type="dxa"/>
            </w:tcMar>
            <w:vAlign w:val="center"/>
          </w:tcPr>
          <w:p>
            <w:pPr>
              <w:pStyle w:val="TableContents"/>
              <w:spacing w:lineRule="auto" w:line="312"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4" w:type="dxa"/>
            <w:gridSpan w:val="5"/>
            <w:tcBorders/>
            <w:shd w:fill="auto" w:val="clear"/>
            <w:tcMar>
              <w:top w:w="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308" w:type="dxa"/>
            <w:gridSpan w:val="6"/>
            <w:tcBorders/>
            <w:shd w:fill="auto" w:val="clear"/>
          </w:tcPr>
          <w:p>
            <w:pPr>
              <w:pStyle w:val="TableContents"/>
              <w:spacing w:before="0" w:after="283"/>
              <w:rPr>
                <w:sz w:val="4"/>
                <w:szCs w:val="4"/>
              </w:rPr>
            </w:pPr>
            <w:r>
              <w:rPr>
                <w:sz w:val="4"/>
                <w:szCs w:val="4"/>
              </w:rPr>
            </w:r>
          </w:p>
        </w:tc>
      </w:tr>
      <w:tr>
        <w:trPr/>
        <w:tc>
          <w:tcPr>
            <w:tcW w:w="6240" w:type="dxa"/>
            <w:gridSpan w:val="3"/>
            <w:tcBorders/>
            <w:shd w:fill="auto" w:val="clear"/>
            <w:tcMar>
              <w:top w:w="0" w:type="dxa"/>
              <w:left w:w="0" w:type="dxa"/>
              <w:bottom w:w="0" w:type="dxa"/>
              <w:right w:w="0" w:type="dxa"/>
            </w:tcMar>
            <w:vAlign w:val="center"/>
          </w:tcPr>
          <w:p>
            <w:pPr>
              <w:pStyle w:val="TableContents"/>
              <w:spacing w:lineRule="auto" w:line="312"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6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2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(27,420)</w:t>
            </w:r>
          </w:p>
        </w:tc>
        <w:tc>
          <w:tcPr>
            <w:tcW w:w="153"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gain (loss),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415"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(25,835)</w:t>
            </w:r>
          </w:p>
        </w:tc>
        <w:tc>
          <w:tcPr>
            <w:tcW w:w="153"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(loss)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(21,498)</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(loss) attributable to Perella Weinberg Partners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2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w:t>
            </w:r>
          </w:p>
        </w:tc>
        <w:tc>
          <w:tcPr>
            <w:tcW w:w="15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7,853 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40" w:after="240"/>
        <w:ind w:left="0" w:right="0" w:firstLine="720"/>
        <w:jc w:val="center"/>
        <w:rPr/>
      </w:pPr>
      <w:r>
        <w:rPr/>
      </w:r>
    </w:p>
    <w:p>
      <w:pPr>
        <w:pStyle w:val="TextBody"/>
        <w:spacing w:before="240" w:after="240"/>
        <w:ind w:left="0" w:right="0" w:firstLine="720"/>
        <w:jc w:val="center"/>
        <w:rPr/>
      </w:pPr>
      <w:r>
        <w:rPr/>
      </w:r>
    </w:p>
    <w:p>
      <w:pPr>
        <w:pStyle w:val="TextBody"/>
        <w:spacing w:before="240" w:after="240"/>
        <w:ind w:left="0" w:right="0" w:firstLine="720"/>
        <w:jc w:val="center"/>
        <w:rPr/>
      </w:pPr>
      <w:r>
        <w:rPr/>
      </w:r>
    </w:p>
    <w:p>
      <w:pPr>
        <w:pStyle w:val="TextBody"/>
        <w:spacing w:before="240" w:after="240"/>
        <w:ind w:left="0" w:right="0" w:firstLine="720"/>
        <w:jc w:val="center"/>
        <w:rPr/>
      </w:pPr>
      <w:r>
        <w:rPr/>
      </w:r>
    </w:p>
    <w:p>
      <w:pPr>
        <w:pStyle w:val="TextBody"/>
        <w:spacing w:before="240" w:after="240"/>
        <w:ind w:left="0" w:right="0" w:firstLine="72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2580"/>
                <wp:effectExtent l="0" t="0" r="0" b="0"/>
                <wp:wrapNone/>
                <wp:docPr id="6" name="Frame6"/>
                <a:graphic xmlns:a="http://schemas.openxmlformats.org/drawingml/2006/main">
                  <a:graphicData uri="http://schemas.microsoft.com/office/word/2010/wordprocessingShape">
                    <wps:wsp>
                      <wps:cNvSpPr txBox="1"/>
                      <wps:spPr>
                        <a:xfrm>
                          <a:off x="0" y="0"/>
                          <a:ext cx="6480175" cy="322580"/>
                        </a:xfrm>
                        <a:prstGeom prst="rect"/>
                      </wps:spPr>
                      <wps:txbx>
                        <w:txbxContent>
                          <w:p>
                            <w:pPr>
                              <w:pStyle w:val="TextBody"/>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 (unaudited)</w:t>
                            </w:r>
                          </w:p>
                          <w:p>
                            <w:pPr>
                              <w:pStyle w:val="TextBody"/>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 (unaudited)</w:t>
                      </w:r>
                    </w:p>
                    <w:p>
                      <w:pPr>
                        <w:pStyle w:val="TextBody"/>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w:t>
      </w:r>
    </w:p>
    <w:p>
      <w:pPr>
        <w:pStyle w:val="TextBody"/>
        <w:spacing w:before="0" w:after="0"/>
        <w:rPr/>
      </w:pPr>
      <w:r>
        <w:rPr/>
      </w:r>
    </w:p>
    <w:tbl>
      <w:tblPr>
        <w:tblW w:w="12800" w:type="dxa"/>
        <w:jc w:val="left"/>
        <w:tblInd w:w="0" w:type="dxa"/>
        <w:tblCellMar>
          <w:top w:w="28" w:type="dxa"/>
          <w:left w:w="28" w:type="dxa"/>
          <w:bottom w:w="28" w:type="dxa"/>
          <w:right w:w="28" w:type="dxa"/>
        </w:tblCellMar>
      </w:tblPr>
      <w:tblGrid>
        <w:gridCol w:w="395"/>
        <w:gridCol w:w="215"/>
        <w:gridCol w:w="216"/>
        <w:gridCol w:w="338"/>
        <w:gridCol w:w="338"/>
        <w:gridCol w:w="196"/>
        <w:gridCol w:w="109"/>
        <w:gridCol w:w="109"/>
        <w:gridCol w:w="109"/>
        <w:gridCol w:w="338"/>
        <w:gridCol w:w="338"/>
        <w:gridCol w:w="196"/>
        <w:gridCol w:w="109"/>
        <w:gridCol w:w="109"/>
        <w:gridCol w:w="109"/>
        <w:gridCol w:w="315"/>
        <w:gridCol w:w="316"/>
        <w:gridCol w:w="196"/>
        <w:gridCol w:w="109"/>
        <w:gridCol w:w="109"/>
        <w:gridCol w:w="109"/>
        <w:gridCol w:w="206"/>
        <w:gridCol w:w="243"/>
        <w:gridCol w:w="137"/>
        <w:gridCol w:w="109"/>
        <w:gridCol w:w="109"/>
        <w:gridCol w:w="109"/>
        <w:gridCol w:w="206"/>
        <w:gridCol w:w="243"/>
        <w:gridCol w:w="137"/>
        <w:gridCol w:w="109"/>
        <w:gridCol w:w="109"/>
        <w:gridCol w:w="109"/>
        <w:gridCol w:w="166"/>
        <w:gridCol w:w="481"/>
        <w:gridCol w:w="109"/>
        <w:gridCol w:w="109"/>
        <w:gridCol w:w="109"/>
        <w:gridCol w:w="109"/>
        <w:gridCol w:w="166"/>
        <w:gridCol w:w="526"/>
        <w:gridCol w:w="109"/>
        <w:gridCol w:w="109"/>
        <w:gridCol w:w="109"/>
        <w:gridCol w:w="109"/>
        <w:gridCol w:w="184"/>
        <w:gridCol w:w="535"/>
        <w:gridCol w:w="122"/>
        <w:gridCol w:w="109"/>
        <w:gridCol w:w="109"/>
        <w:gridCol w:w="109"/>
        <w:gridCol w:w="218"/>
        <w:gridCol w:w="554"/>
        <w:gridCol w:w="144"/>
        <w:gridCol w:w="109"/>
        <w:gridCol w:w="109"/>
        <w:gridCol w:w="109"/>
        <w:gridCol w:w="166"/>
        <w:gridCol w:w="526"/>
        <w:gridCol w:w="109"/>
        <w:gridCol w:w="109"/>
        <w:gridCol w:w="109"/>
        <w:gridCol w:w="109"/>
        <w:gridCol w:w="166"/>
        <w:gridCol w:w="526"/>
        <w:gridCol w:w="154"/>
      </w:tblGrid>
      <w:tr>
        <w:trPr/>
        <w:tc>
          <w:tcPr>
            <w:tcW w:w="39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5" w:type="dxa"/>
            <w:gridSpan w:val="15"/>
            <w:tcBorders/>
            <w:shd w:fill="auto" w:val="clear"/>
            <w:tcMar>
              <w:top w:w="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87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A</w:t>
              <w:br/>
              <w:t>Common</w:t>
              <w:br/>
              <w:t>Stock</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B</w:t>
              <w:br/>
              <w:t>Common</w:t>
              <w:br/>
              <w:t>Stock</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Treasury</w:t>
              <w:br/>
              <w:t xml:space="preserve">Stock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A</w:t>
              <w:br/>
              <w:t>Common</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B</w:t>
              <w:br/>
              <w:t>Common</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Treasury</w:t>
              <w:br/>
              <w:t xml:space="preserve">Stock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w:t>
              <w:br/>
              <w:t>Paid-In</w:t>
              <w:br/>
              <w:t xml:space="preserve">Capital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Retained</w:t>
              <w:br/>
              <w:t>Earnings</w:t>
              <w:br/>
              <w:t>(Accumulated</w:t>
              <w:br/>
              <w:t xml:space="preserve">Deficit)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w:t>
              <w:br/>
              <w:t>Other</w:t>
              <w:br/>
              <w:t>Comprehensive</w:t>
              <w:br/>
              <w:t xml:space="preserve">Income (Loss)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w:t>
              <w:br/>
              <w:t>Controlling</w:t>
              <w:br/>
              <w:t xml:space="preserve">Interests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w:t>
              <w:br/>
              <w:t xml:space="preserve">Equity </w:t>
            </w:r>
          </w:p>
        </w:tc>
      </w:tr>
      <w:tr>
        <w:trPr/>
        <w:tc>
          <w:tcPr>
            <w:tcW w:w="826"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12"/>
              </w:rPr>
            </w:pPr>
            <w:r>
              <w:rPr>
                <w:rFonts w:ascii="Times New Roman;sans-serif" w:hAnsi="Times New Roman;sans-serif"/>
                <w:b/>
                <w:color w:val="000000"/>
                <w:sz w:val="12"/>
              </w:rPr>
              <w:t>Balance at December 31, 2021</w:t>
            </w:r>
          </w:p>
        </w:tc>
        <w:tc>
          <w:tcPr>
            <w:tcW w:w="676"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43,649,319 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50,154,199 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(1,000,000)</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(12,000)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158,131 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35"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(18,075)</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5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(1,746)</w:t>
            </w:r>
          </w:p>
        </w:tc>
        <w:tc>
          <w:tcPr>
            <w:tcW w:w="14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145,033 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271,352 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income (loss)</w:t>
            </w:r>
          </w:p>
        </w:tc>
        <w:tc>
          <w:tcPr>
            <w:tcW w:w="67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8,894 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(7,842)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Equity-based awards</w:t>
            </w:r>
          </w:p>
        </w:tc>
        <w:tc>
          <w:tcPr>
            <w:tcW w:w="67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22,695 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18,710 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41,405 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Distributions to partners</w:t>
            </w:r>
          </w:p>
        </w:tc>
        <w:tc>
          <w:tcPr>
            <w:tcW w:w="67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(15,823)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(15,823)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Class A common stock for vested PWP Incentive Plan Awards</w:t>
            </w:r>
          </w:p>
        </w:tc>
        <w:tc>
          <w:tcPr>
            <w:tcW w:w="67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601,098 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Withholding payments on vested PWP Incentive Plan Awards</w:t>
            </w:r>
          </w:p>
        </w:tc>
        <w:tc>
          <w:tcPr>
            <w:tcW w:w="67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(6,075)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spacing w:lineRule="auto" w:line="312"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Dividends declared ($0.07 per share of Class A common stock)</w:t>
            </w:r>
          </w:p>
        </w:tc>
        <w:tc>
          <w:tcPr>
            <w:tcW w:w="67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(4,229)</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(4,113)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Foreign currency translation gain (loss)</w:t>
            </w:r>
          </w:p>
        </w:tc>
        <w:tc>
          <w:tcPr>
            <w:tcW w:w="67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(1,040)</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(2,102)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w:t>
            </w:r>
          </w:p>
        </w:tc>
        <w:tc>
          <w:tcPr>
            <w:tcW w:w="67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1,999 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spacing w:lineRule="auto" w:line="312"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Class A common stock and exchange of PWP OpCo Units with corresponding Class B common stock for cash using Offering proceeds (Note 9—Stockholders’ Equity)</w:t>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3,502,033 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(3,498,534)</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(537)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spacing w:lineRule="auto" w:line="312"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Exchange of PWP OpCo Units and corresponding Class B common stock for Class A common stock (Note 9—Stockholders’ Equity)</w:t>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337,048 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(336,712)</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Treasury stock purchase</w:t>
            </w:r>
          </w:p>
        </w:tc>
        <w:tc>
          <w:tcPr>
            <w:tcW w:w="67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(172,303)</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(1,598)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Change in ownership interests</w:t>
            </w:r>
          </w:p>
        </w:tc>
        <w:tc>
          <w:tcPr>
            <w:tcW w:w="67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12"/>
              </w:rPr>
            </w:pPr>
            <w:r>
              <w:rPr>
                <w:rFonts w:ascii="Times New Roman;sans-serif" w:hAnsi="Times New Roman;sans-serif"/>
                <w:b/>
                <w:color w:val="000000"/>
                <w:sz w:val="12"/>
              </w:rPr>
              <w:t>Balance at March 31, 2022</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48,089,498 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46,318,953 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(1,172,303)</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(13,598)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179,745 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(13,410)</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(2,786)</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135,616 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285,577 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2580"/>
                <wp:effectExtent l="0" t="0" r="0" b="0"/>
                <wp:wrapNone/>
                <wp:docPr id="7" name="Frame7"/>
                <a:graphic xmlns:a="http://schemas.openxmlformats.org/drawingml/2006/main">
                  <a:graphicData uri="http://schemas.microsoft.com/office/word/2010/wordprocessingShape">
                    <wps:wsp>
                      <wps:cNvSpPr txBox="1"/>
                      <wps:spPr>
                        <a:xfrm>
                          <a:off x="0" y="0"/>
                          <a:ext cx="6480175" cy="322580"/>
                        </a:xfrm>
                        <a:prstGeom prst="rect"/>
                      </wps:spPr>
                      <wps:txbx>
                        <w:txbxContent>
                          <w:p>
                            <w:pPr>
                              <w:pStyle w:val="TextBody"/>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 (unaudited)</w:t>
                            </w:r>
                          </w:p>
                          <w:p>
                            <w:pPr>
                              <w:pStyle w:val="TextBody"/>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 (unaudited)</w:t>
                      </w:r>
                    </w:p>
                    <w:p>
                      <w:pPr>
                        <w:pStyle w:val="TextBody"/>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w:t>
      </w:r>
    </w:p>
    <w:tbl>
      <w:tblPr>
        <w:tblW w:w="13018" w:type="dxa"/>
        <w:jc w:val="center"/>
        <w:tblInd w:w="0" w:type="dxa"/>
        <w:tblCellMar>
          <w:top w:w="28" w:type="dxa"/>
          <w:left w:w="28" w:type="dxa"/>
          <w:bottom w:w="28" w:type="dxa"/>
          <w:right w:w="28" w:type="dxa"/>
        </w:tblCellMar>
      </w:tblPr>
      <w:tblGrid>
        <w:gridCol w:w="395"/>
        <w:gridCol w:w="215"/>
        <w:gridCol w:w="216"/>
        <w:gridCol w:w="338"/>
        <w:gridCol w:w="338"/>
        <w:gridCol w:w="196"/>
        <w:gridCol w:w="109"/>
        <w:gridCol w:w="109"/>
        <w:gridCol w:w="109"/>
        <w:gridCol w:w="166"/>
        <w:gridCol w:w="676"/>
        <w:gridCol w:w="109"/>
        <w:gridCol w:w="109"/>
        <w:gridCol w:w="109"/>
        <w:gridCol w:w="109"/>
        <w:gridCol w:w="166"/>
        <w:gridCol w:w="691"/>
        <w:gridCol w:w="109"/>
        <w:gridCol w:w="109"/>
        <w:gridCol w:w="109"/>
        <w:gridCol w:w="109"/>
        <w:gridCol w:w="206"/>
        <w:gridCol w:w="243"/>
        <w:gridCol w:w="137"/>
        <w:gridCol w:w="109"/>
        <w:gridCol w:w="109"/>
        <w:gridCol w:w="109"/>
        <w:gridCol w:w="206"/>
        <w:gridCol w:w="243"/>
        <w:gridCol w:w="137"/>
        <w:gridCol w:w="109"/>
        <w:gridCol w:w="109"/>
        <w:gridCol w:w="109"/>
        <w:gridCol w:w="166"/>
        <w:gridCol w:w="481"/>
        <w:gridCol w:w="109"/>
        <w:gridCol w:w="109"/>
        <w:gridCol w:w="109"/>
        <w:gridCol w:w="109"/>
        <w:gridCol w:w="166"/>
        <w:gridCol w:w="526"/>
        <w:gridCol w:w="109"/>
        <w:gridCol w:w="109"/>
        <w:gridCol w:w="109"/>
        <w:gridCol w:w="109"/>
        <w:gridCol w:w="184"/>
        <w:gridCol w:w="535"/>
        <w:gridCol w:w="122"/>
        <w:gridCol w:w="109"/>
        <w:gridCol w:w="109"/>
        <w:gridCol w:w="109"/>
        <w:gridCol w:w="218"/>
        <w:gridCol w:w="554"/>
        <w:gridCol w:w="144"/>
        <w:gridCol w:w="109"/>
        <w:gridCol w:w="109"/>
        <w:gridCol w:w="109"/>
        <w:gridCol w:w="166"/>
        <w:gridCol w:w="526"/>
        <w:gridCol w:w="109"/>
        <w:gridCol w:w="109"/>
        <w:gridCol w:w="109"/>
        <w:gridCol w:w="109"/>
        <w:gridCol w:w="166"/>
        <w:gridCol w:w="526"/>
        <w:gridCol w:w="154"/>
      </w:tblGrid>
      <w:tr>
        <w:trPr/>
        <w:tc>
          <w:tcPr>
            <w:tcW w:w="39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3" w:type="dxa"/>
            <w:gridSpan w:val="15"/>
            <w:tcBorders/>
            <w:shd w:fill="auto" w:val="clear"/>
            <w:tcMar>
              <w:top w:w="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87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A</w:t>
              <w:br/>
              <w:t>Common</w:t>
              <w:br/>
              <w:t>Stock</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B</w:t>
              <w:br/>
              <w:t>Common</w:t>
              <w:br/>
              <w:t>Stock</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Treasury</w:t>
              <w:br/>
              <w:t xml:space="preserve">Stock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A</w:t>
              <w:br/>
              <w:t>Common</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B</w:t>
              <w:br/>
              <w:t>Common</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Treasury</w:t>
              <w:br/>
              <w:t xml:space="preserve">Stock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w:t>
              <w:br/>
              <w:t>Paid-In</w:t>
              <w:br/>
              <w:t xml:space="preserve">Capital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Retained</w:t>
              <w:br/>
              <w:t>Earnings</w:t>
              <w:br/>
              <w:t>(Accumulated</w:t>
              <w:br/>
              <w:t xml:space="preserve">Deficit)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w:t>
              <w:br/>
              <w:t>Other</w:t>
              <w:br/>
              <w:t>Comprehensive</w:t>
              <w:br/>
              <w:t xml:space="preserve">Income (Loss)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w:t>
              <w:br/>
              <w:t>Controlling</w:t>
              <w:br/>
              <w:t xml:space="preserve">Interests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w:t>
              <w:br/>
              <w:t xml:space="preserve">Equity </w:t>
            </w:r>
          </w:p>
        </w:tc>
      </w:tr>
      <w:tr>
        <w:trPr/>
        <w:tc>
          <w:tcPr>
            <w:tcW w:w="826"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12"/>
              </w:rPr>
            </w:pPr>
            <w:r>
              <w:rPr>
                <w:rFonts w:ascii="Times New Roman;sans-serif" w:hAnsi="Times New Roman;sans-serif"/>
                <w:b/>
                <w:color w:val="000000"/>
                <w:sz w:val="12"/>
              </w:rPr>
              <w:t>Balance at December 31, 2022</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52,237,247 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44,563,877 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(10,492,286)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(80,067)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242,129 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(18,071)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(6,538)</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122,678 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260,140 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income (loss)</w:t>
            </w:r>
          </w:p>
        </w:tc>
        <w:tc>
          <w:tcPr>
            <w:tcW w:w="67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(5,123)</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(22,297)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(27,420)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Equity-based awards</w:t>
            </w:r>
          </w:p>
        </w:tc>
        <w:tc>
          <w:tcPr>
            <w:tcW w:w="67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27,932 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20,334 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48,266 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Distributions to partners</w:t>
            </w:r>
          </w:p>
        </w:tc>
        <w:tc>
          <w:tcPr>
            <w:tcW w:w="67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(3,119)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Class A common stock for vested PWP Incentive Plan Awards</w:t>
            </w:r>
          </w:p>
        </w:tc>
        <w:tc>
          <w:tcPr>
            <w:tcW w:w="67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1,250,162 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99,057 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Withholding payments on vested PWP Incentive Plan Awards</w:t>
            </w:r>
          </w:p>
        </w:tc>
        <w:tc>
          <w:tcPr>
            <w:tcW w:w="67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(11,356)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(11,356)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spacing w:lineRule="auto" w:line="312"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Dividends declared ($0.07 per share of Class A common stock)</w:t>
            </w:r>
          </w:p>
        </w:tc>
        <w:tc>
          <w:tcPr>
            <w:tcW w:w="67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(4,925)</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(4,756)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Foreign currency translation gain (loss)</w:t>
            </w:r>
          </w:p>
        </w:tc>
        <w:tc>
          <w:tcPr>
            <w:tcW w:w="67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786 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w:t>
            </w:r>
          </w:p>
        </w:tc>
        <w:tc>
          <w:tcPr>
            <w:tcW w:w="67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spacing w:lineRule="auto" w:line="312"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Exchange of PWP OpCo Units and corresponding Class B common stock for Class A common stock (Note 9—Stockholders’ Equity)</w:t>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786,644 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(785,862)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Treasury stock purchase</w:t>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(1,457,304)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(14,754)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(14,754)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Change in ownership interests</w:t>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12"/>
              </w:rPr>
            </w:pPr>
            <w:r>
              <w:rPr>
                <w:rFonts w:ascii="Times New Roman;sans-serif" w:hAnsi="Times New Roman;sans-serif"/>
                <w:b/>
                <w:color w:val="000000"/>
                <w:sz w:val="12"/>
              </w:rPr>
              <w:t>Balance at March 31, 2023</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54,274,053 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43,778,015 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(11,850,533)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(93,632)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260,806 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(28,119)</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(5,752)</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115,700 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249,012 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2580"/>
                <wp:effectExtent l="0" t="0" r="0" b="0"/>
                <wp:wrapNone/>
                <wp:docPr id="8" name="Frame8"/>
                <a:graphic xmlns:a="http://schemas.openxmlformats.org/drawingml/2006/main">
                  <a:graphicData uri="http://schemas.microsoft.com/office/word/2010/wordprocessingShape">
                    <wps:wsp>
                      <wps:cNvSpPr txBox="1"/>
                      <wps:spPr>
                        <a:xfrm>
                          <a:off x="0" y="0"/>
                          <a:ext cx="6480175" cy="322580"/>
                        </a:xfrm>
                        <a:prstGeom prst="rect"/>
                      </wps:spPr>
                      <wps:txbx>
                        <w:txbxContent>
                          <w:p>
                            <w:pPr>
                              <w:pStyle w:val="TextBody"/>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 (unaudited)</w:t>
                            </w:r>
                          </w:p>
                          <w:p>
                            <w:pPr>
                              <w:pStyle w:val="TextBody"/>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 (unaudited)</w:t>
                      </w:r>
                    </w:p>
                    <w:p>
                      <w:pPr>
                        <w:pStyle w:val="TextBody"/>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p>
      <w:pPr>
        <w:pStyle w:val="TextBody"/>
        <w:spacing w:before="60" w:after="283"/>
        <w:rPr/>
      </w:pPr>
      <w:r>
        <w:rPr/>
      </w:r>
    </w:p>
    <w:tbl>
      <w:tblPr>
        <w:tblW w:w="10205" w:type="dxa"/>
        <w:jc w:val="left"/>
        <w:tblInd w:w="0" w:type="dxa"/>
        <w:tblCellMar>
          <w:top w:w="28" w:type="dxa"/>
          <w:left w:w="28" w:type="dxa"/>
          <w:bottom w:w="28" w:type="dxa"/>
          <w:right w:w="28" w:type="dxa"/>
        </w:tblCellMar>
      </w:tblPr>
      <w:tblGrid>
        <w:gridCol w:w="2841"/>
        <w:gridCol w:w="2450"/>
        <w:gridCol w:w="2459"/>
        <w:gridCol w:w="196"/>
        <w:gridCol w:w="736"/>
        <w:gridCol w:w="109"/>
        <w:gridCol w:w="109"/>
        <w:gridCol w:w="109"/>
        <w:gridCol w:w="109"/>
        <w:gridCol w:w="196"/>
        <w:gridCol w:w="736"/>
        <w:gridCol w:w="155"/>
      </w:tblGrid>
      <w:tr>
        <w:trPr/>
        <w:tc>
          <w:tcPr>
            <w:tcW w:w="2841" w:type="dxa"/>
            <w:tcBorders/>
            <w:shd w:fill="auto" w:val="clear"/>
            <w:vAlign w:val="center"/>
          </w:tcPr>
          <w:p>
            <w:pPr>
              <w:pStyle w:val="TableContents"/>
              <w:spacing w:before="0" w:after="283"/>
              <w:rPr>
                <w:sz w:val="4"/>
                <w:szCs w:val="4"/>
              </w:rPr>
            </w:pPr>
            <w:r>
              <w:rPr>
                <w:sz w:val="4"/>
                <w:szCs w:val="4"/>
              </w:rPr>
            </w:r>
          </w:p>
        </w:tc>
        <w:tc>
          <w:tcPr>
            <w:tcW w:w="2450" w:type="dxa"/>
            <w:tcBorders/>
            <w:shd w:fill="auto" w:val="clear"/>
            <w:vAlign w:val="center"/>
          </w:tcPr>
          <w:p>
            <w:pPr>
              <w:pStyle w:val="TableContents"/>
              <w:spacing w:before="0" w:after="283"/>
              <w:rPr>
                <w:sz w:val="4"/>
                <w:szCs w:val="4"/>
              </w:rPr>
            </w:pPr>
            <w:r>
              <w:rPr>
                <w:sz w:val="4"/>
                <w:szCs w:val="4"/>
              </w:rPr>
            </w:r>
          </w:p>
        </w:tc>
        <w:tc>
          <w:tcPr>
            <w:tcW w:w="245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5" w:type="dxa"/>
            <w:gridSpan w:val="9"/>
            <w:tcBorders/>
            <w:shd w:fill="auto" w:val="clear"/>
            <w:tcMar>
              <w:top w:w="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750"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04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196" w:type="dxa"/>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(loss) to net cash provided by (used in) operating activities: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Equity-based awards vesting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41,405 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warrant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(12,006)</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revaluation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operating lease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taxes</w:t>
            </w:r>
          </w:p>
        </w:tc>
        <w:tc>
          <w:tcPr>
            <w:tcW w:w="93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Decrease (increase) in operating assets: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 of allowance</w:t>
            </w:r>
          </w:p>
        </w:tc>
        <w:tc>
          <w:tcPr>
            <w:tcW w:w="93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(29,277)</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Due from related parties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(decrease) in operating liabilities: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 and benefits</w:t>
            </w:r>
          </w:p>
        </w:tc>
        <w:tc>
          <w:tcPr>
            <w:tcW w:w="93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(180,594)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(258,658)</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accrued expenses and other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93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(1,911)</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(4,775)</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 due pursuant to tax receivable agreement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operating activities</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(132,414)</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(248,373)</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fixed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(1,389)</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investments in short-term marketable debt securities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Maturities of investments in short-term marketable debt securities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140,551 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investing activities</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97,724 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(1,389)</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Offering, net of underwriting discount</w:t>
            </w:r>
          </w:p>
        </w:tc>
        <w:tc>
          <w:tcPr>
            <w:tcW w:w="93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36,526 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of PWP OpCo Units and corresponding Class B common stock for cash using Offering proceeds</w:t>
            </w:r>
          </w:p>
        </w:tc>
        <w:tc>
          <w:tcPr>
            <w:tcW w:w="93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(36,526)</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offering costs</w:t>
            </w:r>
          </w:p>
        </w:tc>
        <w:tc>
          <w:tcPr>
            <w:tcW w:w="93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partners</w:t>
            </w:r>
          </w:p>
        </w:tc>
        <w:tc>
          <w:tcPr>
            <w:tcW w:w="93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(15,823)</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 on Class A and Class B common stock</w:t>
            </w:r>
          </w:p>
        </w:tc>
        <w:tc>
          <w:tcPr>
            <w:tcW w:w="93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(3,409)</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Withholding payments for vested PWP Incentive Plan Awards</w:t>
            </w:r>
          </w:p>
        </w:tc>
        <w:tc>
          <w:tcPr>
            <w:tcW w:w="93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(6,075)</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purchases</w:t>
            </w:r>
          </w:p>
        </w:tc>
        <w:tc>
          <w:tcPr>
            <w:tcW w:w="93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(1,214)</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(32,758)</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(27,319)</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 cash equivalents and restricted cash</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(2,557)</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cash equivalents and restricted cash</w:t>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(66,585)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(279,638)</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beginning of period</w:t>
            </w:r>
          </w:p>
        </w:tc>
        <w:tc>
          <w:tcPr>
            <w:tcW w:w="93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174,166 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504,775 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end of period</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107,581 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225,137 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non-cash activities</w:t>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liabilities arising from obtaining right-of-use lease assets</w:t>
            </w:r>
          </w:p>
        </w:tc>
        <w:tc>
          <w:tcPr>
            <w:tcW w:w="196" w:type="dxa"/>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capital expenditures</w:t>
            </w:r>
          </w:p>
        </w:tc>
        <w:tc>
          <w:tcPr>
            <w:tcW w:w="196" w:type="dxa"/>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dividends and dividend equivalent units on unvested PWP Incentive Plan Awards</w:t>
            </w:r>
          </w:p>
        </w:tc>
        <w:tc>
          <w:tcPr>
            <w:tcW w:w="196" w:type="dxa"/>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paydown of Partner promissory notes</w:t>
            </w:r>
          </w:p>
        </w:tc>
        <w:tc>
          <w:tcPr>
            <w:tcW w:w="196" w:type="dxa"/>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effect resulting from exchanges of PWP OpCo Units, net of amounts payable under tax receivable agreement</w:t>
            </w:r>
          </w:p>
        </w:tc>
        <w:tc>
          <w:tcPr>
            <w:tcW w:w="196" w:type="dxa"/>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treasury stock purchases</w:t>
            </w:r>
          </w:p>
        </w:tc>
        <w:tc>
          <w:tcPr>
            <w:tcW w:w="196" w:type="dxa"/>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Pending broker-to-broker trades</w:t>
            </w:r>
          </w:p>
        </w:tc>
        <w:tc>
          <w:tcPr>
            <w:tcW w:w="196" w:type="dxa"/>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cash flow information</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income taxes</w:t>
            </w:r>
          </w:p>
        </w:tc>
        <w:tc>
          <w:tcPr>
            <w:tcW w:w="196" w:type="dxa"/>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5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240" w:after="24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2580"/>
                <wp:effectExtent l="0" t="0" r="0" b="0"/>
                <wp:wrapNone/>
                <wp:docPr id="9" name="Frame9"/>
                <a:graphic xmlns:a="http://schemas.openxmlformats.org/drawingml/2006/main">
                  <a:graphicData uri="http://schemas.microsoft.com/office/word/2010/wordprocessingShape">
                    <wps:wsp>
                      <wps:cNvSpPr txBox="1"/>
                      <wps:spPr>
                        <a:xfrm>
                          <a:off x="0" y="0"/>
                          <a:ext cx="6480175" cy="322580"/>
                        </a:xfrm>
                        <a:prstGeom prst="rect"/>
                      </wps:spPr>
                      <wps:txbx>
                        <w:txbxContent>
                          <w:p>
                            <w:pPr>
                              <w:pStyle w:val="TextBody"/>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 (unaudited)</w:t>
                            </w:r>
                          </w:p>
                          <w:p>
                            <w:pPr>
                              <w:pStyle w:val="TextBody"/>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 (unaudited)</w:t>
                      </w:r>
                    </w:p>
                    <w:p>
                      <w:pPr>
                        <w:pStyle w:val="TextBody"/>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 and Where Otherwise Noted)</w:t>
      </w:r>
    </w:p>
    <w:p>
      <w:pPr>
        <w:pStyle w:val="TextBody"/>
        <w:spacing w:before="240" w:after="24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40"/>
        <w:rPr>
          <w:rFonts w:ascii="Times New Roman;sans-serif" w:hAnsi="Times New Roman;sans-serif"/>
          <w:b/>
          <w:color w:val="000000"/>
          <w:sz w:val="20"/>
        </w:rPr>
      </w:pPr>
      <w:r>
        <w:rPr>
          <w:rFonts w:ascii="Times New Roman;sans-serif" w:hAnsi="Times New Roman;sans-serif"/>
          <w:b/>
          <w:color w:val="000000"/>
          <w:sz w:val="20"/>
        </w:rPr>
        <w:t>Note 1—Organization and Nature of Business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Perella Weinberg Partners and its consolidated subsidiaries, including PWP Holdings LP (“PWP OpCo”) (collectively, “PWP” and the “Company”), is a global independent advisory firm that provides strategic and financial advice to a wide range of clients. The Company’s activities as an investment banking advisory firm constitute a single business segment that provides a range of advisory services, including advice related to mission-critical strategic and financial decisions, mergers and acquisitions (“M&amp;A”) execution, shareholder and defense advisory, financing and capital solutions advice with resources focused on restructuring and liability management, capital markets advisory, private capital placement, as well as specialized underwriting and research services primarily for the energy and related industries. </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Perella Weinberg Partners (formerly known as FinTech Acquisition Corp. IV (“FTIV”)) was incorporated in Delaware on November 20, 2018 as a special purpose acquisition company for the purpose of acquiring businesses or assets through a business combination. On June 24, 2021, the Company consummated a business combination pursuant to a Business Combination Agreement among various parties, resulting in FTIV acquiring partnership interests in PWP OpCo, and PWP OpCo becoming jointly-owned by Perella Weinberg Partners, PWP Professional Partners LP (“Professional Partners”) and existing partners, as part of an umbrella limited partnership C-corporation (Up-C) structure (the “Business Combination”).</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operations of PWP OpCo are conducted through a wholly-owned subsidiary, Perella Weinberg Partners Group LP, and its subsidiaries which are consolidated in these financial statements. PWP GP LLC is the general partner that controls PWP OpCo. The limited partner interests of PWP OpCo are held by Investor Limited Partners (the “ILPs”) and Professional Partners. The Company shareholders are entitled to receive a portion of PWP OpCo’s economics through their direct ownership interests in shares of Class A common stock of PWP. The non-controlling interest owners of PWP OpCo receive economics through ownership of PWP OpCo Class A partnership units (“PWP OpCo Units”). See Note 9—Stockholders’ Equity for additional information.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40"/>
        <w:rPr>
          <w:rFonts w:ascii="Times New Roman;sans-serif" w:hAnsi="Times New Roman;sans-serif"/>
          <w:b/>
          <w:color w:val="000000"/>
          <w:sz w:val="20"/>
        </w:rPr>
      </w:pPr>
      <w:r>
        <w:rPr>
          <w:rFonts w:ascii="Times New Roman;sans-serif" w:hAnsi="Times New Roman;sans-serif"/>
          <w:b/>
          <w:color w:val="000000"/>
          <w:sz w:val="20"/>
        </w:rPr>
        <w:t>Note 2—Summary of Significant Accounting Policies</w:t>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 xml:space="preserve">Basis of Presentation </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reflect the financial condition, results of operations and cash flows of the Company and have been prepared in accordance with generally accepted accounting principles in the United States (“U.S. GAAP”). All intercompany balances and transactions between the consolidated subsidiaries comprising the Company have been eliminated in the accompanying condensed consolidated financial statements.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condensed consolidated financial statements and notes thereto are unaudited, and as permitted by the interim reporting rules and regulations set forth by the Securities and Exchange Commission (the “SEC”), exclude certain financial information and note disclosures normally included in annual audited financial statements prepared in accordance with U.S. GAAP. Accordingly, these condensed consolidated financial statements should be read in conjunction with the audited consolidated financial statements for the year ended December 31, 2022 included in the Company’s Annual Report on Form 10-K. The condensed consolidated financial statements reflect all material adjustments of a normal recurring nature that, in the opinion of management, are necessary for a fair presentation of the results for the interim periods.</w:t>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Consolidation</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policy is to consolidate entities in which the Company has a controlling financial interest and variable interest entities where the Company is deemed to be the primary beneficiary. The Company is deemed to be the primary beneficiary of a variable interest entity (“VIE”) when it has both (i) the power to make the decisions that most significantly affect the economic performance of the VIE and (ii) the obligation to absorb significant losses or the right to receive benefits that could potentially be significant to the VIE. PWP is the primary beneficiary of and consolidates PWP OpCo, a VIE. As of March 31, 2023 and December 31, 2022, the net assets of PWP OpCo were $231.6 million and $237.9 million, respectively. As of March 31, 2023 and December 31, 2022, the Company did not consolidate any VIEs other than PWP OpCo. </w:t>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condensed consolidated financial statements and related disclosures in accordance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Estimates and the assumptions underlying these estimates are reviewed periodically, and the effects of revisions are reflected in the period in which they are determined to be necessary.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99085"/>
                <wp:effectExtent l="0" t="0" r="0" b="0"/>
                <wp:wrapNone/>
                <wp:docPr id="10" name="Frame10"/>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 and Where Otherwise Noted)</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preparing the condensed consolidated financial statements, management makes estimates regarding the measurement of amount due pursuant to the tax receivable agreement, measurement and timing of revenue recognition, assumptions used in the provision for income taxes, measurement of equity-based compensation, evaluation of goodwill and intangible assets, fair value measurement of financial instruments, and other matters that affect the reported amounts and disclosures of contingencies in the condensed consolidated financial statements.</w:t>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includes both cash and interest-bearing money market accounts and cash equivalents are defined as highly liquid investments with original maturities of three months or less from the date of purchase. As of March 31, 2023 and December 31, 2022, the Company had no cash equivalents. The Company maintains cash with banks and brokerage firms, which from time to time may exceed federally insured limits.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represents cash that is not readily available for general purpose cash needs. As of March 31, 2023 and December 31, 2022, the Company had restricted cash of $2.6 million maintained as collateral for letters of credit related to certain office leases.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Company’s cash, cash equivalents and restricted cash as of March 31, 2023 and March 31, 2022 is presented below:</w:t>
      </w:r>
    </w:p>
    <w:tbl>
      <w:tblPr>
        <w:tblW w:w="9204" w:type="dxa"/>
        <w:jc w:val="left"/>
        <w:tblInd w:w="0" w:type="dxa"/>
        <w:tblCellMar>
          <w:top w:w="28" w:type="dxa"/>
          <w:left w:w="28" w:type="dxa"/>
          <w:bottom w:w="28" w:type="dxa"/>
          <w:right w:w="28" w:type="dxa"/>
        </w:tblCellMar>
      </w:tblPr>
      <w:tblGrid>
        <w:gridCol w:w="2363"/>
        <w:gridCol w:w="2073"/>
        <w:gridCol w:w="2104"/>
        <w:gridCol w:w="211"/>
        <w:gridCol w:w="826"/>
        <w:gridCol w:w="109"/>
        <w:gridCol w:w="109"/>
        <w:gridCol w:w="109"/>
        <w:gridCol w:w="109"/>
        <w:gridCol w:w="211"/>
        <w:gridCol w:w="826"/>
        <w:gridCol w:w="154"/>
      </w:tblGrid>
      <w:tr>
        <w:trPr/>
        <w:tc>
          <w:tcPr>
            <w:tcW w:w="2363" w:type="dxa"/>
            <w:tcBorders/>
            <w:shd w:fill="auto" w:val="clear"/>
            <w:vAlign w:val="center"/>
          </w:tcPr>
          <w:p>
            <w:pPr>
              <w:pStyle w:val="TableContents"/>
              <w:spacing w:before="0" w:after="283"/>
              <w:rPr>
                <w:sz w:val="4"/>
                <w:szCs w:val="4"/>
              </w:rPr>
            </w:pPr>
            <w:r>
              <w:rPr>
                <w:sz w:val="4"/>
                <w:szCs w:val="4"/>
              </w:rPr>
            </w:r>
          </w:p>
        </w:tc>
        <w:tc>
          <w:tcPr>
            <w:tcW w:w="2073" w:type="dxa"/>
            <w:tcBorders/>
            <w:shd w:fill="auto" w:val="clear"/>
            <w:vAlign w:val="center"/>
          </w:tcPr>
          <w:p>
            <w:pPr>
              <w:pStyle w:val="TableContents"/>
              <w:spacing w:before="0" w:after="283"/>
              <w:rPr>
                <w:sz w:val="4"/>
                <w:szCs w:val="4"/>
              </w:rPr>
            </w:pPr>
            <w:r>
              <w:rPr>
                <w:sz w:val="4"/>
                <w:szCs w:val="4"/>
              </w:rPr>
            </w:r>
          </w:p>
        </w:tc>
        <w:tc>
          <w:tcPr>
            <w:tcW w:w="210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65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54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104,957 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223,142 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37"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as shown on statements of cash flows</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107,581 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225,137 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Foreign Currencies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and its subsidiaries may enter into transactions denominated in a non-functional currency. The Company recognized net foreign exchange gains (losses) arising from such transactions of $(1.1) million and $1.4 million during the three months ended March 31, 2023 and 2022, respectively, which are included in Other income (expense) in the Condensed Consolidated Statements of Operations. In addition, the Company consolidates its foreign subsidiaries that have non-U.S. dollar functional currencies. Non-U.S. dollar denominated assets and liabilities are translated to U.S. dollars at the exchange rate prevailing at the reporting date and income, expenses, gains and losses are generally translated using the average exchange rate throughout the period. Cumulative translation adjustments arising from the translation of non-U.S. dollar denominated operations are included as a component of Accumulated other comprehensive loss in the Condensed Consolidated Statements of Changes in Equity.</w:t>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recently adopted accounting pronouncements that had a material effect on the Company’s condensed consolidated financial statements.</w:t>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Future Adoption of Accounting Pronouncements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 changes to U.S. GAAP that are not yet effective are expected to have a material effect on the Company’s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99085"/>
                <wp:effectExtent l="0" t="0" r="0" b="0"/>
                <wp:wrapNone/>
                <wp:docPr id="11" name="Frame11"/>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 and Where Otherwise Noted)</w:t>
      </w:r>
    </w:p>
    <w:p>
      <w:pPr>
        <w:pStyle w:val="TextBody"/>
        <w:spacing w:lineRule="auto" w:line="240" w:before="240" w:after="240"/>
        <w:rPr>
          <w:rFonts w:ascii="Times New Roman;sans-serif" w:hAnsi="Times New Roman;sans-serif"/>
          <w:b/>
          <w:color w:val="000000"/>
          <w:sz w:val="20"/>
        </w:rPr>
      </w:pPr>
      <w:r>
        <w:rPr>
          <w:rFonts w:ascii="Times New Roman;sans-serif" w:hAnsi="Times New Roman;sans-serif"/>
          <w:b/>
          <w:color w:val="000000"/>
          <w:sz w:val="20"/>
        </w:rPr>
        <w:t>Note 3—Revenue and Receivables from Contracts with Customers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disaggregates the Company’s revenue between over time and point in time recognition:</w:t>
      </w:r>
    </w:p>
    <w:tbl>
      <w:tblPr>
        <w:tblW w:w="4928" w:type="dxa"/>
        <w:jc w:val="left"/>
        <w:tblInd w:w="0" w:type="dxa"/>
        <w:tblCellMar>
          <w:top w:w="28" w:type="dxa"/>
          <w:left w:w="28" w:type="dxa"/>
          <w:bottom w:w="28" w:type="dxa"/>
          <w:right w:w="28" w:type="dxa"/>
        </w:tblCellMar>
      </w:tblPr>
      <w:tblGrid>
        <w:gridCol w:w="478"/>
        <w:gridCol w:w="418"/>
        <w:gridCol w:w="423"/>
        <w:gridCol w:w="109"/>
        <w:gridCol w:w="109"/>
        <w:gridCol w:w="149"/>
        <w:gridCol w:w="149"/>
        <w:gridCol w:w="290"/>
        <w:gridCol w:w="1136"/>
        <w:gridCol w:w="149"/>
        <w:gridCol w:w="109"/>
        <w:gridCol w:w="109"/>
        <w:gridCol w:w="109"/>
        <w:gridCol w:w="211"/>
        <w:gridCol w:w="826"/>
        <w:gridCol w:w="154"/>
      </w:tblGrid>
      <w:tr>
        <w:trPr/>
        <w:tc>
          <w:tcPr>
            <w:tcW w:w="478"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3"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518" w:type="dxa"/>
            <w:gridSpan w:val="6"/>
            <w:tcBorders/>
            <w:shd w:fill="auto" w:val="clea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57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319"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 time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90"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124,329 </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146,598 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Point in time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7,097 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9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131,426 </w:t>
            </w:r>
          </w:p>
        </w:tc>
        <w:tc>
          <w:tcPr>
            <w:tcW w:w="14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151,876 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Reimbursable expenses billed to clients was $1.2 million and $0.3 million for the three months ended March 31, 2023 and 2022, respectively.</w:t>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Remaining Performance Obligations and Revenue Recognized from Past Performance</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 aggregate amount of the transaction price, as defined in the Accounting Standards Codification (“ASC”), allocated to performance obligations yet to be satisfied was $2.4 million, and the Company generally expects to recognize this revenue within the next 12 months. Such amounts primarily relate to the Company’s performance obligations of providing transaction-related advisory services. </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revenue of $94.2 million and $119.9 million during the three months ended March 31, 2023 and 2022, respectively, related to performance obligations that were satisfied or partially satisfied in prior periods. These amounts were recognized upon the resolution of revenue constraints and uncertainties in the respective periods and were generally related to transaction-related advisory services.</w:t>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and December 31, 2022, the Company recorded $3.0 million and $5.0 million, respectively, for contract liabilities which are presented as Deferred revenue on the Condensed Consolidated Statements of Financial Condition. The Company recognized revenue of $2.9 million and $3.8 million for the three months ended March 31, 2023 and 2022, respectively, of the respective beginning deferred revenue balance, which was primarily related to transaction-related advisory services that are recognized over time. </w:t>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Accounts Receivable and Allowance for Credit Losses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$14.5 million and $5.1 million, respectively, of accrued revenue was included in Accounts receivable, net of allowance on the Condensed Consolidated Statements of Financial Condition. These amounts represent amounts due from clients and are recognized as revenue in accordance with the Company’s revenue recognition policies but unbilled at the end of the period.</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certain accounts receivable in the aggregate amount of $15.5 million were individually greater than 10% of the Company’s gross accounts receivable and were concentrated with two clients. Of that amount, $10.0 million was subsequently received after March 31, 2023. As of December 31, 2022, certain accounts receivable in the aggregate amount of $28.4 million, were greater than 10% of the Company’s gross accounts receivable and were concentrated with two clients. Of that amount, all was subsequently received after year end.</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99085"/>
                <wp:effectExtent l="0" t="0" r="0" b="0"/>
                <wp:wrapNone/>
                <wp:docPr id="12" name="Frame12"/>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 and Where Otherwise Noted)</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allowance for credit losses activity for the three months ended March 31, 2023 and 2022 was as follows:</w:t>
      </w:r>
    </w:p>
    <w:tbl>
      <w:tblPr>
        <w:tblW w:w="7645" w:type="dxa"/>
        <w:jc w:val="left"/>
        <w:tblInd w:w="0" w:type="dxa"/>
        <w:tblCellMar>
          <w:top w:w="28" w:type="dxa"/>
          <w:left w:w="28" w:type="dxa"/>
          <w:bottom w:w="28" w:type="dxa"/>
          <w:right w:w="28" w:type="dxa"/>
        </w:tblCellMar>
      </w:tblPr>
      <w:tblGrid>
        <w:gridCol w:w="1538"/>
        <w:gridCol w:w="1349"/>
        <w:gridCol w:w="1357"/>
        <w:gridCol w:w="109"/>
        <w:gridCol w:w="109"/>
        <w:gridCol w:w="177"/>
        <w:gridCol w:w="177"/>
        <w:gridCol w:w="343"/>
        <w:gridCol w:w="1001"/>
        <w:gridCol w:w="177"/>
        <w:gridCol w:w="109"/>
        <w:gridCol w:w="109"/>
        <w:gridCol w:w="109"/>
        <w:gridCol w:w="211"/>
        <w:gridCol w:w="616"/>
        <w:gridCol w:w="154"/>
      </w:tblGrid>
      <w:tr>
        <w:trPr/>
        <w:tc>
          <w:tcPr>
            <w:tcW w:w="1538" w:type="dxa"/>
            <w:tcBorders/>
            <w:shd w:fill="auto" w:val="clear"/>
            <w:vAlign w:val="center"/>
          </w:tcPr>
          <w:p>
            <w:pPr>
              <w:pStyle w:val="TableContents"/>
              <w:spacing w:before="0" w:after="283"/>
              <w:rPr>
                <w:sz w:val="4"/>
                <w:szCs w:val="4"/>
              </w:rPr>
            </w:pPr>
            <w:r>
              <w:rPr>
                <w:sz w:val="4"/>
                <w:szCs w:val="4"/>
              </w:rPr>
            </w:r>
          </w:p>
        </w:tc>
        <w:tc>
          <w:tcPr>
            <w:tcW w:w="1349"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5"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308" w:type="dxa"/>
            <w:gridSpan w:val="6"/>
            <w:tcBorders/>
            <w:shd w:fill="auto" w:val="clea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52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34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77"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and other 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34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1,227 </w:t>
            </w:r>
          </w:p>
        </w:tc>
        <w:tc>
          <w:tcPr>
            <w:tcW w:w="17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40"/>
        <w:rPr>
          <w:rFonts w:ascii="Times New Roman;sans-serif" w:hAnsi="Times New Roman;sans-serif"/>
          <w:b/>
          <w:color w:val="000000"/>
          <w:sz w:val="20"/>
        </w:rPr>
      </w:pPr>
      <w:r>
        <w:rPr>
          <w:rFonts w:ascii="Times New Roman;sans-serif" w:hAnsi="Times New Roman;sans-serif"/>
          <w:b/>
          <w:color w:val="000000"/>
          <w:sz w:val="20"/>
        </w:rPr>
        <w:t>Note 4—Leases</w:t>
      </w:r>
    </w:p>
    <w:p>
      <w:pPr>
        <w:pStyle w:val="TextBody"/>
        <w:spacing w:lineRule="auto" w:line="240" w:before="240" w:after="240"/>
        <w:ind w:left="0" w:right="0" w:firstLine="720"/>
        <w:jc w:val="both"/>
        <w:rPr/>
      </w:pPr>
      <w:r>
        <w:rPr>
          <w:rFonts w:ascii="Times New Roman;sans-serif" w:hAnsi="Times New Roman;sans-serif"/>
          <w:b w:val="false"/>
          <w:color w:val="000000"/>
          <w:sz w:val="20"/>
        </w:rPr>
        <w:t>The Company</w:t>
      </w:r>
      <w:r>
        <w:rPr>
          <w:color w:val="000000"/>
        </w:rPr>
        <w:t xml:space="preserve"> </w:t>
      </w:r>
      <w:r>
        <w:rPr>
          <w:rFonts w:ascii="Times New Roman;sans-serif" w:hAnsi="Times New Roman;sans-serif"/>
          <w:b w:val="false"/>
          <w:color w:val="000000"/>
          <w:sz w:val="20"/>
        </w:rPr>
        <w:t>leases office space and certain office equipment under operating lease agreements. See summary below of significant new leases and lease modifications.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half of 2022, the Company entered into amendments to its New York and Los Angeles office leases, as well as a new 12-year lease agreement related to the relocation of the Company’s United Kingdom (“U.K.”) office in London. The New York lease amendment extended the term of the lease by approximately 16 years with an expiration of December 31, 2039. The amended term of the Los Angeles lease is scheduled to expire on December 31, 2032. In the second quarter of 2022, the Company’s amended Los Angeles lease commenced and the amended New York lease partially commenced resulting in an increase to Lease liabilities and a corresponding increase to Right-of-use lease assets of $66.3 million. In the third quarter of 2022, the New York lease became fully commenced and the London lease also commenced, which resulted in an additional $62.3 million increase to Lease liabilities and a corresponding increase to Right-of-use lease assets.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information as it relates to the Company’s operating leases was as follows:</w:t>
      </w:r>
    </w:p>
    <w:tbl>
      <w:tblPr>
        <w:tblW w:w="8319" w:type="dxa"/>
        <w:jc w:val="left"/>
        <w:tblInd w:w="0" w:type="dxa"/>
        <w:tblCellMar>
          <w:top w:w="28" w:type="dxa"/>
          <w:left w:w="28" w:type="dxa"/>
          <w:bottom w:w="28" w:type="dxa"/>
          <w:right w:w="28" w:type="dxa"/>
        </w:tblCellMar>
      </w:tblPr>
      <w:tblGrid>
        <w:gridCol w:w="1734"/>
        <w:gridCol w:w="1522"/>
        <w:gridCol w:w="1528"/>
        <w:gridCol w:w="479"/>
        <w:gridCol w:w="479"/>
        <w:gridCol w:w="481"/>
        <w:gridCol w:w="109"/>
        <w:gridCol w:w="109"/>
        <w:gridCol w:w="109"/>
        <w:gridCol w:w="517"/>
        <w:gridCol w:w="517"/>
        <w:gridCol w:w="735"/>
      </w:tblGrid>
      <w:tr>
        <w:trPr/>
        <w:tc>
          <w:tcPr>
            <w:tcW w:w="1734" w:type="dxa"/>
            <w:tcBorders/>
            <w:shd w:fill="auto" w:val="clear"/>
            <w:vAlign w:val="center"/>
          </w:tcPr>
          <w:p>
            <w:pPr>
              <w:pStyle w:val="TableContents"/>
              <w:spacing w:before="0" w:after="283"/>
              <w:rPr>
                <w:sz w:val="4"/>
                <w:szCs w:val="4"/>
              </w:rPr>
            </w:pPr>
            <w:r>
              <w:rPr>
                <w:sz w:val="4"/>
                <w:szCs w:val="4"/>
              </w:rPr>
            </w:r>
          </w:p>
        </w:tc>
        <w:tc>
          <w:tcPr>
            <w:tcW w:w="1522" w:type="dxa"/>
            <w:tcBorders/>
            <w:shd w:fill="auto" w:val="clear"/>
            <w:vAlign w:val="center"/>
          </w:tcPr>
          <w:p>
            <w:pPr>
              <w:pStyle w:val="TableContents"/>
              <w:spacing w:before="0" w:after="283"/>
              <w:rPr>
                <w:sz w:val="4"/>
                <w:szCs w:val="4"/>
              </w:rPr>
            </w:pPr>
            <w:r>
              <w:rPr>
                <w:sz w:val="4"/>
                <w:szCs w:val="4"/>
              </w:rPr>
            </w:r>
          </w:p>
        </w:tc>
        <w:tc>
          <w:tcPr>
            <w:tcW w:w="1528"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r>
      <w:tr>
        <w:trPr/>
        <w:tc>
          <w:tcPr>
            <w:tcW w:w="4784" w:type="dxa"/>
            <w:gridSpan w:val="3"/>
            <w:tcBorders/>
            <w:shd w:fill="auto"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operating leases</w:t>
            </w:r>
          </w:p>
        </w:tc>
        <w:tc>
          <w:tcPr>
            <w:tcW w:w="1439"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operating leases</w:t>
            </w:r>
          </w:p>
        </w:tc>
        <w:tc>
          <w:tcPr>
            <w:tcW w:w="1439" w:type="dxa"/>
            <w:gridSpan w:val="3"/>
            <w:tcBorders/>
            <w:shd w:fill="FFFFFF" w:val="clear"/>
            <w:tcMar>
              <w:top w:w="0" w:type="dxa"/>
              <w:left w:w="0" w:type="dxa"/>
              <w:bottom w:w="0" w:type="dxa"/>
              <w:right w:w="0" w:type="dxa"/>
            </w:tcMar>
            <w:vAlign w:val="center"/>
          </w:tcPr>
          <w:p>
            <w:pPr>
              <w:pStyle w:val="TableContents"/>
              <w:spacing w:lineRule="auto" w:line="312" w:before="0" w:after="283"/>
              <w:jc w:val="center"/>
              <w:rPr>
                <w:color w:val="000000"/>
              </w:rPr>
            </w:pPr>
            <w:r>
              <w:rPr>
                <w:color w:val="000000"/>
              </w:rPr>
              <w:t> </w:t>
            </w:r>
            <w:r>
              <w:rPr>
                <w:rFonts w:ascii="Times New Roman;sans-serif" w:hAnsi="Times New Roman;sans-serif"/>
                <w:b w:val="false"/>
                <w:color w:val="000000"/>
                <w:sz w:val="20"/>
              </w:rPr>
              <w:t xml:space="preserve">14.8 years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14.9 years</w:t>
            </w:r>
          </w:p>
        </w:tc>
      </w:tr>
    </w:tbl>
    <w:tbl>
      <w:tblPr>
        <w:tblW w:w="6341" w:type="dxa"/>
        <w:jc w:val="left"/>
        <w:tblInd w:w="0" w:type="dxa"/>
        <w:tblCellMar>
          <w:top w:w="28" w:type="dxa"/>
          <w:left w:w="28" w:type="dxa"/>
          <w:bottom w:w="28" w:type="dxa"/>
          <w:right w:w="28" w:type="dxa"/>
        </w:tblCellMar>
      </w:tblPr>
      <w:tblGrid>
        <w:gridCol w:w="1064"/>
        <w:gridCol w:w="935"/>
        <w:gridCol w:w="941"/>
        <w:gridCol w:w="109"/>
        <w:gridCol w:w="109"/>
        <w:gridCol w:w="177"/>
        <w:gridCol w:w="177"/>
        <w:gridCol w:w="343"/>
        <w:gridCol w:w="1001"/>
        <w:gridCol w:w="177"/>
        <w:gridCol w:w="109"/>
        <w:gridCol w:w="109"/>
        <w:gridCol w:w="109"/>
        <w:gridCol w:w="211"/>
        <w:gridCol w:w="616"/>
        <w:gridCol w:w="154"/>
      </w:tblGrid>
      <w:tr>
        <w:trPr/>
        <w:tc>
          <w:tcPr>
            <w:tcW w:w="1064"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5"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308" w:type="dxa"/>
            <w:gridSpan w:val="6"/>
            <w:tcBorders/>
            <w:shd w:fill="auto" w:val="clear"/>
          </w:tcPr>
          <w:p>
            <w:pPr>
              <w:pStyle w:val="TableContents"/>
              <w:spacing w:before="0" w:after="283"/>
              <w:rPr>
                <w:sz w:val="4"/>
                <w:szCs w:val="4"/>
              </w:rPr>
            </w:pPr>
            <w:r>
              <w:rPr>
                <w:sz w:val="4"/>
                <w:szCs w:val="4"/>
              </w:rPr>
            </w:r>
          </w:p>
        </w:tc>
      </w:tr>
      <w:tr>
        <w:trPr/>
        <w:tc>
          <w:tcPr>
            <w:tcW w:w="2940"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52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34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5,384 </w:t>
            </w:r>
          </w:p>
        </w:tc>
        <w:tc>
          <w:tcPr>
            <w:tcW w:w="177"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 - operating leases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lease cost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343"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6,575 </w:t>
            </w:r>
          </w:p>
        </w:tc>
        <w:tc>
          <w:tcPr>
            <w:tcW w:w="177"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5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lease obligation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99085"/>
                <wp:effectExtent l="0" t="0" r="0" b="0"/>
                <wp:wrapNone/>
                <wp:docPr id="13" name="Frame13"/>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 and Where Otherwise Noted)</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maturities of undiscounted operating lease liabilities of the Company are as follows:</w:t>
      </w:r>
    </w:p>
    <w:tbl>
      <w:tblPr>
        <w:tblW w:w="7047" w:type="dxa"/>
        <w:jc w:val="left"/>
        <w:tblInd w:w="0" w:type="dxa"/>
        <w:tblCellMar>
          <w:top w:w="28" w:type="dxa"/>
          <w:left w:w="28" w:type="dxa"/>
          <w:bottom w:w="28" w:type="dxa"/>
          <w:right w:w="28" w:type="dxa"/>
        </w:tblCellMar>
      </w:tblPr>
      <w:tblGrid>
        <w:gridCol w:w="737"/>
        <w:gridCol w:w="648"/>
        <w:gridCol w:w="654"/>
        <w:gridCol w:w="303"/>
        <w:gridCol w:w="1189"/>
        <w:gridCol w:w="157"/>
        <w:gridCol w:w="109"/>
        <w:gridCol w:w="109"/>
        <w:gridCol w:w="109"/>
        <w:gridCol w:w="405"/>
        <w:gridCol w:w="897"/>
        <w:gridCol w:w="212"/>
        <w:gridCol w:w="109"/>
        <w:gridCol w:w="109"/>
        <w:gridCol w:w="109"/>
        <w:gridCol w:w="211"/>
        <w:gridCol w:w="826"/>
        <w:gridCol w:w="154"/>
      </w:tblGrid>
      <w:tr>
        <w:trPr/>
        <w:tc>
          <w:tcPr>
            <w:tcW w:w="737"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39"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Years Ending:</w:t>
            </w:r>
          </w:p>
        </w:tc>
        <w:tc>
          <w:tcPr>
            <w:tcW w:w="1649" w:type="dxa"/>
            <w:gridSpan w:val="3"/>
            <w:tcBorders/>
            <w:shd w:fill="auto" w:val="clear"/>
            <w:tcMar>
              <w:top w:w="0" w:type="dxa"/>
              <w:left w:w="0" w:type="dxa"/>
              <w:bottom w:w="0" w:type="dxa"/>
              <w:right w:w="0" w:type="dxa"/>
            </w:tcMar>
            <w:vAlign w:val="center"/>
          </w:tcPr>
          <w:p>
            <w:pPr>
              <w:pStyle w:val="TableContents"/>
              <w:spacing w:lineRule="auto" w:line="312" w:before="0" w:after="0"/>
              <w:jc w:val="center"/>
              <w:rPr/>
            </w:pPr>
            <w:r>
              <w:rPr>
                <w:rFonts w:ascii="Times New Roman;sans-serif" w:hAnsi="Times New Roman;sans-serif"/>
                <w:b/>
                <w:color w:val="000000"/>
                <w:sz w:val="20"/>
              </w:rPr>
              <w:t>Operating Leases</w:t>
            </w:r>
            <w:r>
              <w:rPr>
                <w:color w:val="000000"/>
              </w:rPr>
              <w:t xml:space="preserv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auto" w:val="clear"/>
            <w:tcMar>
              <w:top w:w="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Sublease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Net </w:t>
              <w:br/>
              <w:t>Payments</w:t>
            </w:r>
          </w:p>
        </w:tc>
      </w:tr>
      <w:tr>
        <w:trPr/>
        <w:tc>
          <w:tcPr>
            <w:tcW w:w="2039" w:type="dxa"/>
            <w:gridSpan w:val="3"/>
            <w:tcBorders/>
            <w:shd w:fill="CCEEFF" w:val="clear"/>
            <w:tcMar>
              <w:top w:w="0" w:type="dxa"/>
              <w:left w:w="0" w:type="dxa"/>
              <w:bottom w:w="0" w:type="dxa"/>
              <w:right w:w="0" w:type="dxa"/>
            </w:tcMar>
            <w:vAlign w:val="center"/>
          </w:tcPr>
          <w:p>
            <w:pPr>
              <w:pStyle w:val="TableContents"/>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30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212"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49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7,409 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9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9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9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49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188,077 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spacing w:lineRule="auto" w:line="312" w:before="0" w:after="0"/>
              <w:jc w:val="left"/>
              <w:rPr/>
            </w:pPr>
            <w:r>
              <w:rPr>
                <w:rFonts w:ascii="Times New Roman;sans-serif" w:hAnsi="Times New Roman;sans-serif"/>
                <w:b w:val="false"/>
                <w:color w:val="000000"/>
                <w:sz w:val="20"/>
              </w:rPr>
              <w:t xml:space="preserve">Total lease payments </w:t>
            </w:r>
            <w:r>
              <w:rPr>
                <w:rFonts w:ascii="Times New Roman;sans-serif" w:hAnsi="Times New Roman;sans-serif"/>
                <w:b w:val="false"/>
                <w:color w:val="000000"/>
                <w:sz w:val="13"/>
              </w:rPr>
              <w:t>(1)</w:t>
            </w:r>
          </w:p>
        </w:tc>
        <w:tc>
          <w:tcPr>
            <w:tcW w:w="149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248,811 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212"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248,619 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49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(80,034)</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0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168,777 </w:t>
            </w:r>
          </w:p>
        </w:tc>
        <w:tc>
          <w:tcPr>
            <w:tcW w:w="15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spacing w:lineRule="auto" w:line="240" w:before="60" w:after="283"/>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(1)Total future lease payments are presented net of expected lease incentives, including landlord contributions to tenant improvements.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16—Related Party Transactions for information regarding the Company’s subleasing arrangements.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40"/>
        <w:rPr>
          <w:rFonts w:ascii="Times New Roman;sans-serif" w:hAnsi="Times New Roman;sans-serif"/>
          <w:b/>
          <w:color w:val="000000"/>
          <w:sz w:val="20"/>
        </w:rPr>
      </w:pPr>
      <w:r>
        <w:rPr>
          <w:rFonts w:ascii="Times New Roman;sans-serif" w:hAnsi="Times New Roman;sans-serif"/>
          <w:b/>
          <w:color w:val="000000"/>
          <w:sz w:val="20"/>
        </w:rPr>
        <w:t>Note 5—Intangible Assets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Below is the detail of the intangible assets:</w:t>
      </w:r>
    </w:p>
    <w:tbl>
      <w:tblPr>
        <w:tblW w:w="7932" w:type="dxa"/>
        <w:jc w:val="left"/>
        <w:tblInd w:w="0" w:type="dxa"/>
        <w:tblCellMar>
          <w:top w:w="28" w:type="dxa"/>
          <w:left w:w="28" w:type="dxa"/>
          <w:bottom w:w="28" w:type="dxa"/>
          <w:right w:w="28" w:type="dxa"/>
        </w:tblCellMar>
      </w:tblPr>
      <w:tblGrid>
        <w:gridCol w:w="874"/>
        <w:gridCol w:w="769"/>
        <w:gridCol w:w="771"/>
        <w:gridCol w:w="267"/>
        <w:gridCol w:w="914"/>
        <w:gridCol w:w="138"/>
        <w:gridCol w:w="109"/>
        <w:gridCol w:w="109"/>
        <w:gridCol w:w="109"/>
        <w:gridCol w:w="489"/>
        <w:gridCol w:w="1714"/>
        <w:gridCol w:w="256"/>
        <w:gridCol w:w="109"/>
        <w:gridCol w:w="109"/>
        <w:gridCol w:w="109"/>
        <w:gridCol w:w="211"/>
        <w:gridCol w:w="721"/>
        <w:gridCol w:w="154"/>
      </w:tblGrid>
      <w:tr>
        <w:trPr/>
        <w:tc>
          <w:tcPr>
            <w:tcW w:w="874"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71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5518" w:type="dxa"/>
            <w:gridSpan w:val="15"/>
            <w:tcBorders/>
            <w:shd w:fill="auto" w:val="clear"/>
            <w:tcMar>
              <w:top w:w="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color w:val="000000"/>
              </w:rPr>
            </w:pPr>
            <w:r>
              <w:rPr>
                <w:color w:val="000000"/>
              </w:rPr>
              <w:t> </w:t>
            </w:r>
          </w:p>
        </w:tc>
        <w:tc>
          <w:tcPr>
            <w:tcW w:w="131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Gross Amount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5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0"/>
              <w:jc w:val="center"/>
              <w:rPr/>
            </w:pPr>
            <w:r>
              <w:rPr>
                <w:rFonts w:ascii="Times New Roman;sans-serif" w:hAnsi="Times New Roman;sans-serif"/>
                <w:b/>
                <w:color w:val="000000"/>
                <w:sz w:val="20"/>
              </w:rPr>
              <w:t>Accumulated Amortization</w:t>
            </w:r>
            <w:r>
              <w:rPr>
                <w:color w:val="000000"/>
              </w:rPr>
              <w:t xml:space="preserve"> </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Carrying</w:t>
              <w:br/>
              <w:t>Amount</w:t>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47,400 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(30,020)</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trademarks</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18,400 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(11,653)</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65,800 </w:t>
            </w:r>
          </w:p>
        </w:tc>
        <w:tc>
          <w:tcPr>
            <w:tcW w:w="1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(41,673)</w:t>
            </w:r>
          </w:p>
        </w:tc>
        <w:tc>
          <w:tcPr>
            <w:tcW w:w="2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24,127 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7932" w:type="dxa"/>
        <w:jc w:val="left"/>
        <w:tblInd w:w="0" w:type="dxa"/>
        <w:tblCellMar>
          <w:top w:w="28" w:type="dxa"/>
          <w:left w:w="28" w:type="dxa"/>
          <w:bottom w:w="28" w:type="dxa"/>
          <w:right w:w="28" w:type="dxa"/>
        </w:tblCellMar>
      </w:tblPr>
      <w:tblGrid>
        <w:gridCol w:w="874"/>
        <w:gridCol w:w="769"/>
        <w:gridCol w:w="771"/>
        <w:gridCol w:w="267"/>
        <w:gridCol w:w="914"/>
        <w:gridCol w:w="138"/>
        <w:gridCol w:w="109"/>
        <w:gridCol w:w="109"/>
        <w:gridCol w:w="109"/>
        <w:gridCol w:w="489"/>
        <w:gridCol w:w="1714"/>
        <w:gridCol w:w="256"/>
        <w:gridCol w:w="109"/>
        <w:gridCol w:w="109"/>
        <w:gridCol w:w="109"/>
        <w:gridCol w:w="211"/>
        <w:gridCol w:w="721"/>
        <w:gridCol w:w="154"/>
      </w:tblGrid>
      <w:tr>
        <w:trPr/>
        <w:tc>
          <w:tcPr>
            <w:tcW w:w="874"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71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8" w:type="dxa"/>
            <w:gridSpan w:val="15"/>
            <w:tcBorders/>
            <w:shd w:fill="auto" w:val="clear"/>
            <w:tcMar>
              <w:top w:w="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color w:val="000000"/>
              </w:rPr>
            </w:pPr>
            <w:r>
              <w:rPr>
                <w:color w:val="000000"/>
              </w:rPr>
              <w:t> </w:t>
            </w:r>
          </w:p>
        </w:tc>
        <w:tc>
          <w:tcPr>
            <w:tcW w:w="131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Gross Amount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5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0"/>
              <w:jc w:val="center"/>
              <w:rPr/>
            </w:pPr>
            <w:r>
              <w:rPr>
                <w:rFonts w:ascii="Times New Roman;sans-serif" w:hAnsi="Times New Roman;sans-serif"/>
                <w:b/>
                <w:color w:val="000000"/>
                <w:sz w:val="20"/>
              </w:rPr>
              <w:t>Accumulated Amortization</w:t>
            </w:r>
            <w:r>
              <w:rPr>
                <w:color w:val="000000"/>
              </w:rPr>
              <w:t xml:space="preserve"> </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Carrying</w:t>
              <w:br/>
              <w:t>Amount</w:t>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47,400 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(28,835)</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trademarks</w:t>
            </w:r>
          </w:p>
        </w:tc>
        <w:tc>
          <w:tcPr>
            <w:tcW w:w="1181"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18,400 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3"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(11,193)</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65,800 </w:t>
            </w:r>
          </w:p>
        </w:tc>
        <w:tc>
          <w:tcPr>
            <w:tcW w:w="1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(40,028)</w:t>
            </w:r>
          </w:p>
        </w:tc>
        <w:tc>
          <w:tcPr>
            <w:tcW w:w="2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25,772 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intangible assets are amortized over an average useful life of ten years. Intangible amortization expense was $1.6 million for each of the three months ended March 31, 2023 and 2022, which is included in Depreciation and amortization in the Condensed Consolidated Statements of Operations. Amortization of intangible assets held at March 31, 2023 is expected to be $6.6 million for each of the years ending December 31, 2023, 2024, 2025, and $6.0 million for the year ending December 31, 2026. These intangible assets will be fully amortized by November 30, 2026.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9085"/>
                <wp:effectExtent l="0" t="0" r="0" b="0"/>
                <wp:wrapNone/>
                <wp:docPr id="14" name="Frame14"/>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 and Where Otherwise Noted)</w:t>
      </w:r>
    </w:p>
    <w:p>
      <w:pPr>
        <w:pStyle w:val="TextBody"/>
        <w:spacing w:lineRule="auto" w:line="240" w:before="240" w:after="240"/>
        <w:rPr>
          <w:rFonts w:ascii="Times New Roman;sans-serif" w:hAnsi="Times New Roman;sans-serif"/>
          <w:b/>
          <w:color w:val="000000"/>
          <w:sz w:val="20"/>
        </w:rPr>
      </w:pPr>
      <w:r>
        <w:rPr>
          <w:rFonts w:ascii="Times New Roman;sans-serif" w:hAnsi="Times New Roman;sans-serif"/>
          <w:b/>
          <w:color w:val="000000"/>
          <w:sz w:val="20"/>
        </w:rPr>
        <w:t xml:space="preserve">Note 6—Regulatory Requirements </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number of consolidated subsidiaries registered as broker-dealers with regulatory agencies in their respective countries, including the Securities and Exchange Commission (“SEC”), the Financial Industry Regulatory Authority (“FINRA”), the New Self-Regulatory Organization of Canada (“New SRO”, formerly the Investment Industry Regulatory Organization of Canada or “IIROC”), the Financial Conduct Authority (“FCA”) of the U.K. and the Autorité de contrôle prudentiel et de resolution (“ACPR”) of France. None of the SEC regulated subsidiaries hold funds or securities for, or owe money or securities to clients or carry accounts of or for clients, and as such are all exempt from the SEC Customer Protection Rule (Rule 15c3-3). As of March 31, 2023 and December 31, 2022, all regulated subsidiaries were in excess of their applicable minimum capital requirements. As a result of the minimum capital requirements and various regulations on these broker dealers, a portion of the capital of each subsidiary of the Company is restricted and may be unavailable to pay its creditors.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40"/>
        <w:rPr>
          <w:rFonts w:ascii="Times New Roman;sans-serif" w:hAnsi="Times New Roman;sans-serif"/>
          <w:b/>
          <w:color w:val="000000"/>
          <w:sz w:val="20"/>
        </w:rPr>
      </w:pPr>
      <w:r>
        <w:rPr>
          <w:rFonts w:ascii="Times New Roman;sans-serif" w:hAnsi="Times New Roman;sans-serif"/>
          <w:b/>
          <w:color w:val="000000"/>
          <w:sz w:val="20"/>
        </w:rPr>
        <w:t>Note 7—Fixed Assets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Fixed assets are recorded at cost less accumulated depreciation and amortization and consist of the following as of March 31, 2023 and December 31, 2022:</w:t>
      </w:r>
    </w:p>
    <w:tbl>
      <w:tblPr>
        <w:tblW w:w="7692" w:type="dxa"/>
        <w:jc w:val="left"/>
        <w:tblInd w:w="0" w:type="dxa"/>
        <w:tblCellMar>
          <w:top w:w="28" w:type="dxa"/>
          <w:left w:w="28" w:type="dxa"/>
          <w:bottom w:w="28" w:type="dxa"/>
          <w:right w:w="28" w:type="dxa"/>
        </w:tblCellMar>
      </w:tblPr>
      <w:tblGrid>
        <w:gridCol w:w="1505"/>
        <w:gridCol w:w="1322"/>
        <w:gridCol w:w="1328"/>
        <w:gridCol w:w="292"/>
        <w:gridCol w:w="998"/>
        <w:gridCol w:w="150"/>
        <w:gridCol w:w="109"/>
        <w:gridCol w:w="109"/>
        <w:gridCol w:w="109"/>
        <w:gridCol w:w="344"/>
        <w:gridCol w:w="1175"/>
        <w:gridCol w:w="251"/>
      </w:tblGrid>
      <w:tr>
        <w:trPr/>
        <w:tc>
          <w:tcPr>
            <w:tcW w:w="1505" w:type="dxa"/>
            <w:tcBorders/>
            <w:shd w:fill="auto" w:val="clear"/>
            <w:vAlign w:val="center"/>
          </w:tcPr>
          <w:p>
            <w:pPr>
              <w:pStyle w:val="TableContents"/>
              <w:spacing w:before="0" w:after="283"/>
              <w:rPr>
                <w:sz w:val="4"/>
                <w:szCs w:val="4"/>
              </w:rPr>
            </w:pPr>
            <w:r>
              <w:rPr>
                <w:sz w:val="4"/>
                <w:szCs w:val="4"/>
              </w:rPr>
            </w:r>
          </w:p>
        </w:tc>
        <w:tc>
          <w:tcPr>
            <w:tcW w:w="1322" w:type="dxa"/>
            <w:tcBorders/>
            <w:shd w:fill="auto" w:val="clear"/>
            <w:vAlign w:val="center"/>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9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57,709 </w:t>
            </w:r>
          </w:p>
        </w:tc>
        <w:tc>
          <w:tcPr>
            <w:tcW w:w="150"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76,389 </w:t>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290"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9,383 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15,313 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w:t>
            </w:r>
          </w:p>
        </w:tc>
        <w:tc>
          <w:tcPr>
            <w:tcW w:w="1290"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19,400 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21,382 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290"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6,945 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290"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92,412 </w:t>
            </w:r>
          </w:p>
        </w:tc>
        <w:tc>
          <w:tcPr>
            <w:tcW w:w="150"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120,029 </w:t>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290"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(30,932)</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(71,639)</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 net</w:t>
            </w:r>
          </w:p>
        </w:tc>
        <w:tc>
          <w:tcPr>
            <w:tcW w:w="29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61,480 </w:t>
            </w:r>
          </w:p>
        </w:tc>
        <w:tc>
          <w:tcPr>
            <w:tcW w:w="15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48,390 </w:t>
            </w:r>
          </w:p>
        </w:tc>
        <w:tc>
          <w:tcPr>
            <w:tcW w:w="2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related to fixed assets was $1.1 million and $1.1 million for the three months ended March 31, 2023 and 2022, respectively. Amortization expense related to software development costs was $0.1 million and $0.2 million for the three months ended March 31, 2023 and 2022, respectively.</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Company disposed of certain assets, substantially all of which were fully depreciated and related to the expansion and relocation of the New York and London office space. Leasehold improvement assets capitalized during the three months ended March 31, 2023 were largely related to build-out projects associated with new or amended office leases in New York and London. Refer to Note 4—Leases for further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40"/>
        <w:rPr>
          <w:rFonts w:ascii="Times New Roman;sans-serif" w:hAnsi="Times New Roman;sans-serif"/>
          <w:b/>
          <w:color w:val="000000"/>
          <w:sz w:val="20"/>
        </w:rPr>
      </w:pPr>
      <w:r>
        <w:rPr>
          <w:rFonts w:ascii="Times New Roman;sans-serif" w:hAnsi="Times New Roman;sans-serif"/>
          <w:b/>
          <w:color w:val="000000"/>
          <w:sz w:val="20"/>
        </w:rPr>
        <w:t>Note 8—Income Taxes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Company’s tax position for the periods presented: </w:t>
      </w:r>
    </w:p>
    <w:tbl>
      <w:tblPr>
        <w:tblW w:w="6501" w:type="dxa"/>
        <w:jc w:val="left"/>
        <w:tblInd w:w="0" w:type="dxa"/>
        <w:tblCellMar>
          <w:top w:w="28" w:type="dxa"/>
          <w:left w:w="28" w:type="dxa"/>
          <w:bottom w:w="28" w:type="dxa"/>
          <w:right w:w="28" w:type="dxa"/>
        </w:tblCellMar>
      </w:tblPr>
      <w:tblGrid>
        <w:gridCol w:w="1037"/>
        <w:gridCol w:w="910"/>
        <w:gridCol w:w="918"/>
        <w:gridCol w:w="109"/>
        <w:gridCol w:w="109"/>
        <w:gridCol w:w="136"/>
        <w:gridCol w:w="136"/>
        <w:gridCol w:w="264"/>
        <w:gridCol w:w="998"/>
        <w:gridCol w:w="339"/>
        <w:gridCol w:w="109"/>
        <w:gridCol w:w="109"/>
        <w:gridCol w:w="109"/>
        <w:gridCol w:w="211"/>
        <w:gridCol w:w="691"/>
        <w:gridCol w:w="316"/>
      </w:tblGrid>
      <w:tr>
        <w:trPr/>
        <w:tc>
          <w:tcPr>
            <w:tcW w:w="1037"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auto"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3"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545" w:type="dxa"/>
            <w:gridSpan w:val="6"/>
            <w:tcBorders/>
            <w:shd w:fill="auto" w:val="clear"/>
          </w:tcPr>
          <w:p>
            <w:pPr>
              <w:pStyle w:val="TableContents"/>
              <w:spacing w:before="0" w:after="283"/>
              <w:rPr>
                <w:sz w:val="4"/>
                <w:szCs w:val="4"/>
              </w:rPr>
            </w:pPr>
            <w:r>
              <w:rPr>
                <w:sz w:val="4"/>
                <w:szCs w:val="4"/>
              </w:rPr>
            </w:r>
          </w:p>
        </w:tc>
      </w:tr>
      <w:tr>
        <w:trPr/>
        <w:tc>
          <w:tcPr>
            <w:tcW w:w="2865" w:type="dxa"/>
            <w:gridSpan w:val="3"/>
            <w:tcBorders/>
            <w:shd w:fill="auto"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60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6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(22,134)</w:t>
            </w:r>
          </w:p>
        </w:tc>
        <w:tc>
          <w:tcPr>
            <w:tcW w:w="33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4,048 </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w:t>
            </w:r>
          </w:p>
        </w:tc>
        <w:tc>
          <w:tcPr>
            <w:tcW w:w="339" w:type="dxa"/>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316" w:type="dxa"/>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overall effective tax rate in each of the periods presented above varies from the U.S. federal statutory rate primarily because (i) a portion of the Company’s income is allocated to non-controlling interests held in PWP OpCo in which the majority of any tax liability on such income is borne by the holders of such non-controlling interests and reported outside of the condensed consolidated financial statements and (ii) a portion of the Company’s compensation expense is non-deductible for tax purposes.</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99085"/>
                <wp:effectExtent l="0" t="0" r="0" b="0"/>
                <wp:wrapNone/>
                <wp:docPr id="15" name="Frame15"/>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 and Where Otherwise Noted)</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Company recorded a liability for unrecognized tax benefits of $5.8 million and $5.6 million, respectively, related to potential double taxation for certain of its foreign subsidiaries. The Company does not expect there to be any material changes to uncertain tax positions within 12 months of the reporting date.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40"/>
        <w:rPr>
          <w:rFonts w:ascii="Times New Roman;sans-serif" w:hAnsi="Times New Roman;sans-serif"/>
          <w:b/>
          <w:color w:val="000000"/>
          <w:sz w:val="20"/>
        </w:rPr>
      </w:pPr>
      <w:r>
        <w:rPr>
          <w:rFonts w:ascii="Times New Roman;sans-serif" w:hAnsi="Times New Roman;sans-serif"/>
          <w:b/>
          <w:color w:val="000000"/>
          <w:sz w:val="20"/>
        </w:rPr>
        <w:t>Note 9—Stockholders’ Equity</w:t>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approved a stock repurchase program on February 16, 2022 under which the Company is authorized to repurchase up to $100.0 million of the Company’s Class A common stock, and on February 8, 2023, the Board approved an incremental $100.0 million, in each case with no requirement to purchase any minimum number of shares. The manner, timing, pricing and amount of any transactions will be subject to the Company’s discretion. During the three months ended March 31, 2023 and 2022, the Company purchased 1,457,304 and 172,303 shares, respectively, resulting in an increase of $14.8 million and $1.6 million, respectively, at cost, to Treasury stock on the Company’s Condensed Consolidated Statement of Financial Condition. The 11,001,320 shares purchased since inception of the share repurchase program through March 31, 2023 were purchased at an average price per share of $7.58.</w:t>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Non-Controlling Interests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represents the ownership interests in PWP OpCo held by holders other than Perella Weinberg Partners. Professional Partners and the ILPs own 43,778,015 PWP OpCo Units as of March 31, 2023, which represent a 50.8% non-controlling ownership interest in PWP OpCo. These PWP OpCo Units are exchangeable into PWP Class A common stock on a one-for-one basis. Class B-1 and Class B-2 common stock have de minimis economic rights.</w:t>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PWP OpCo Limited Partnership Agreement</w:t>
      </w:r>
    </w:p>
    <w:p>
      <w:pPr>
        <w:pStyle w:val="TextBody"/>
        <w:spacing w:lineRule="auto" w:line="240" w:before="240" w:after="240"/>
        <w:rPr>
          <w:rFonts w:ascii="Times New Roman;sans-serif" w:hAnsi="Times New Roman;sans-serif"/>
          <w:b w:val="false"/>
          <w:i/>
          <w:color w:val="000000"/>
          <w:sz w:val="20"/>
        </w:rPr>
      </w:pPr>
      <w:r>
        <w:rPr>
          <w:rFonts w:ascii="Times New Roman;sans-serif" w:hAnsi="Times New Roman;sans-serif"/>
          <w:b w:val="false"/>
          <w:i/>
          <w:color w:val="000000"/>
          <w:sz w:val="20"/>
        </w:rPr>
        <w:t>Exchange Rights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Amended and Restated Agreement of Limited Partnership of PWP OpCo, dated as of June 24, 2021 (as amended, restated, modified or supplemented from time to time, the “PWP OpCo LPA”), holders of PWP OpCo Units (“PWP OpCo Unitholders”) (other than the Company) may exchange these units for (i) shares of Class A common stock on a one-for-one basis or (ii) cash from an offering of shares of Class A common stock with the form of consideration determined by the Company. Concurrently with an exchange of PWP OpCo Units for shares of Class A common stock or cash by a PWP OpCo Unitholder who also holds shares of Class B common stock, such PWP OpCo Unitholder will be required to surrender to the Company a number of shares of Class B common stock equal to the number of PWP OpCo Units exchanged, and such shares will be converted into shares of Class A common stock or cash (at the Company’s option) which will be delivered to such PWP OpCo Unitholder at a conversion rate of 0.001.</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21, 2022, the Company closed a follow-on public offering of 3,502,033 shares of Class A common stock (the “Offering”) at a public offering price of $10.75 per share for total gross proceeds of $37.6 million, before deducting underwriting discounts and commissions. All proceeds from the Offering, net of the underwriting discounts and commissions of $0.32 per share or an aggregate of $1.1 million, were used by the Company to settle an exchange of certain PWP OpCo Units and certain shares of Class B common stock. Under the terms of the underwriting agreement, directors, officers and certain significant shareholders signed customary lockup agreements with respect to their ownership of Class A common stock. Total deferred offering costs of $1.3 million for the Offering were netted against the proceeds of the offering in Additional paid-in-capital on the Condensed Consolidated Statements of Financial Condition.</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and 2022, the Company settled exchanges of certain PWP OpCo Units and certain shares of Class B common stock for 786,644 and 337,048 shares, respectively, of Class A common stock. The exchanges created a step-up in tax basis for which the Company recorded on the Condensed Consolidated Statements of Financial Condition an increase in Deferred tax assets, net, as well as a related increase in Amounts due pursuant to the tax receivable agreement resulting in a net increase to Additional paid-in-capital.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99085"/>
                <wp:effectExtent l="0" t="0" r="0" b="0"/>
                <wp:wrapNone/>
                <wp:docPr id="16" name="Frame16"/>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 and Where Otherwise Noted)</w:t>
      </w:r>
    </w:p>
    <w:p>
      <w:pPr>
        <w:pStyle w:val="TextBody"/>
        <w:spacing w:lineRule="auto" w:line="240" w:before="240" w:after="240"/>
        <w:rPr>
          <w:rFonts w:ascii="Times New Roman;sans-serif" w:hAnsi="Times New Roman;sans-serif"/>
          <w:b/>
          <w:color w:val="000000"/>
          <w:sz w:val="20"/>
        </w:rPr>
      </w:pPr>
      <w:r>
        <w:rPr>
          <w:rFonts w:ascii="Times New Roman;sans-serif" w:hAnsi="Times New Roman;sans-serif"/>
          <w:b/>
          <w:color w:val="000000"/>
          <w:sz w:val="20"/>
        </w:rPr>
        <w:t>Note 10—Debt</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Company had no outstanding debt. The Company has a revolving credit facility (the “Revolving Credit Facility”) through a credit agreement with Cadence Bank, N.A. (“Cadence Bank”), dated November 30, 2016 (as amended, the “Credit Agreement”), with an available line of credit of $50 million. The Company incurred $1.8 million in issuance costs related to the Credit Agreement, which were amortized as interest expense using the effective interest method over the life of the Revolving Credit Facility. Interest expense related to the Revolving Credit Facility was immaterial during the three months ended March 31, 2023 and 2022 and is included within Other income (expense) on the Condensed Consolidated Statements of Operations. Unamortized debt issuance costs of $0.3 million and $0.4 million, as of March 31, 2023 and December 31, 2022, respectively are reported within Prepaid expenses and other assets on the Condensed Consolidated Statements of Financial Position.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40"/>
        <w:rPr>
          <w:rFonts w:ascii="Times New Roman;sans-serif" w:hAnsi="Times New Roman;sans-serif"/>
          <w:b/>
          <w:color w:val="000000"/>
          <w:sz w:val="20"/>
        </w:rPr>
      </w:pPr>
      <w:r>
        <w:rPr>
          <w:rFonts w:ascii="Times New Roman;sans-serif" w:hAnsi="Times New Roman;sans-serif"/>
          <w:b/>
          <w:color w:val="000000"/>
          <w:sz w:val="20"/>
        </w:rPr>
        <w:t>Note 11—Warrants</w:t>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Warrant Exchange</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and December 31, 2022, the Company had no warrants outstanding. On August 23, 2022, the Company concluded an offer to holders of its outstanding warrants which provided such holders the opportunity to receive 0.20 shares of the Company’s Class A common stock in exchange for each warrant tendered by such holders. This offer coincided with a solicitation of consents from holders of the public warrants to amend the warrant agreement (together, the “Warrant Exchange Offer”). Further information regarding the Company’s warrants is described in Note 12—Warrants in the Notes to Consolidated Financial Statements in “Part II. Item 8. Financial Statements and Supplementary Data” in the Company’s Annual Report on Form 10-K for the year ended December 31, 2022. </w:t>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Prior to Warrant Exchange</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Warrant Exchange Offer, each warrant entitled the registered holder to purchase one share of Class A common stock at an exercise price of $11.50 per share. The warrants met the definition of a derivative under ASC Topic 815, Derivatives and Hedging, and as such, the Company recorded these warrants as liabilities at fair value upon the closing of the Business Combination in accordance with ASC Topic 820, Fair Value Measurement, with subsequent changes in their respective fair values recorded in Change in fair value of warrant liabilities on the Condensed Consolidated Statements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40"/>
        <w:rPr>
          <w:rFonts w:ascii="Times New Roman;sans-serif" w:hAnsi="Times New Roman;sans-serif"/>
          <w:b/>
          <w:color w:val="000000"/>
          <w:sz w:val="20"/>
        </w:rPr>
      </w:pPr>
      <w:r>
        <w:rPr>
          <w:rFonts w:ascii="Times New Roman;sans-serif" w:hAnsi="Times New Roman;sans-serif"/>
          <w:b/>
          <w:color w:val="000000"/>
          <w:sz w:val="20"/>
        </w:rPr>
        <w:t>Note 12—Equity-Based Compensation</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information regarding the Company’s equity-based compensation awards is described in Note 13—Equity-Based Compensation in the Notes to Consolidated Financial Statements in “Part II. Item 8. Financial Statements and Supplementary Data” in the Company’s Annual Report on Form 10-K for the year ended December 31, 2022.</w:t>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PWP Omnibus Incentive Plan Awards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Concurrent with the Business Combination, the Company adopted the Perella Weinberg Partners 2021 Omnibus Incentive Plan (the “PWP Incentive Plan”), which establishes a plan for the granting of incentive compensation awards measured by reference to PWP Class A common stock (“PWP Incentive Plan Awards”). Under the PWP Incentive Plan, the Company may grant options, stock appreciation rights, restricted stock, restricted stock units (“RSUs”), performance restricted stock units (“PSUs”), stock bonuses, other stock-based awards, cash awards or any combination of the foregoing. The PWP Incentive Plan established a reserve for a one-time grant of awards that occurred in connection with the Business Combination (the “Transaction Pool Reserve”) as well as a reserve for general purpose grants (the “General Share Reserve”). As of March 31, 2023, 6,274,486 total shares remained reserved and available for future issuance under the PWP Incentive Plan.</w:t>
      </w:r>
    </w:p>
    <w:p>
      <w:pPr>
        <w:pStyle w:val="TextBody"/>
        <w:spacing w:lineRule="auto" w:line="240" w:before="240" w:after="24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Business Combination Awards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of 2021, in connection with the Business Combination, the Company granted awards (the “Business Combination Awards”) in the form of (i) restricted stock units out of the Transaction Pool Reserve consisting of (a) PSUs that only vest upon the achievement of both service and market conditions (“Transaction Pool PSUs”) and (b) RSUs that vest upon the achievement of service conditions (“Transaction Pool RSUs”) as well as (ii) PSUs out of the General Share Reserve to certain executives and a small number of other partners that vest upon the achievement of both service and market conditions (the “2021 Long-Term Incentive Awards”).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99085"/>
                <wp:effectExtent l="0" t="0" r="0" b="0"/>
                <wp:wrapNone/>
                <wp:docPr id="17" name="Frame17"/>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 and Where Otherwise Noted)</w:t>
      </w:r>
    </w:p>
    <w:p>
      <w:pPr>
        <w:pStyle w:val="TextBody"/>
        <w:spacing w:lineRule="auto" w:line="240" w:before="240" w:after="283"/>
        <w:ind w:left="0" w:right="0" w:firstLine="720"/>
        <w:jc w:val="both"/>
        <w:rPr/>
      </w:pPr>
      <w:r>
        <w:rPr>
          <w:rFonts w:ascii="Times New Roman;sans-serif" w:hAnsi="Times New Roman;sans-serif"/>
          <w:b w:val="false"/>
          <w:i/>
          <w:color w:val="000000"/>
          <w:sz w:val="20"/>
        </w:rPr>
        <w:t>Transaction Pool PSUs –</w:t>
      </w:r>
      <w:r>
        <w:rPr>
          <w:color w:val="000000"/>
        </w:rPr>
        <w:t xml:space="preserve"> </w:t>
      </w:r>
      <w:r>
        <w:rPr>
          <w:rFonts w:ascii="Times New Roman;sans-serif" w:hAnsi="Times New Roman;sans-serif"/>
          <w:b w:val="false"/>
          <w:color w:val="000000"/>
          <w:sz w:val="20"/>
        </w:rPr>
        <w:t>The following table summarizes the balance of unvested Transaction Pool PSUs and activity during the three months ended March 31, 2023:</w:t>
      </w:r>
    </w:p>
    <w:tbl>
      <w:tblPr>
        <w:tblW w:w="9343" w:type="dxa"/>
        <w:jc w:val="left"/>
        <w:tblInd w:w="0" w:type="dxa"/>
        <w:tblCellMar>
          <w:top w:w="28" w:type="dxa"/>
          <w:left w:w="28" w:type="dxa"/>
          <w:bottom w:w="28" w:type="dxa"/>
          <w:right w:w="28" w:type="dxa"/>
        </w:tblCellMar>
      </w:tblPr>
      <w:tblGrid>
        <w:gridCol w:w="837"/>
        <w:gridCol w:w="733"/>
        <w:gridCol w:w="739"/>
        <w:gridCol w:w="539"/>
        <w:gridCol w:w="539"/>
        <w:gridCol w:w="541"/>
        <w:gridCol w:w="140"/>
        <w:gridCol w:w="140"/>
        <w:gridCol w:w="140"/>
        <w:gridCol w:w="1016"/>
        <w:gridCol w:w="2975"/>
        <w:gridCol w:w="523"/>
        <w:gridCol w:w="109"/>
        <w:gridCol w:w="109"/>
        <w:gridCol w:w="109"/>
        <w:gridCol w:w="154"/>
      </w:tblGrid>
      <w:tr>
        <w:trPr/>
        <w:tc>
          <w:tcPr>
            <w:tcW w:w="837"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2975"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3" w:type="dxa"/>
            <w:gridSpan w:val="9"/>
            <w:tcBorders/>
            <w:shd w:fill="auto" w:val="clear"/>
            <w:tcMar>
              <w:top w:w="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Transaction Pool PSUs</w:t>
            </w:r>
          </w:p>
        </w:tc>
        <w:tc>
          <w:tcPr>
            <w:tcW w:w="481" w:type="dxa"/>
            <w:gridSpan w:val="4"/>
            <w:tcBorders/>
            <w:shd w:fill="auto" w:val="clear"/>
          </w:tcPr>
          <w:p>
            <w:pPr>
              <w:pStyle w:val="TableContents"/>
              <w:spacing w:before="0" w:after="283"/>
              <w:rPr>
                <w:sz w:val="4"/>
                <w:szCs w:val="4"/>
              </w:rPr>
            </w:pPr>
            <w:r>
              <w:rPr>
                <w:sz w:val="4"/>
                <w:szCs w:val="4"/>
              </w:rPr>
            </w:r>
          </w:p>
        </w:tc>
      </w:tr>
      <w:tr>
        <w:trPr/>
        <w:tc>
          <w:tcPr>
            <w:tcW w:w="2309" w:type="dxa"/>
            <w:gridSpan w:val="3"/>
            <w:tcBorders/>
            <w:shd w:fill="auto" w:val="clear"/>
            <w:vAlign w:val="center"/>
          </w:tcPr>
          <w:p>
            <w:pPr>
              <w:pStyle w:val="TableContents"/>
              <w:spacing w:before="0" w:after="283"/>
              <w:rPr>
                <w:sz w:val="4"/>
                <w:szCs w:val="4"/>
              </w:rPr>
            </w:pPr>
            <w:r>
              <w:rPr>
                <w:sz w:val="4"/>
                <w:szCs w:val="4"/>
              </w:rPr>
            </w:r>
          </w:p>
        </w:tc>
        <w:tc>
          <w:tcPr>
            <w:tcW w:w="1619"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4514" w:type="dxa"/>
            <w:gridSpan w:val="3"/>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61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42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51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 2023</w:t>
            </w:r>
          </w:p>
        </w:tc>
        <w:tc>
          <w:tcPr>
            <w:tcW w:w="1078"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3,076,297 </w:t>
            </w:r>
          </w:p>
        </w:tc>
        <w:tc>
          <w:tcPr>
            <w:tcW w:w="54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975"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523"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312" w:before="0" w:after="0"/>
              <w:jc w:val="left"/>
              <w:rPr/>
            </w:pPr>
            <w:r>
              <w:rPr>
                <w:rFonts w:ascii="Times New Roman;sans-serif" w:hAnsi="Times New Roman;sans-serif"/>
                <w:b w:val="false"/>
                <w:color w:val="000000"/>
                <w:sz w:val="20"/>
              </w:rPr>
              <w:t>Granted</w:t>
            </w:r>
            <w:r>
              <w:rPr>
                <w:color w:val="000000"/>
              </w:rPr>
              <w:t xml:space="preserve"> </w:t>
            </w:r>
            <w:r>
              <w:rPr>
                <w:rFonts w:ascii="Times New Roman;sans-serif" w:hAnsi="Times New Roman;sans-serif"/>
                <w:b w:val="false"/>
                <w:color w:val="000000"/>
                <w:sz w:val="13"/>
              </w:rPr>
              <w:t>(1)</w:t>
            </w:r>
          </w:p>
        </w:tc>
        <w:tc>
          <w:tcPr>
            <w:tcW w:w="1078"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7,750 </w:t>
            </w:r>
          </w:p>
        </w:tc>
        <w:tc>
          <w:tcPr>
            <w:tcW w:w="5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1"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5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78"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1"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5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78"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1"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1078"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3,084,047 </w:t>
            </w:r>
          </w:p>
        </w:tc>
        <w:tc>
          <w:tcPr>
            <w:tcW w:w="54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975" w:type="dxa"/>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5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spacing w:lineRule="auto" w:line="240" w:before="60" w:after="283"/>
        <w:ind w:left="0" w:right="0" w:hanging="540"/>
        <w:rPr>
          <w:rFonts w:ascii="Times New Roman;sans-serif" w:hAnsi="Times New Roman;sans-serif"/>
          <w:b w:val="false"/>
          <w:color w:val="000000"/>
          <w:sz w:val="16"/>
        </w:rPr>
      </w:pPr>
      <w:r>
        <w:rPr>
          <w:rFonts w:ascii="Times New Roman;sans-serif" w:hAnsi="Times New Roman;sans-serif"/>
          <w:b w:val="false"/>
          <w:color w:val="000000"/>
          <w:sz w:val="16"/>
        </w:rPr>
        <w:t>(1)Includes dividend equivalent units that have been awarded in the form of additional Transaction Pool PSUs that were granted from the General Share Reserve.</w:t>
      </w:r>
    </w:p>
    <w:p>
      <w:pPr>
        <w:pStyle w:val="TextBody"/>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$12 and $13.50 market condition requirements of the Transaction Pool PSUs were satisfied. No Transaction Pool PSUs vested during the three months ended March 31, 2023 and 2022. As of March 31, 2023, total unrecognized compensation expense related to unvested Transaction Pool PSUs was $22.8 million, which is expected to be recognized over a weighted average period of 2.5 years.</w:t>
      </w:r>
    </w:p>
    <w:p>
      <w:pPr>
        <w:pStyle w:val="TextBody"/>
        <w:spacing w:lineRule="auto" w:line="240" w:before="240" w:after="283"/>
        <w:ind w:left="0" w:right="0" w:firstLine="720"/>
        <w:jc w:val="both"/>
        <w:rPr/>
      </w:pPr>
      <w:r>
        <w:rPr>
          <w:rFonts w:ascii="Times New Roman;sans-serif" w:hAnsi="Times New Roman;sans-serif"/>
          <w:b w:val="false"/>
          <w:i/>
          <w:color w:val="000000"/>
          <w:sz w:val="20"/>
        </w:rPr>
        <w:t>Transaction Pool RSUs –</w:t>
      </w:r>
      <w:r>
        <w:rPr>
          <w:color w:val="000000"/>
        </w:rPr>
        <w:t xml:space="preserve"> </w:t>
      </w:r>
      <w:r>
        <w:rPr>
          <w:rFonts w:ascii="Times New Roman;sans-serif" w:hAnsi="Times New Roman;sans-serif"/>
          <w:b w:val="false"/>
          <w:color w:val="000000"/>
          <w:sz w:val="20"/>
        </w:rPr>
        <w:t>The following table summarizes the balance of unvested Transaction Pool RSUs and activity during the three months ended March 31, 2023:</w:t>
      </w:r>
    </w:p>
    <w:tbl>
      <w:tblPr>
        <w:tblW w:w="9347" w:type="dxa"/>
        <w:jc w:val="left"/>
        <w:tblInd w:w="0" w:type="dxa"/>
        <w:tblCellMar>
          <w:top w:w="28" w:type="dxa"/>
          <w:left w:w="28" w:type="dxa"/>
          <w:bottom w:w="28" w:type="dxa"/>
          <w:right w:w="28" w:type="dxa"/>
        </w:tblCellMar>
      </w:tblPr>
      <w:tblGrid>
        <w:gridCol w:w="837"/>
        <w:gridCol w:w="733"/>
        <w:gridCol w:w="739"/>
        <w:gridCol w:w="539"/>
        <w:gridCol w:w="539"/>
        <w:gridCol w:w="541"/>
        <w:gridCol w:w="141"/>
        <w:gridCol w:w="141"/>
        <w:gridCol w:w="141"/>
        <w:gridCol w:w="1016"/>
        <w:gridCol w:w="2976"/>
        <w:gridCol w:w="523"/>
        <w:gridCol w:w="109"/>
        <w:gridCol w:w="109"/>
        <w:gridCol w:w="109"/>
        <w:gridCol w:w="154"/>
      </w:tblGrid>
      <w:tr>
        <w:trPr/>
        <w:tc>
          <w:tcPr>
            <w:tcW w:w="837"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2976"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7" w:type="dxa"/>
            <w:gridSpan w:val="9"/>
            <w:tcBorders/>
            <w:shd w:fill="auto" w:val="clear"/>
            <w:tcMar>
              <w:top w:w="0" w:type="dxa"/>
              <w:left w:w="0" w:type="dxa"/>
              <w:bottom w:w="0" w:type="dxa"/>
              <w:right w:w="0" w:type="dxa"/>
            </w:tcMar>
            <w:vAlign w:val="center"/>
          </w:tcPr>
          <w:p>
            <w:pPr>
              <w:pStyle w:val="TableContents"/>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Transaction Pool RSUs</w:t>
            </w:r>
          </w:p>
        </w:tc>
        <w:tc>
          <w:tcPr>
            <w:tcW w:w="481" w:type="dxa"/>
            <w:gridSpan w:val="4"/>
            <w:tcBorders/>
            <w:shd w:fill="auto" w:val="clear"/>
          </w:tcPr>
          <w:p>
            <w:pPr>
              <w:pStyle w:val="TableContents"/>
              <w:spacing w:before="0" w:after="283"/>
              <w:rPr>
                <w:sz w:val="4"/>
                <w:szCs w:val="4"/>
              </w:rPr>
            </w:pPr>
            <w:r>
              <w:rPr>
                <w:sz w:val="4"/>
                <w:szCs w:val="4"/>
              </w:rPr>
            </w:r>
          </w:p>
        </w:tc>
      </w:tr>
      <w:tr>
        <w:trPr/>
        <w:tc>
          <w:tcPr>
            <w:tcW w:w="2309" w:type="dxa"/>
            <w:gridSpan w:val="3"/>
            <w:tcBorders/>
            <w:shd w:fill="auto" w:val="clear"/>
            <w:vAlign w:val="center"/>
          </w:tcPr>
          <w:p>
            <w:pPr>
              <w:pStyle w:val="TableContents"/>
              <w:spacing w:before="0" w:after="283"/>
              <w:rPr>
                <w:sz w:val="4"/>
                <w:szCs w:val="4"/>
              </w:rPr>
            </w:pPr>
            <w:r>
              <w:rPr>
                <w:sz w:val="4"/>
                <w:szCs w:val="4"/>
              </w:rPr>
            </w:r>
          </w:p>
        </w:tc>
        <w:tc>
          <w:tcPr>
            <w:tcW w:w="1619"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4515" w:type="dxa"/>
            <w:gridSpan w:val="3"/>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61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423"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51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 2023</w:t>
            </w:r>
          </w:p>
        </w:tc>
        <w:tc>
          <w:tcPr>
            <w:tcW w:w="1078"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2,589,976 </w:t>
            </w:r>
          </w:p>
        </w:tc>
        <w:tc>
          <w:tcPr>
            <w:tcW w:w="54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97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13.97 </w:t>
            </w:r>
          </w:p>
        </w:tc>
        <w:tc>
          <w:tcPr>
            <w:tcW w:w="523"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312" w:before="0" w:after="0"/>
              <w:jc w:val="left"/>
              <w:rPr/>
            </w:pPr>
            <w:r>
              <w:rPr>
                <w:rFonts w:ascii="Times New Roman;sans-serif" w:hAnsi="Times New Roman;sans-serif"/>
                <w:b w:val="false"/>
                <w:color w:val="000000"/>
                <w:sz w:val="20"/>
              </w:rPr>
              <w:t xml:space="preserve">Granted </w:t>
            </w:r>
            <w:r>
              <w:rPr>
                <w:rFonts w:ascii="Times New Roman;sans-serif" w:hAnsi="Times New Roman;sans-serif"/>
                <w:b w:val="false"/>
                <w:color w:val="000000"/>
                <w:sz w:val="13"/>
              </w:rPr>
              <w:t>(1)</w:t>
            </w:r>
          </w:p>
        </w:tc>
        <w:tc>
          <w:tcPr>
            <w:tcW w:w="1078"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4,186 </w:t>
            </w:r>
          </w:p>
        </w:tc>
        <w:tc>
          <w:tcPr>
            <w:tcW w:w="5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13.97 </w:t>
            </w:r>
          </w:p>
        </w:tc>
        <w:tc>
          <w:tcPr>
            <w:tcW w:w="5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78"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5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78"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(9,716)</w:t>
            </w:r>
          </w:p>
        </w:tc>
        <w:tc>
          <w:tcPr>
            <w:tcW w:w="5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13.97 </w:t>
            </w:r>
          </w:p>
        </w:tc>
        <w:tc>
          <w:tcPr>
            <w:tcW w:w="5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1078"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2,584,446 </w:t>
            </w:r>
          </w:p>
        </w:tc>
        <w:tc>
          <w:tcPr>
            <w:tcW w:w="54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976" w:type="dxa"/>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13.97 </w:t>
            </w:r>
          </w:p>
        </w:tc>
        <w:tc>
          <w:tcPr>
            <w:tcW w:w="5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spacing w:lineRule="auto" w:line="240" w:before="60" w:after="283"/>
        <w:ind w:left="0" w:right="0" w:hanging="540"/>
        <w:rPr>
          <w:rFonts w:ascii="Times New Roman;sans-serif" w:hAnsi="Times New Roman;sans-serif"/>
          <w:b w:val="false"/>
          <w:color w:val="000000"/>
          <w:sz w:val="16"/>
        </w:rPr>
      </w:pPr>
      <w:r>
        <w:rPr>
          <w:rFonts w:ascii="Times New Roman;sans-serif" w:hAnsi="Times New Roman;sans-serif"/>
          <w:b w:val="false"/>
          <w:color w:val="000000"/>
          <w:sz w:val="16"/>
        </w:rPr>
        <w:t>(1)Includes dividend equivalent units that have been awarded in the form of additional Transaction Pool RSUs that were granted from the General Share Reserve.</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total fair value of Transaction Pool RSUs that vested during the three months ended March 31, 2022 was $8.1 million and no awards vested during the three months ended March 31, 2023. As of March 31, 2023, total unrecognized compensation expense related to unvested Transaction Pool RSUs was $23.6 million, which is expected to be recognized over a weighted average period of 1.6 years.</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99085"/>
                <wp:effectExtent l="0" t="0" r="0" b="0"/>
                <wp:wrapNone/>
                <wp:docPr id="18" name="Frame18"/>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 and Where Otherwise Noted)</w:t>
      </w:r>
    </w:p>
    <w:p>
      <w:pPr>
        <w:pStyle w:val="TextBody"/>
        <w:spacing w:lineRule="auto" w:line="240" w:before="240" w:after="240"/>
        <w:ind w:left="0" w:right="0" w:firstLine="720"/>
        <w:jc w:val="both"/>
        <w:rPr/>
      </w:pPr>
      <w:r>
        <w:rPr>
          <w:rFonts w:ascii="Times New Roman;sans-serif" w:hAnsi="Times New Roman;sans-serif"/>
          <w:b w:val="false"/>
          <w:i/>
          <w:color w:val="000000"/>
          <w:sz w:val="20"/>
        </w:rPr>
        <w:t xml:space="preserve">2021 Long-Term Incentive Awards – </w:t>
      </w:r>
      <w:r>
        <w:rPr>
          <w:rFonts w:ascii="Times New Roman;sans-serif" w:hAnsi="Times New Roman;sans-serif"/>
          <w:b w:val="false"/>
          <w:color w:val="000000"/>
          <w:sz w:val="20"/>
        </w:rPr>
        <w:t>The following table summarizes the balance of unvested 2021 Long-Term Incentive Awards and activity during the three months ended March 31, 2023:</w:t>
      </w:r>
    </w:p>
    <w:tbl>
      <w:tblPr>
        <w:tblW w:w="9598" w:type="dxa"/>
        <w:jc w:val="left"/>
        <w:tblInd w:w="0" w:type="dxa"/>
        <w:tblCellMar>
          <w:top w:w="28" w:type="dxa"/>
          <w:left w:w="28" w:type="dxa"/>
          <w:bottom w:w="28" w:type="dxa"/>
          <w:right w:w="28" w:type="dxa"/>
        </w:tblCellMar>
      </w:tblPr>
      <w:tblGrid>
        <w:gridCol w:w="837"/>
        <w:gridCol w:w="733"/>
        <w:gridCol w:w="739"/>
        <w:gridCol w:w="539"/>
        <w:gridCol w:w="539"/>
        <w:gridCol w:w="541"/>
        <w:gridCol w:w="225"/>
        <w:gridCol w:w="225"/>
        <w:gridCol w:w="225"/>
        <w:gridCol w:w="1147"/>
        <w:gridCol w:w="2777"/>
        <w:gridCol w:w="590"/>
        <w:gridCol w:w="109"/>
        <w:gridCol w:w="109"/>
        <w:gridCol w:w="109"/>
        <w:gridCol w:w="154"/>
      </w:tblGrid>
      <w:tr>
        <w:trPr/>
        <w:tc>
          <w:tcPr>
            <w:tcW w:w="837"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2777"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8" w:type="dxa"/>
            <w:gridSpan w:val="9"/>
            <w:tcBorders/>
            <w:shd w:fill="auto" w:val="clear"/>
            <w:tcMar>
              <w:top w:w="0" w:type="dxa"/>
              <w:left w:w="0" w:type="dxa"/>
              <w:bottom w:w="0" w:type="dxa"/>
              <w:right w:w="0" w:type="dxa"/>
            </w:tcMar>
            <w:vAlign w:val="center"/>
          </w:tcPr>
          <w:p>
            <w:pPr>
              <w:pStyle w:val="TableContents"/>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2021 Long-Term Incentive Awards</w:t>
            </w:r>
          </w:p>
        </w:tc>
        <w:tc>
          <w:tcPr>
            <w:tcW w:w="481" w:type="dxa"/>
            <w:gridSpan w:val="4"/>
            <w:tcBorders/>
            <w:shd w:fill="auto" w:val="clear"/>
          </w:tcPr>
          <w:p>
            <w:pPr>
              <w:pStyle w:val="TableContents"/>
              <w:spacing w:before="0" w:after="283"/>
              <w:rPr>
                <w:sz w:val="4"/>
                <w:szCs w:val="4"/>
              </w:rPr>
            </w:pPr>
            <w:r>
              <w:rPr>
                <w:sz w:val="4"/>
                <w:szCs w:val="4"/>
              </w:rPr>
            </w:r>
          </w:p>
        </w:tc>
      </w:tr>
      <w:tr>
        <w:trPr/>
        <w:tc>
          <w:tcPr>
            <w:tcW w:w="2309" w:type="dxa"/>
            <w:gridSpan w:val="3"/>
            <w:tcBorders/>
            <w:shd w:fill="auto" w:val="clear"/>
            <w:vAlign w:val="center"/>
          </w:tcPr>
          <w:p>
            <w:pPr>
              <w:pStyle w:val="TableContents"/>
              <w:spacing w:before="0" w:after="283"/>
              <w:rPr>
                <w:sz w:val="4"/>
                <w:szCs w:val="4"/>
              </w:rPr>
            </w:pPr>
            <w:r>
              <w:rPr>
                <w:sz w:val="4"/>
                <w:szCs w:val="4"/>
              </w:rPr>
            </w:r>
          </w:p>
        </w:tc>
        <w:tc>
          <w:tcPr>
            <w:tcW w:w="1619" w:type="dxa"/>
            <w:gridSpan w:val="3"/>
            <w:tcBorders/>
            <w:shd w:fill="auto" w:val="clear"/>
            <w:vAlign w:val="center"/>
          </w:tcPr>
          <w:p>
            <w:pPr>
              <w:pStyle w:val="TableContents"/>
              <w:spacing w:before="0" w:after="283"/>
              <w:rPr>
                <w:sz w:val="4"/>
                <w:szCs w:val="4"/>
              </w:rPr>
            </w:pPr>
            <w:r>
              <w:rPr>
                <w:sz w:val="4"/>
                <w:szCs w:val="4"/>
              </w:rPr>
            </w:r>
          </w:p>
        </w:tc>
        <w:tc>
          <w:tcPr>
            <w:tcW w:w="675" w:type="dxa"/>
            <w:gridSpan w:val="3"/>
            <w:tcBorders/>
            <w:shd w:fill="auto" w:val="clear"/>
            <w:vAlign w:val="center"/>
          </w:tcPr>
          <w:p>
            <w:pPr>
              <w:pStyle w:val="TableContents"/>
              <w:spacing w:before="0" w:after="283"/>
              <w:rPr>
                <w:sz w:val="4"/>
                <w:szCs w:val="4"/>
              </w:rPr>
            </w:pPr>
            <w:r>
              <w:rPr>
                <w:sz w:val="4"/>
                <w:szCs w:val="4"/>
              </w:rPr>
            </w:r>
          </w:p>
        </w:tc>
        <w:tc>
          <w:tcPr>
            <w:tcW w:w="4514" w:type="dxa"/>
            <w:gridSpan w:val="3"/>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61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67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51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 2023</w:t>
            </w:r>
          </w:p>
        </w:tc>
        <w:tc>
          <w:tcPr>
            <w:tcW w:w="1078"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9,000,000 </w:t>
            </w:r>
          </w:p>
        </w:tc>
        <w:tc>
          <w:tcPr>
            <w:tcW w:w="54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7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590"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78"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4"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5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78"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4"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5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78"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4"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5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1078"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9,000,000 </w:t>
            </w:r>
          </w:p>
        </w:tc>
        <w:tc>
          <w:tcPr>
            <w:tcW w:w="54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77" w:type="dxa"/>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5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none of the market condition requirements of the 2021 Long-Term Incentive Awards were met and no awards vested during the three months ended March 31, 2023 and 2022. As of March 31, 2023, total unrecognized compensation expense related to unvested 2021 Long-Term Incentive Awards was $49.7 million, which is expected to be recognized over a weighted average period of 2.6 years.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total unrecognized compensation expense related to the combined unvested Business Combination Awards was $96.2 million, which is expected to be recognized over a weighted average period of 2.3 years.</w:t>
      </w:r>
    </w:p>
    <w:p>
      <w:pPr>
        <w:pStyle w:val="TextBody"/>
        <w:spacing w:lineRule="auto" w:line="240" w:before="240" w:after="24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Other General Reserve Awards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grants RSU awards out of the General Share Reserve from time to time in the ordinary course of business (the “General RSUs”), which vest upon the achievement of service conditions. During 2023, the Company granted additional PSUs out of the General Share Reserve that vest upon the achievement of both service and market conditions (the “2023 Long-Term Incentive Awards”).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General RSUs vest over the requisite service period, which is generally one to five years. For the 2023 Long-Term Incentive Awards, the service condition requirement is generally satisfied in two equal installments subject to continued employment on the third and fifth anniversaries of the grant date. The market condition is satisfied upon the achievement of closing stock prices equal to $15, $20, $25 and $30 for any 20 trading days out of any 30 consecutive trading days prior to the fifth anniversary of the grant date, as measured on the last calendar day of each month. The market condition is satisfied with respect to 50% of each award at the $15 closing stock price, 80% of each award at the $20 closing stock price, 95% of each award at the $25 closing stock price, and 100% of each award at the $30 closing stock price, subject to linear interpolation between the applicable price points.</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99085"/>
                <wp:effectExtent l="0" t="0" r="0" b="0"/>
                <wp:wrapNone/>
                <wp:docPr id="19" name="Frame19"/>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 and Where Otherwise Noted)</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balance of unvested General RSUs and 2023 Long-Term Incentive Awards (together, the “Other General Reserve Awards”) and activity during the three months ended March 31, 2023:</w:t>
      </w:r>
    </w:p>
    <w:tbl>
      <w:tblPr>
        <w:tblW w:w="9535" w:type="dxa"/>
        <w:jc w:val="left"/>
        <w:tblInd w:w="0" w:type="dxa"/>
        <w:tblCellMar>
          <w:top w:w="28" w:type="dxa"/>
          <w:left w:w="28" w:type="dxa"/>
          <w:bottom w:w="28" w:type="dxa"/>
          <w:right w:w="28" w:type="dxa"/>
        </w:tblCellMar>
      </w:tblPr>
      <w:tblGrid>
        <w:gridCol w:w="837"/>
        <w:gridCol w:w="733"/>
        <w:gridCol w:w="739"/>
        <w:gridCol w:w="587"/>
        <w:gridCol w:w="539"/>
        <w:gridCol w:w="541"/>
        <w:gridCol w:w="188"/>
        <w:gridCol w:w="188"/>
        <w:gridCol w:w="188"/>
        <w:gridCol w:w="1017"/>
        <w:gridCol w:w="2972"/>
        <w:gridCol w:w="525"/>
        <w:gridCol w:w="109"/>
        <w:gridCol w:w="109"/>
        <w:gridCol w:w="109"/>
        <w:gridCol w:w="154"/>
      </w:tblGrid>
      <w:tr>
        <w:trPr/>
        <w:tc>
          <w:tcPr>
            <w:tcW w:w="837"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2972"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Other General Reserve Awards</w:t>
            </w:r>
          </w:p>
        </w:tc>
        <w:tc>
          <w:tcPr>
            <w:tcW w:w="481" w:type="dxa"/>
            <w:gridSpan w:val="4"/>
            <w:tcBorders/>
            <w:shd w:fill="auto" w:val="clear"/>
          </w:tcPr>
          <w:p>
            <w:pPr>
              <w:pStyle w:val="TableContents"/>
              <w:spacing w:before="0" w:after="283"/>
              <w:rPr>
                <w:sz w:val="4"/>
                <w:szCs w:val="4"/>
              </w:rPr>
            </w:pPr>
            <w:r>
              <w:rPr>
                <w:sz w:val="4"/>
                <w:szCs w:val="4"/>
              </w:rPr>
            </w:r>
          </w:p>
        </w:tc>
      </w:tr>
      <w:tr>
        <w:trPr/>
        <w:tc>
          <w:tcPr>
            <w:tcW w:w="2309" w:type="dxa"/>
            <w:gridSpan w:val="3"/>
            <w:tcBorders/>
            <w:shd w:fill="auto" w:val="clear"/>
            <w:vAlign w:val="center"/>
          </w:tcPr>
          <w:p>
            <w:pPr>
              <w:pStyle w:val="TableContents"/>
              <w:spacing w:before="0" w:after="283"/>
              <w:rPr>
                <w:sz w:val="4"/>
                <w:szCs w:val="4"/>
              </w:rPr>
            </w:pPr>
            <w:r>
              <w:rPr>
                <w:sz w:val="4"/>
                <w:szCs w:val="4"/>
              </w:rPr>
            </w:r>
          </w:p>
        </w:tc>
        <w:tc>
          <w:tcPr>
            <w:tcW w:w="1667" w:type="dxa"/>
            <w:gridSpan w:val="3"/>
            <w:tcBorders/>
            <w:shd w:fill="auto" w:val="clear"/>
            <w:vAlign w:val="center"/>
          </w:tcPr>
          <w:p>
            <w:pPr>
              <w:pStyle w:val="TableContents"/>
              <w:spacing w:before="0" w:after="283"/>
              <w:rPr>
                <w:sz w:val="4"/>
                <w:szCs w:val="4"/>
              </w:rPr>
            </w:pPr>
            <w:r>
              <w:rPr>
                <w:sz w:val="4"/>
                <w:szCs w:val="4"/>
              </w:rPr>
            </w:r>
          </w:p>
        </w:tc>
        <w:tc>
          <w:tcPr>
            <w:tcW w:w="564" w:type="dxa"/>
            <w:gridSpan w:val="3"/>
            <w:tcBorders/>
            <w:shd w:fill="auto" w:val="clear"/>
            <w:vAlign w:val="center"/>
          </w:tcPr>
          <w:p>
            <w:pPr>
              <w:pStyle w:val="TableContents"/>
              <w:spacing w:before="0" w:after="283"/>
              <w:rPr>
                <w:sz w:val="4"/>
                <w:szCs w:val="4"/>
              </w:rPr>
            </w:pPr>
            <w:r>
              <w:rPr>
                <w:sz w:val="4"/>
                <w:szCs w:val="4"/>
              </w:rPr>
            </w:r>
          </w:p>
        </w:tc>
        <w:tc>
          <w:tcPr>
            <w:tcW w:w="4514" w:type="dxa"/>
            <w:gridSpan w:val="3"/>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66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56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51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 2023</w:t>
            </w:r>
          </w:p>
        </w:tc>
        <w:tc>
          <w:tcPr>
            <w:tcW w:w="1126"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7,144,227 </w:t>
            </w:r>
          </w:p>
        </w:tc>
        <w:tc>
          <w:tcPr>
            <w:tcW w:w="54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97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525"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312" w:before="0" w:after="0"/>
              <w:jc w:val="left"/>
              <w:rPr/>
            </w:pPr>
            <w:r>
              <w:rPr>
                <w:rFonts w:ascii="Times New Roman;sans-serif" w:hAnsi="Times New Roman;sans-serif"/>
                <w:b w:val="false"/>
                <w:color w:val="000000"/>
                <w:sz w:val="20"/>
              </w:rPr>
              <w:t xml:space="preserve">Granted </w:t>
            </w:r>
            <w:r>
              <w:rPr>
                <w:rFonts w:ascii="Times New Roman;sans-serif" w:hAnsi="Times New Roman;sans-serif"/>
                <w:b w:val="false"/>
                <w:color w:val="000000"/>
                <w:sz w:val="13"/>
              </w:rPr>
              <w:t>(1)</w:t>
            </w:r>
          </w:p>
        </w:tc>
        <w:tc>
          <w:tcPr>
            <w:tcW w:w="11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7,793,265 </w:t>
            </w:r>
          </w:p>
        </w:tc>
        <w:tc>
          <w:tcPr>
            <w:tcW w:w="5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9.62 </w:t>
            </w:r>
          </w:p>
        </w:tc>
        <w:tc>
          <w:tcPr>
            <w:tcW w:w="5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1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(2,470,713)</w:t>
            </w:r>
          </w:p>
        </w:tc>
        <w:tc>
          <w:tcPr>
            <w:tcW w:w="5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5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1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(4,660)</w:t>
            </w:r>
          </w:p>
        </w:tc>
        <w:tc>
          <w:tcPr>
            <w:tcW w:w="5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5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112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12,462,119 </w:t>
            </w:r>
          </w:p>
        </w:tc>
        <w:tc>
          <w:tcPr>
            <w:tcW w:w="54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97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5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spacing w:lineRule="auto" w:line="240" w:before="60" w:after="283"/>
        <w:ind w:left="0" w:right="0" w:hanging="540"/>
        <w:rPr>
          <w:rFonts w:ascii="Times New Roman;sans-serif" w:hAnsi="Times New Roman;sans-serif"/>
          <w:b w:val="false"/>
          <w:color w:val="000000"/>
          <w:sz w:val="16"/>
        </w:rPr>
      </w:pPr>
      <w:r>
        <w:rPr>
          <w:rFonts w:ascii="Times New Roman;sans-serif" w:hAnsi="Times New Roman;sans-serif"/>
          <w:b w:val="false"/>
          <w:color w:val="000000"/>
          <w:sz w:val="16"/>
        </w:rPr>
        <w:t>(1)Includes dividend equivalent units that have been awarded in the form of additional General RSUs that were granted from the General Share Reserve.</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 date fair value of the Other General Reserve Awards granted during the three months ended March 31, 2023 and 2022 was $9.62 and $9.96 per award, respectively. The grant date fair value of General RSUs is based on the PWP stock price on the date of grant and the 2023 Long-Term Incentive Awards were valued using a Monte Carlo simulation valuation model using a risk-free interest rate of 4.1%, a dividend yield of 2.7%, and a volatility factor of 34.9% based on historical peer company volatility. The total fair value of Other General Reserve Awards that vested during the three months ended March 31, 2023 and 2022 was $25.0 million and $4.5 million, respectively. As of March 31, 2023, total unrecognized compensation expense related to unvested Other General Reserve Awards was $105.8 million, which is expected to be recognized over a weighted average period of 2.5 years.</w:t>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Legacy Awards and Professional Partners Awards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Business Combination, Professional Partners granted certain equity-based awards to partners providing services to PWP OpCo (the “Legacy Awards”). In connection with the Business Combination, existing Legacy Awards were canceled and replaced by converting each limited partner’s capital interests in Professional Partners attributable to PWP OpCo into (“Professional Partners Awards”). As of March 31, 2023, there was $6.4 million of unrecognized compensation cost associated with the Legacy Awards that is expected to be recognized over a weighted-average period of 0.5 years. As of March 31, 2023, there was $189.1 million of unrecognized compensation expense related to unvested Professional Partners Awards, which is expected to be recognized over a weighted-average period of 3.1 years.</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99085"/>
                <wp:effectExtent l="0" t="0" r="0" b="0"/>
                <wp:wrapNone/>
                <wp:docPr id="20" name="Frame20"/>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 and Where Otherwise Noted)</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expense related to awards that were recorded in Professional fees and components of Equity-based compensation included on the Condensed Consolidated Statements of Operations:</w:t>
      </w:r>
    </w:p>
    <w:tbl>
      <w:tblPr>
        <w:tblW w:w="7044" w:type="dxa"/>
        <w:jc w:val="left"/>
        <w:tblInd w:w="0" w:type="dxa"/>
        <w:tblCellMar>
          <w:top w:w="28" w:type="dxa"/>
          <w:left w:w="28" w:type="dxa"/>
          <w:bottom w:w="28" w:type="dxa"/>
          <w:right w:w="28" w:type="dxa"/>
        </w:tblCellMar>
      </w:tblPr>
      <w:tblGrid>
        <w:gridCol w:w="1282"/>
        <w:gridCol w:w="1128"/>
        <w:gridCol w:w="1129"/>
        <w:gridCol w:w="109"/>
        <w:gridCol w:w="109"/>
        <w:gridCol w:w="162"/>
        <w:gridCol w:w="162"/>
        <w:gridCol w:w="314"/>
        <w:gridCol w:w="1074"/>
        <w:gridCol w:w="162"/>
        <w:gridCol w:w="109"/>
        <w:gridCol w:w="109"/>
        <w:gridCol w:w="109"/>
        <w:gridCol w:w="211"/>
        <w:gridCol w:w="721"/>
        <w:gridCol w:w="154"/>
      </w:tblGrid>
      <w:tr>
        <w:trPr/>
        <w:tc>
          <w:tcPr>
            <w:tcW w:w="1282"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4" w:type="dxa"/>
            <w:gridSpan w:val="5"/>
            <w:tcBorders/>
            <w:shd w:fill="auto" w:val="clear"/>
            <w:tcMar>
              <w:top w:w="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3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55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539"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Professional fees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55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PWP Incentive Plan Awards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Professional fees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14"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62"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55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Equity-based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PWP Incentive Plan Awards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27,337 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312" w:before="0" w:after="0"/>
              <w:jc w:val="left"/>
              <w:rPr/>
            </w:pPr>
            <w:r>
              <w:rPr>
                <w:rFonts w:ascii="Times New Roman;sans-serif" w:hAnsi="Times New Roman;sans-serif"/>
                <w:b w:val="false"/>
                <w:color w:val="000000"/>
                <w:sz w:val="20"/>
              </w:rPr>
              <w:t xml:space="preserve">Legacy Awards </w:t>
            </w:r>
            <w:r>
              <w:rPr>
                <w:rFonts w:ascii="Times New Roman;sans-serif" w:hAnsi="Times New Roman;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312" w:before="0" w:after="0"/>
              <w:jc w:val="left"/>
              <w:rPr/>
            </w:pPr>
            <w:r>
              <w:rPr>
                <w:rFonts w:ascii="Times New Roman;sans-serif" w:hAnsi="Times New Roman;sans-serif"/>
                <w:b w:val="false"/>
                <w:color w:val="000000"/>
                <w:sz w:val="20"/>
              </w:rPr>
              <w:t xml:space="preserve">Professional Partners Awards </w:t>
            </w:r>
            <w:r>
              <w:rPr>
                <w:rFonts w:ascii="Times New Roman;sans-serif" w:hAnsi="Times New Roman;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17,109 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14"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47,671 </w:t>
            </w:r>
          </w:p>
        </w:tc>
        <w:tc>
          <w:tcPr>
            <w:tcW w:w="162"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40,890 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55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of equity-based awards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spacing w:lineRule="auto" w:line="240" w:before="60" w:after="283"/>
        <w:ind w:left="0" w:right="0" w:hanging="540"/>
        <w:rPr>
          <w:rFonts w:ascii="Times New Roman;sans-serif" w:hAnsi="Times New Roman;sans-serif"/>
          <w:b w:val="false"/>
          <w:color w:val="000000"/>
          <w:sz w:val="16"/>
        </w:rPr>
      </w:pPr>
      <w:r>
        <w:rPr>
          <w:rFonts w:ascii="Times New Roman;sans-serif" w:hAnsi="Times New Roman;sans-serif"/>
          <w:b w:val="false"/>
          <w:color w:val="000000"/>
          <w:sz w:val="16"/>
        </w:rPr>
        <w:t xml:space="preserve">(1)The vesting of these awards does not dilute Perella Weinberg Partners shareholders relative to Professional Partners. As such the related equity-based compensation expense is fully attributed to non-controlling interests.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40"/>
        <w:rPr>
          <w:rFonts w:ascii="Times New Roman;sans-serif" w:hAnsi="Times New Roman;sans-serif"/>
          <w:b/>
          <w:color w:val="000000"/>
          <w:sz w:val="20"/>
        </w:rPr>
      </w:pPr>
      <w:r>
        <w:rPr>
          <w:rFonts w:ascii="Times New Roman;sans-serif" w:hAnsi="Times New Roman;sans-serif"/>
          <w:b/>
          <w:color w:val="000000"/>
          <w:sz w:val="20"/>
        </w:rPr>
        <w:t>Note 13—Other Compensation and Benefits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 includes, but is not limited to, salaries, bonuses (discretionary awards and guaranteed amounts), severance, deferred compensation, benefits and payroll taxes. In all instances, compensation expense is accrued over the requisite service period.</w:t>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 xml:space="preserve">Benefit Plans </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employees participate in employee benefit plans, which consists of defined contribution plans including (i) profit-sharing plans qualified under Section 401(k) of the Internal Revenue Code and (ii) a U.K. pension scheme for U.K. employees and (iii) a Germany pension plan for employees in Germany. For the three months ended March 31, 2023 and 2022, expenses related to the Company’s employee benefit plans was $1.7 million and $1.5 million, and are included in Compensation and benefits in the Condensed Consolidated Statements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99085"/>
                <wp:effectExtent l="0" t="0" r="0" b="0"/>
                <wp:wrapNone/>
                <wp:docPr id="21" name="Frame21"/>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 and Where Otherwise Noted)</w:t>
      </w:r>
    </w:p>
    <w:p>
      <w:pPr>
        <w:pStyle w:val="TextBody"/>
        <w:spacing w:lineRule="auto" w:line="240" w:before="240" w:after="240"/>
        <w:rPr>
          <w:rFonts w:ascii="Times New Roman;sans-serif" w:hAnsi="Times New Roman;sans-serif"/>
          <w:b/>
          <w:color w:val="000000"/>
          <w:sz w:val="20"/>
        </w:rPr>
      </w:pPr>
      <w:r>
        <w:rPr>
          <w:rFonts w:ascii="Times New Roman;sans-serif" w:hAnsi="Times New Roman;sans-serif"/>
          <w:b/>
          <w:color w:val="000000"/>
          <w:sz w:val="20"/>
        </w:rPr>
        <w:t xml:space="preserve">Note 14—Net Income (Loss) Per Share Attributable to Class A Common Shareholders </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calculations of basic and diluted net income (loss) per share attributable to Class A common shareholders are presented below:</w:t>
      </w:r>
    </w:p>
    <w:tbl>
      <w:tblPr>
        <w:tblW w:w="10205" w:type="dxa"/>
        <w:jc w:val="left"/>
        <w:tblInd w:w="0" w:type="dxa"/>
        <w:tblCellMar>
          <w:top w:w="28" w:type="dxa"/>
          <w:left w:w="28" w:type="dxa"/>
          <w:bottom w:w="28" w:type="dxa"/>
          <w:right w:w="28" w:type="dxa"/>
        </w:tblCellMar>
      </w:tblPr>
      <w:tblGrid>
        <w:gridCol w:w="2199"/>
        <w:gridCol w:w="1892"/>
        <w:gridCol w:w="1904"/>
        <w:gridCol w:w="109"/>
        <w:gridCol w:w="109"/>
        <w:gridCol w:w="109"/>
        <w:gridCol w:w="109"/>
        <w:gridCol w:w="351"/>
        <w:gridCol w:w="1184"/>
        <w:gridCol w:w="164"/>
        <w:gridCol w:w="109"/>
        <w:gridCol w:w="109"/>
        <w:gridCol w:w="109"/>
        <w:gridCol w:w="413"/>
        <w:gridCol w:w="1068"/>
        <w:gridCol w:w="267"/>
      </w:tblGrid>
      <w:tr>
        <w:trPr/>
        <w:tc>
          <w:tcPr>
            <w:tcW w:w="2199" w:type="dxa"/>
            <w:tcBorders/>
            <w:shd w:fill="auto" w:val="clear"/>
            <w:vAlign w:val="center"/>
          </w:tcPr>
          <w:p>
            <w:pPr>
              <w:pStyle w:val="TableContents"/>
              <w:spacing w:before="0" w:after="283"/>
              <w:rPr>
                <w:sz w:val="4"/>
                <w:szCs w:val="4"/>
              </w:rPr>
            </w:pPr>
            <w:r>
              <w:rPr>
                <w:sz w:val="4"/>
                <w:szCs w:val="4"/>
              </w:rPr>
            </w:r>
          </w:p>
        </w:tc>
        <w:tc>
          <w:tcPr>
            <w:tcW w:w="1892" w:type="dxa"/>
            <w:tcBorders/>
            <w:shd w:fill="auto" w:val="clear"/>
            <w:vAlign w:val="center"/>
          </w:tcPr>
          <w:p>
            <w:pPr>
              <w:pStyle w:val="TableContents"/>
              <w:spacing w:before="0" w:after="283"/>
              <w:rPr>
                <w:sz w:val="4"/>
                <w:szCs w:val="4"/>
              </w:rPr>
            </w:pPr>
            <w:r>
              <w:rPr>
                <w:sz w:val="4"/>
                <w:szCs w:val="4"/>
              </w:rPr>
            </w:r>
          </w:p>
        </w:tc>
        <w:tc>
          <w:tcPr>
            <w:tcW w:w="19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r>
      <w:tr>
        <w:trPr/>
        <w:tc>
          <w:tcPr>
            <w:tcW w:w="5995"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 2022</w:t>
            </w:r>
          </w:p>
        </w:tc>
      </w:tr>
      <w:tr>
        <w:trPr/>
        <w:tc>
          <w:tcPr>
            <w:tcW w:w="5995"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Numerator: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95"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Perella Weinberg Partners –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4" w:type="dxa"/>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(5,123)</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8" w:type="dxa"/>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8,894 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from assumed exchange of PWP OpCo Units,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(26,878)</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(9,328)</w:t>
            </w:r>
          </w:p>
        </w:tc>
        <w:tc>
          <w:tcPr>
            <w:tcW w:w="2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r>
      <w:tr>
        <w:trPr/>
        <w:tc>
          <w:tcPr>
            <w:tcW w:w="5995"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Perella Weinberg Partners –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(32,001)</w:t>
            </w:r>
          </w:p>
        </w:tc>
        <w:tc>
          <w:tcPr>
            <w:tcW w:w="16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w:t>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Denominator: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95"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Class A common stock outstanding –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42,317,827 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45,917,935 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incremental shares from assumed exchange of PWP OpCo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44,293,191 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47,313,397 </w:t>
            </w:r>
          </w:p>
        </w:tc>
        <w:tc>
          <w:tcPr>
            <w:tcW w:w="2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r>
      <w:tr>
        <w:trPr/>
        <w:tc>
          <w:tcPr>
            <w:tcW w:w="5995"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Class A common stock outstanding –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5"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86,611,018 </w:t>
            </w:r>
          </w:p>
        </w:tc>
        <w:tc>
          <w:tcPr>
            <w:tcW w:w="16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93,231,332 </w:t>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attributable to Class A common shareholders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95"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4" w:type="dxa"/>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8" w:type="dxa"/>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4" w:type="dxa"/>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8" w:type="dxa"/>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2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(loss) per share attributable to Class B common shareholders has not been presented as these shares are entitled to an insignificant amount of economic participation.</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the treasury stock method to determine the potential dilutive effect of unvested PWP Incentive Plan Awards and outstanding warrants (prior to the Warrant Exchange Offer) and the if-converted method to determine the potential dilutive effect of exchanges of PWP OpCo Units into Class A common stock. The Company adjusts net income (loss) attributable to Class A common shareholders under both the treasury stock method and if-converted method for the reallocation of net income (loss) between Class A common shareholders and non-controlling interests that result upon the assumed issuance of dilutive shares of Class A common stock as if the issuance occurred as of the beginning of the applicable period. </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weighted average potentially dilutive shares that were excluded from the calculation of diluted net income (loss) per share under the treasury stock method or if-converted method, as applicable, because the effect of including such potentially dilutive shares was antidilutive for the period presented:</w:t>
      </w:r>
    </w:p>
    <w:tbl>
      <w:tblPr>
        <w:tblW w:w="7253" w:type="dxa"/>
        <w:jc w:val="left"/>
        <w:tblInd w:w="0" w:type="dxa"/>
        <w:tblCellMar>
          <w:top w:w="28" w:type="dxa"/>
          <w:left w:w="28" w:type="dxa"/>
          <w:bottom w:w="28" w:type="dxa"/>
          <w:right w:w="28" w:type="dxa"/>
        </w:tblCellMar>
      </w:tblPr>
      <w:tblGrid>
        <w:gridCol w:w="856"/>
        <w:gridCol w:w="754"/>
        <w:gridCol w:w="759"/>
        <w:gridCol w:w="109"/>
        <w:gridCol w:w="109"/>
        <w:gridCol w:w="109"/>
        <w:gridCol w:w="109"/>
        <w:gridCol w:w="109"/>
        <w:gridCol w:w="109"/>
        <w:gridCol w:w="109"/>
        <w:gridCol w:w="624"/>
        <w:gridCol w:w="624"/>
        <w:gridCol w:w="627"/>
        <w:gridCol w:w="109"/>
        <w:gridCol w:w="109"/>
        <w:gridCol w:w="109"/>
        <w:gridCol w:w="560"/>
        <w:gridCol w:w="560"/>
        <w:gridCol w:w="799"/>
      </w:tblGrid>
      <w:tr>
        <w:trPr/>
        <w:tc>
          <w:tcPr>
            <w:tcW w:w="856"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 2022</w:t>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312" w:before="0" w:after="0"/>
              <w:jc w:val="left"/>
              <w:rPr/>
            </w:pPr>
            <w:r>
              <w:rPr>
                <w:rFonts w:ascii="Times New Roman;sans-serif" w:hAnsi="Times New Roman;sans-serif"/>
                <w:b w:val="false"/>
                <w:color w:val="000000"/>
                <w:sz w:val="20"/>
              </w:rPr>
              <w:t xml:space="preserve">Warrants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79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9" w:type="dxa"/>
            <w:gridSpan w:val="3"/>
            <w:tcBorders/>
            <w:shd w:fill="auto" w:val="cle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PWP Incentive Plan Awards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1,727,070 </w:t>
            </w:r>
          </w:p>
        </w:tc>
        <w:tc>
          <w:tcPr>
            <w:tcW w:w="6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295,216 </w:t>
            </w:r>
          </w:p>
        </w:tc>
        <w:tc>
          <w:tcPr>
            <w:tcW w:w="7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8"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1,727,070 </w:t>
            </w:r>
          </w:p>
        </w:tc>
        <w:tc>
          <w:tcPr>
            <w:tcW w:w="62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295,216 </w:t>
            </w:r>
          </w:p>
        </w:tc>
        <w:tc>
          <w:tcPr>
            <w:tcW w:w="79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spacing w:lineRule="auto" w:line="240" w:before="60" w:after="283"/>
        <w:ind w:left="0" w:right="0" w:hanging="540"/>
        <w:rPr>
          <w:rFonts w:ascii="Times New Roman;sans-serif" w:hAnsi="Times New Roman;sans-serif"/>
          <w:b w:val="false"/>
          <w:color w:val="000000"/>
          <w:sz w:val="16"/>
        </w:rPr>
      </w:pPr>
      <w:r>
        <w:rPr>
          <w:rFonts w:ascii="Times New Roman;sans-serif" w:hAnsi="Times New Roman;sans-serif"/>
          <w:b w:val="false"/>
          <w:color w:val="000000"/>
          <w:sz w:val="16"/>
        </w:rPr>
        <w:t>(1)Prior to the Warrant Exchange Offer on August 23, 2022, the warrants were out-of-the-money which resulted in no potentially dilutive shares under the treasury stock method. For the three months ended March 31, 2023, the warrants were not outstanding, and thus, they are not applicable. Refer to Note 11—Warrants for further information regarding the Warrant Exchange Offer.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99085"/>
                <wp:effectExtent l="0" t="0" r="0" b="0"/>
                <wp:wrapNone/>
                <wp:docPr id="22" name="Frame22"/>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 and Where Otherwise Noted)</w:t>
      </w:r>
    </w:p>
    <w:p>
      <w:pPr>
        <w:pStyle w:val="TextBody"/>
        <w:spacing w:lineRule="auto" w:line="240" w:before="240" w:after="240"/>
        <w:rPr>
          <w:rFonts w:ascii="Times New Roman;sans-serif" w:hAnsi="Times New Roman;sans-serif"/>
          <w:b/>
          <w:color w:val="000000"/>
          <w:sz w:val="20"/>
        </w:rPr>
      </w:pPr>
      <w:r>
        <w:rPr>
          <w:rFonts w:ascii="Times New Roman;sans-serif" w:hAnsi="Times New Roman;sans-serif"/>
          <w:b/>
          <w:color w:val="000000"/>
          <w:sz w:val="20"/>
        </w:rPr>
        <w:t>Note 15—Fair Value Measurements and Investments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generally based on quoted prices, however if quoted market prices are not available, fair value is determined based on other relevant factors, 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 and transparency of transactions between market participants). Financial instruments with readily available, actively quoted prices or for which fair value can be measured from actively quoted prices in an orderly market will generally have a higher degree of market price observability and a lesser degree of judgment used in measuring fair value.</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measured and reported at fair value are classified and disclosed in one of the following categories (from highest to lowest) based on inputs:</w:t>
      </w:r>
    </w:p>
    <w:p>
      <w:pPr>
        <w:pStyle w:val="TextBody"/>
        <w:spacing w:lineRule="auto" w:line="240" w:before="24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Level 1 – Unadjusted quoted prices are available in active markets for identical financial instruments as of the reporting date. </w:t>
      </w:r>
    </w:p>
    <w:p>
      <w:pPr>
        <w:pStyle w:val="TextBody"/>
        <w:spacing w:lineRule="auto" w:line="240" w:before="24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Level 2 – Pricing inputs are observable inputs other than quoted prices included in Level 1, such as quoted prices for similar assets or liabilities in active markets or quoted prices for identical assets or liabilities in inactive markets. </w:t>
      </w:r>
    </w:p>
    <w:p>
      <w:pPr>
        <w:pStyle w:val="TextBody"/>
        <w:spacing w:lineRule="auto" w:line="240" w:before="24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 Pricing inputs are unobservable for the financial instruments and include situations where there is little, if any, market activity for the financial instrument. The inputs into the determination of fair value require significant management judgment or estimation. </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certain cases, the inputs used to measure fair value may fall into different levels of the fair value hierarchy. In such cases, the determination of which category within the fair value hierarchy is appropriate for any given investment is based on the lowest level of input that is significant to the fair value measurement. The Company’s assessment of the significance of a particular input to the fair value measurement in its entirety requires judgment and considers factors specific to the instrument.</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fair values of cash, restricted cash, accounts receivable, due from related parties, accounts payable and certain accrued liabilities approximate their carrying amounts due to the short-term nature of these items.</w:t>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categorization and fair value estimate of the Company’s financial instruments that are measured on a recurring basis pursuant to the above fair value hierarchy levels as of March 31, 2023 and December 31, 2022:</w:t>
      </w:r>
    </w:p>
    <w:tbl>
      <w:tblPr>
        <w:tblW w:w="6796" w:type="dxa"/>
        <w:jc w:val="left"/>
        <w:tblInd w:w="0" w:type="dxa"/>
        <w:tblCellMar>
          <w:top w:w="28" w:type="dxa"/>
          <w:left w:w="28" w:type="dxa"/>
          <w:bottom w:w="28" w:type="dxa"/>
          <w:right w:w="28" w:type="dxa"/>
        </w:tblCellMar>
      </w:tblPr>
      <w:tblGrid>
        <w:gridCol w:w="803"/>
        <w:gridCol w:w="706"/>
        <w:gridCol w:w="711"/>
        <w:gridCol w:w="211"/>
        <w:gridCol w:w="721"/>
        <w:gridCol w:w="109"/>
        <w:gridCol w:w="109"/>
        <w:gridCol w:w="109"/>
        <w:gridCol w:w="109"/>
        <w:gridCol w:w="213"/>
        <w:gridCol w:w="411"/>
        <w:gridCol w:w="110"/>
        <w:gridCol w:w="109"/>
        <w:gridCol w:w="109"/>
        <w:gridCol w:w="109"/>
        <w:gridCol w:w="213"/>
        <w:gridCol w:w="411"/>
        <w:gridCol w:w="110"/>
        <w:gridCol w:w="109"/>
        <w:gridCol w:w="109"/>
        <w:gridCol w:w="109"/>
        <w:gridCol w:w="211"/>
        <w:gridCol w:w="721"/>
        <w:gridCol w:w="154"/>
      </w:tblGrid>
      <w:tr>
        <w:trPr/>
        <w:tc>
          <w:tcPr>
            <w:tcW w:w="803"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20" w:type="dxa"/>
            <w:gridSpan w:val="3"/>
            <w:tcBorders/>
            <w:shd w:fill="auto"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4576" w:type="dxa"/>
            <w:gridSpan w:val="21"/>
            <w:tcBorders/>
            <w:shd w:fill="auto" w:val="clear"/>
            <w:tcMar>
              <w:top w:w="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2220" w:type="dxa"/>
            <w:gridSpan w:val="3"/>
            <w:tcBorders/>
            <w:shd w:fill="auto" w:val="clear"/>
            <w:tcMar>
              <w:top w:w="0" w:type="dxa"/>
              <w:left w:w="0" w:type="dxa"/>
              <w:bottom w:w="0" w:type="dxa"/>
              <w:right w:w="0" w:type="dxa"/>
            </w:tcMar>
            <w:vAlign w:val="center"/>
          </w:tcPr>
          <w:p>
            <w:pPr>
              <w:pStyle w:val="TableContents"/>
              <w:spacing w:lineRule="auto" w:line="312" w:before="0" w:after="283"/>
              <w:jc w:val="center"/>
              <w:rPr>
                <w:color w:val="000000"/>
              </w:rPr>
            </w:pPr>
            <w:r>
              <w:rPr>
                <w:color w:val="000000"/>
              </w:rPr>
              <w:t> </w:t>
            </w:r>
          </w:p>
        </w:tc>
        <w:tc>
          <w:tcPr>
            <w:tcW w:w="104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220"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w:t>
            </w:r>
          </w:p>
        </w:tc>
        <w:tc>
          <w:tcPr>
            <w:tcW w:w="104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312" w:before="0" w:after="0"/>
              <w:jc w:val="left"/>
              <w:rPr/>
            </w:pPr>
            <w:r>
              <w:rPr>
                <w:rFonts w:ascii="Times New Roman;sans-serif" w:hAnsi="Times New Roman;sans-serif"/>
                <w:b w:val="false"/>
                <w:color w:val="000000"/>
                <w:sz w:val="20"/>
              </w:rPr>
              <w:t xml:space="preserve">U.S. Treasury securities </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22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22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22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22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22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22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bl>
    <w:tbl>
      <w:tblPr>
        <w:tblW w:w="9345" w:type="dxa"/>
        <w:jc w:val="left"/>
        <w:tblInd w:w="0" w:type="dxa"/>
        <w:tblCellMar>
          <w:top w:w="28" w:type="dxa"/>
          <w:left w:w="28" w:type="dxa"/>
          <w:bottom w:w="28" w:type="dxa"/>
          <w:right w:w="28" w:type="dxa"/>
        </w:tblCellMar>
      </w:tblPr>
      <w:tblGrid>
        <w:gridCol w:w="1651"/>
        <w:gridCol w:w="1448"/>
        <w:gridCol w:w="1460"/>
        <w:gridCol w:w="213"/>
        <w:gridCol w:w="411"/>
        <w:gridCol w:w="110"/>
        <w:gridCol w:w="109"/>
        <w:gridCol w:w="109"/>
        <w:gridCol w:w="109"/>
        <w:gridCol w:w="211"/>
        <w:gridCol w:w="826"/>
        <w:gridCol w:w="109"/>
        <w:gridCol w:w="109"/>
        <w:gridCol w:w="109"/>
        <w:gridCol w:w="109"/>
        <w:gridCol w:w="213"/>
        <w:gridCol w:w="411"/>
        <w:gridCol w:w="110"/>
        <w:gridCol w:w="109"/>
        <w:gridCol w:w="109"/>
        <w:gridCol w:w="109"/>
        <w:gridCol w:w="211"/>
        <w:gridCol w:w="826"/>
        <w:gridCol w:w="154"/>
      </w:tblGrid>
      <w:tr>
        <w:trPr/>
        <w:tc>
          <w:tcPr>
            <w:tcW w:w="1651" w:type="dxa"/>
            <w:tcBorders/>
            <w:shd w:fill="auto" w:val="clear"/>
            <w:vAlign w:val="center"/>
          </w:tcPr>
          <w:p>
            <w:pPr>
              <w:pStyle w:val="TableContents"/>
              <w:spacing w:before="0" w:after="283"/>
              <w:rPr>
                <w:sz w:val="4"/>
                <w:szCs w:val="4"/>
              </w:rPr>
            </w:pPr>
            <w:r>
              <w:rPr>
                <w:sz w:val="4"/>
                <w:szCs w:val="4"/>
              </w:rPr>
            </w:r>
          </w:p>
        </w:tc>
        <w:tc>
          <w:tcPr>
            <w:tcW w:w="1448"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59" w:type="dxa"/>
            <w:gridSpan w:val="3"/>
            <w:tcBorders/>
            <w:shd w:fill="auto"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4786" w:type="dxa"/>
            <w:gridSpan w:val="21"/>
            <w:tcBorders/>
            <w:shd w:fill="auto" w:val="clear"/>
            <w:tcMar>
              <w:top w:w="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4559" w:type="dxa"/>
            <w:gridSpan w:val="3"/>
            <w:tcBorders/>
            <w:shd w:fill="auto" w:val="clear"/>
            <w:tcMar>
              <w:top w:w="0" w:type="dxa"/>
              <w:left w:w="0" w:type="dxa"/>
              <w:bottom w:w="0" w:type="dxa"/>
              <w:right w:w="0" w:type="dxa"/>
            </w:tcMar>
            <w:vAlign w:val="center"/>
          </w:tcPr>
          <w:p>
            <w:pPr>
              <w:pStyle w:val="TableContents"/>
              <w:spacing w:lineRule="auto" w:line="312" w:before="0" w:after="283"/>
              <w:jc w:val="center"/>
              <w:rPr>
                <w:color w:val="000000"/>
              </w:rPr>
            </w:pPr>
            <w:r>
              <w:rPr>
                <w:color w:val="000000"/>
              </w:rPr>
              <w:t> </w:t>
            </w:r>
          </w:p>
        </w:tc>
        <w:tc>
          <w:tcPr>
            <w:tcW w:w="73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559"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73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312" w:before="0" w:after="0"/>
              <w:jc w:val="left"/>
              <w:rPr/>
            </w:pPr>
            <w:r>
              <w:rPr>
                <w:rFonts w:ascii="Times New Roman;sans-serif" w:hAnsi="Times New Roman;sans-serif"/>
                <w:b w:val="false"/>
                <w:color w:val="000000"/>
                <w:sz w:val="20"/>
              </w:rPr>
              <w:t xml:space="preserve">U.S. Treasury securities </w:t>
            </w:r>
            <w:r>
              <w:rPr>
                <w:rFonts w:ascii="Times New Roman;sans-serif" w:hAnsi="Times New Roman;sans-serif"/>
                <w:b w:val="false"/>
                <w:color w:val="000000"/>
                <w:sz w:val="13"/>
              </w:rPr>
              <w:t>(2)</w:t>
            </w:r>
          </w:p>
        </w:tc>
        <w:tc>
          <w:tcPr>
            <w:tcW w:w="213" w:type="dxa"/>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surrender value of company-owned life insurance</w:t>
            </w:r>
          </w:p>
        </w:tc>
        <w:tc>
          <w:tcPr>
            <w:tcW w:w="624"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color w:val="000000"/>
              </w:rPr>
            </w:pPr>
            <w:r>
              <w:rPr>
                <w:color w:val="000000"/>
              </w:rPr>
              <w:t>— </w:t>
            </w:r>
          </w:p>
        </w:tc>
        <w:tc>
          <w:tcPr>
            <w:tcW w:w="11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140,598 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color w:val="000000"/>
              </w:rPr>
            </w:pPr>
            <w:r>
              <w:rPr>
                <w:color w:val="000000"/>
              </w:rPr>
              <w:t>— </w:t>
            </w:r>
          </w:p>
        </w:tc>
        <w:tc>
          <w:tcPr>
            <w:tcW w:w="11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140,598 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559"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559"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559"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559"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559"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spacing w:lineRule="auto" w:line="240" w:before="60" w:after="283"/>
        <w:ind w:left="0" w:right="0" w:hanging="540"/>
        <w:rPr>
          <w:rFonts w:ascii="Times New Roman;sans-serif" w:hAnsi="Times New Roman;sans-serif"/>
          <w:b w:val="false"/>
          <w:color w:val="000000"/>
          <w:sz w:val="16"/>
        </w:rPr>
      </w:pPr>
      <w:r>
        <w:rPr>
          <w:rFonts w:ascii="Times New Roman;sans-serif" w:hAnsi="Times New Roman;sans-serif"/>
          <w:b w:val="false"/>
          <w:color w:val="000000"/>
          <w:sz w:val="16"/>
        </w:rPr>
        <w:t>(1)Consists of U.S. Treasury bills that mature on January 25, 2024.</w:t>
      </w:r>
    </w:p>
    <w:p>
      <w:pPr>
        <w:pStyle w:val="TextBody"/>
        <w:spacing w:lineRule="auto" w:line="240" w:before="60" w:after="283"/>
        <w:ind w:left="0" w:right="0" w:hanging="540"/>
        <w:rPr>
          <w:rFonts w:ascii="Times New Roman;sans-serif" w:hAnsi="Times New Roman;sans-serif"/>
          <w:b w:val="false"/>
          <w:color w:val="000000"/>
          <w:sz w:val="16"/>
        </w:rPr>
      </w:pPr>
      <w:r>
        <w:rPr>
          <w:rFonts w:ascii="Times New Roman;sans-serif" w:hAnsi="Times New Roman;sans-serif"/>
          <w:b w:val="false"/>
          <w:color w:val="000000"/>
          <w:sz w:val="16"/>
        </w:rPr>
        <w:t>(2)Consists of U.S. Treasury notes that matured on January 31, 2023.</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no transfers between fair value levels during the three months ended March 31, 2023 and 2022.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99085"/>
                <wp:effectExtent l="0" t="0" r="0" b="0"/>
                <wp:wrapNone/>
                <wp:docPr id="23" name="Frame23"/>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 and Where Otherwise Noted)</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investment in U.S. Treasury securities is presented within Investments in short-term marketable debt securities on the Condensed Consolidated Statements of Financial Condition, and the aggregate cost basis of the investment was $25.0 million and $139.2 million as of March 31, 2023 and December 31, 2022, respectively. The Company recognized interest income and net unrealized gains (losses) on the U.S. Treasury securities of $0.4 million for the three months ended March 31, 2023.</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cash surrender value of company-owned life insurance is included in Prepaid expenses and other assets on the Condensed Consolidated Statements of Financial Condition at the amount that could be realized under the contract as of December 31, 2022, which approximates fair value.</w:t>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 xml:space="preserve">Equity Method Investments </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applied the equity method of accounting to its investment in PFAC Holdings I LLC (“PFAC Holdings”), an indirect parent of PWP Forward Acquisition Corp. I (“PFAC”), a special purpose acquisition company. On December 13, 2022, PFAC was dissolved and as a result the Company wrote off its investment in PFAC Holdings. Prior to dissolution, the Company recorded its share of earnings of PFAC Holdings in Other income (expense) on the Condensed Consolidated Statements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40"/>
        <w:rPr>
          <w:rFonts w:ascii="Times New Roman;sans-serif" w:hAnsi="Times New Roman;sans-serif"/>
          <w:b/>
          <w:color w:val="000000"/>
          <w:sz w:val="20"/>
        </w:rPr>
      </w:pPr>
      <w:r>
        <w:rPr>
          <w:rFonts w:ascii="Times New Roman;sans-serif" w:hAnsi="Times New Roman;sans-serif"/>
          <w:b/>
          <w:color w:val="000000"/>
          <w:sz w:val="20"/>
        </w:rPr>
        <w:t xml:space="preserve">Note 16—Related Party Transactions </w:t>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PWP Capital Holdings LP</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28, 2019, a reorganization of the existing investment banking advisory and asset management businesses of PWP Holdings LP was effected which resulted in the spin-off of its asset management business (the “Separation”). PWP Holdings LP was divided into (i) PWP OpCo, which holds the former advisory business and (ii) PWP Capital Holdings LP, which holds the former asset management business.</w:t>
      </w:r>
    </w:p>
    <w:p>
      <w:pPr>
        <w:pStyle w:val="TextBody"/>
        <w:spacing w:lineRule="auto" w:line="240" w:before="240" w:after="240"/>
        <w:ind w:left="0" w:right="0" w:firstLine="720"/>
        <w:jc w:val="both"/>
        <w:rPr/>
      </w:pPr>
      <w:r>
        <w:rPr>
          <w:rFonts w:ascii="Times New Roman;sans-serif" w:hAnsi="Times New Roman;sans-serif"/>
          <w:b w:val="false"/>
          <w:i/>
          <w:color w:val="000000"/>
          <w:sz w:val="20"/>
        </w:rPr>
        <w:t>TSA Agreement</w:t>
      </w:r>
      <w:r>
        <w:rPr>
          <w:color w:val="000000"/>
        </w:rPr>
        <w:t xml:space="preserve"> – </w:t>
      </w:r>
      <w:r>
        <w:rPr>
          <w:rFonts w:ascii="Times New Roman;sans-serif" w:hAnsi="Times New Roman;sans-serif"/>
          <w:b w:val="false"/>
          <w:color w:val="000000"/>
          <w:sz w:val="20"/>
        </w:rPr>
        <w:t>In connection with the Separation, the Company entered into a transition services agreement (the “TSA”) with PWP Capital Holdings LP under which the Company agreed to provide certain administrative services to PWP Capital Holdings LP.</w:t>
      </w:r>
    </w:p>
    <w:p>
      <w:pPr>
        <w:pStyle w:val="TextBody"/>
        <w:spacing w:lineRule="auto" w:line="240" w:before="240" w:after="240"/>
        <w:ind w:left="0" w:right="0" w:firstLine="720"/>
        <w:jc w:val="both"/>
        <w:rPr/>
      </w:pPr>
      <w:r>
        <w:rPr>
          <w:rFonts w:ascii="Times New Roman;sans-serif" w:hAnsi="Times New Roman;sans-serif"/>
          <w:b w:val="false"/>
          <w:i/>
          <w:color w:val="000000"/>
          <w:sz w:val="20"/>
        </w:rPr>
        <w:t xml:space="preserve">Sublease Income </w:t>
      </w:r>
      <w:r>
        <w:rPr>
          <w:color w:val="000000"/>
        </w:rPr>
        <w:t xml:space="preserve">– </w:t>
      </w:r>
      <w:r>
        <w:rPr>
          <w:rFonts w:ascii="Times New Roman;sans-serif" w:hAnsi="Times New Roman;sans-serif"/>
          <w:b w:val="false"/>
          <w:color w:val="000000"/>
          <w:sz w:val="20"/>
        </w:rPr>
        <w:t>In connection with the Separation, the Company subleases a portion of its office space at its New York location to PWP Capital Holdings LP through August 2023. Sublease rent payments are due monthly and are based on PWP Capital Holdings LP’s pro-rata portion of the underlying lease agreements including base rent as well as other lease related charges. See additional information regarding the subleases in Note 4—Leases.</w:t>
      </w:r>
    </w:p>
    <w:p>
      <w:pPr>
        <w:pStyle w:val="TextBody"/>
        <w:spacing w:lineRule="auto" w:line="240" w:before="240" w:after="240"/>
        <w:ind w:left="0" w:right="0" w:firstLine="720"/>
        <w:jc w:val="both"/>
        <w:rPr/>
      </w:pPr>
      <w:r>
        <w:rPr>
          <w:rFonts w:ascii="Times New Roman;sans-serif" w:hAnsi="Times New Roman;sans-serif"/>
          <w:b w:val="false"/>
          <w:i/>
          <w:color w:val="000000"/>
          <w:sz w:val="20"/>
        </w:rPr>
        <w:t>Compensation Arrangements</w:t>
      </w:r>
      <w:r>
        <w:rPr>
          <w:color w:val="000000"/>
        </w:rPr>
        <w:t xml:space="preserve"> – </w:t>
      </w:r>
      <w:r>
        <w:rPr>
          <w:rFonts w:ascii="Times New Roman;sans-serif" w:hAnsi="Times New Roman;sans-serif"/>
          <w:b w:val="false"/>
          <w:color w:val="000000"/>
          <w:sz w:val="20"/>
        </w:rPr>
        <w:t>In addition, PWP Capital Holdings LP has entered into an arrangement with certain employees of the Company, including members of management, related to services provided directly to PWP Capital Holdings LP. With respect to services provided to PWP Capital Holdings LP, the amounts paid and payable to such employees now and in the future are recognized by PWP Capital Holdings LP. All compensation related to services these employees provide to the Company are included in Compensation and benefits in the Condensed Consolidated Statements of Operations.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due from PWP Capital Holdings LP are reflected as Due from related parties on the Condensed Consolidated Statements of Financial Condition. </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components of income from PWP Capital Holdings LP reported within Related party income in the Condensed Consolidated Statements of Operations for the periods presented:</w:t>
      </w:r>
    </w:p>
    <w:tbl>
      <w:tblPr>
        <w:tblW w:w="7014" w:type="dxa"/>
        <w:jc w:val="left"/>
        <w:tblInd w:w="0" w:type="dxa"/>
        <w:tblCellMar>
          <w:top w:w="28" w:type="dxa"/>
          <w:left w:w="28" w:type="dxa"/>
          <w:bottom w:w="28" w:type="dxa"/>
          <w:right w:w="28" w:type="dxa"/>
        </w:tblCellMar>
      </w:tblPr>
      <w:tblGrid>
        <w:gridCol w:w="1364"/>
        <w:gridCol w:w="1199"/>
        <w:gridCol w:w="1202"/>
        <w:gridCol w:w="109"/>
        <w:gridCol w:w="109"/>
        <w:gridCol w:w="203"/>
        <w:gridCol w:w="203"/>
        <w:gridCol w:w="394"/>
        <w:gridCol w:w="870"/>
        <w:gridCol w:w="203"/>
        <w:gridCol w:w="109"/>
        <w:gridCol w:w="109"/>
        <w:gridCol w:w="109"/>
        <w:gridCol w:w="211"/>
        <w:gridCol w:w="466"/>
        <w:gridCol w:w="154"/>
      </w:tblGrid>
      <w:tr>
        <w:trPr/>
        <w:tc>
          <w:tcPr>
            <w:tcW w:w="1364"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1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3" w:type="dxa"/>
            <w:gridSpan w:val="5"/>
            <w:tcBorders/>
            <w:shd w:fill="auto" w:val="clear"/>
            <w:tcMar>
              <w:top w:w="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158" w:type="dxa"/>
            <w:gridSpan w:val="6"/>
            <w:tcBorders/>
            <w:shd w:fill="auto" w:val="clear"/>
          </w:tcPr>
          <w:p>
            <w:pPr>
              <w:pStyle w:val="TableContents"/>
              <w:spacing w:before="0" w:after="283"/>
              <w:rPr>
                <w:sz w:val="4"/>
                <w:szCs w:val="4"/>
              </w:rPr>
            </w:pPr>
            <w:r>
              <w:rPr>
                <w:sz w:val="4"/>
                <w:szCs w:val="4"/>
              </w:rPr>
            </w:r>
          </w:p>
        </w:tc>
      </w:tr>
      <w:tr>
        <w:trPr/>
        <w:tc>
          <w:tcPr>
            <w:tcW w:w="3765"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46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TSA income – Compensation related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9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03"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TSA income – Non-compensation related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from PWP Capital Holdings LP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9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20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9085"/>
                <wp:effectExtent l="0" t="0" r="0" b="0"/>
                <wp:wrapNone/>
                <wp:docPr id="24" name="Frame24"/>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 and Where Otherwise Noted)</w:t>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Tax Receivable Agreement</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the Company entered into a tax receivable agreement with PWP OpCo, Professional Partners and ILPs that provides for payment of 85% of the amount of cash savings, if any, in U.S. federal, state and local and foreign income taxes that the Company is deemed to realize as a result of (a) each exchange of interests in PWP OpCo for cash or stock of the Company and certain other transactions and (b) payments made under the tax receivable agreement. As of March 31, 2023, the Company had an amount due of $25.1 million pursuant to the tax receivable agreement, which represents management’s best estimate of the amounts currently expected to be owed in connection with the tax receivable agreement for the Business Combination and subsequent exchanges made to date and is reported within Amount due pursuant to tax receivable agreement on the Condensed Consolidated Statement of Financial Condition. The Company expects to make the following payments with respect to the tax receivable agreement, which are exclusive of potential payments in respect of future exchanges and may differ significantly from actual payments made:</w:t>
      </w:r>
    </w:p>
    <w:tbl>
      <w:tblPr>
        <w:tblW w:w="6464" w:type="dxa"/>
        <w:jc w:val="left"/>
        <w:tblInd w:w="0" w:type="dxa"/>
        <w:tblCellMar>
          <w:top w:w="28" w:type="dxa"/>
          <w:left w:w="28" w:type="dxa"/>
          <w:bottom w:w="28" w:type="dxa"/>
          <w:right w:w="28" w:type="dxa"/>
        </w:tblCellMar>
      </w:tblPr>
      <w:tblGrid>
        <w:gridCol w:w="607"/>
        <w:gridCol w:w="534"/>
        <w:gridCol w:w="539"/>
        <w:gridCol w:w="929"/>
        <w:gridCol w:w="3177"/>
        <w:gridCol w:w="678"/>
      </w:tblGrid>
      <w:tr>
        <w:trPr/>
        <w:tc>
          <w:tcPr>
            <w:tcW w:w="607"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3177"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Years Ending:</w:t>
            </w:r>
          </w:p>
        </w:tc>
        <w:tc>
          <w:tcPr>
            <w:tcW w:w="4784" w:type="dxa"/>
            <w:gridSpan w:val="3"/>
            <w:tcBorders/>
            <w:shd w:fill="auto" w:val="clear"/>
            <w:tcMar>
              <w:top w:w="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Estimated Payments Under Tax Receivable Agreement</w:t>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92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7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678"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10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1,091 </w:t>
            </w:r>
          </w:p>
        </w:tc>
        <w:tc>
          <w:tcPr>
            <w:tcW w:w="6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410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6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410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6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4106"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1,418 </w:t>
            </w:r>
          </w:p>
        </w:tc>
        <w:tc>
          <w:tcPr>
            <w:tcW w:w="6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410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19,879 </w:t>
            </w:r>
          </w:p>
        </w:tc>
        <w:tc>
          <w:tcPr>
            <w:tcW w:w="6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payments</w:t>
            </w:r>
          </w:p>
        </w:tc>
        <w:tc>
          <w:tcPr>
            <w:tcW w:w="9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7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25,116 </w:t>
            </w:r>
          </w:p>
        </w:tc>
        <w:tc>
          <w:tcPr>
            <w:tcW w:w="67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 xml:space="preserve">Partner Promissory Notes </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loaned money pursuant to promissory note agreements (the “Partner Promissory Notes”) to certain partners. The Partner Promissory Notes bear interest at an annual rate equal to the Federal Mid-Term Rate on an annual basis. The Partner Promissory Notes are due on various dates or in the event a partner is terminated or leaves at will. Repayment of the Partner Promissory Notes may be accelerated based on certain conditions as defined in the promissory note agreements and are primarily secured by the partner’s equity interests in PWP OpCo or one of its affiliates. As the Partner Promissory Notes and associated interest receivable relate to equity transactions, they have been recognized as a reduction of equity on the Condensed Consolidated Statements of Financial Condition in the amount of $3.6 million and $3.5 million as of March 31, 2023 and December 31, 2022, respectively. During the three months ended March 31, 2022, certain partners effectively repaid $2.6 million of principal and interest related to Partner Promissory Notes by foregoing the amount due from their respective deferred compensation agreements.</w:t>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Other Partner Loans and Loan Guarantees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2021, PWP OpCo agreed to provide loans to certain partners. As of March 31, 2023 and December 31, 2022, $3.4 million and $3.4 million, respectively, of outstanding loans to certain partners and related interest receivable are recognized in Due from related parties on the Condensed Consolidated Statements of Financial Condition. Additionally, the Company has unconditionally guaranteed certain of its partners’ loans with First Republic Bank. Refer to Note 17—Commitments and Contingencies for additional information on the guarantees.</w:t>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Other Related Party Transactions</w:t>
      </w:r>
    </w:p>
    <w:p>
      <w:pPr>
        <w:pStyle w:val="TextBody"/>
        <w:spacing w:lineRule="auto" w:line="240" w:before="24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February 2022, the Company paid $0.5 million to an entity controlled by a member of the Board of Directors to reimburse a portion of expenses incurred by that entity in connection with the joint pursuit of a potential investment opportunity.</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U.K. subsidiary, Perella Weinberg UK Limited, Professional Partners and certain partners (including one partner who serves as a Company director and president) are party to a reimbursement agreement, pursuant to which such partners directed Professional Partners to pay distributions related to certain of their Professional Partners Awards first to a subsidiary of the Company, so that the subsidiary can make employment income tax payments on such distributions to the appropriate non-U.S. authorities.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99085"/>
                <wp:effectExtent l="0" t="0" r="0" b="0"/>
                <wp:wrapNone/>
                <wp:docPr id="25" name="Frame25"/>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 and Where Otherwise Noted)</w:t>
      </w:r>
    </w:p>
    <w:p>
      <w:pPr>
        <w:pStyle w:val="TextBody"/>
        <w:spacing w:lineRule="auto" w:line="240" w:before="240" w:after="240"/>
        <w:rPr>
          <w:rFonts w:ascii="Times New Roman;sans-serif" w:hAnsi="Times New Roman;sans-serif"/>
          <w:b/>
          <w:color w:val="000000"/>
          <w:sz w:val="20"/>
        </w:rPr>
      </w:pPr>
      <w:r>
        <w:rPr>
          <w:rFonts w:ascii="Times New Roman;sans-serif" w:hAnsi="Times New Roman;sans-serif"/>
          <w:b/>
          <w:color w:val="000000"/>
          <w:sz w:val="20"/>
        </w:rPr>
        <w:t xml:space="preserve">Note 17—Commitments and Contingencies </w:t>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Loan Guarantees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unconditionally guaranteed certain of its partners’ loans with First Republic Bank (“Lender”) whereby it will pay the Lender upon the occurrence of a default event. These guarantees are secured by the partners’ interests in Professional Partners. The total guarantees related to partners was $1.6 million as of December 31, 2022, and as of March 31, 2023 only nominal guarantees remained. As of March 31, 2023 and December 31, 2022, no loans were in default.</w:t>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 xml:space="preserve">Indemnifications </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enters into certain contracts that contain a variety of indemnification provisions. The Company’s maximum exposure under these arrangements is unknown. As of March 31, 2023 and December 31, 2022, the Company expects no claims or losses pursuant to these contracts; therefore, no liability has been recorded related to these indemnification provisions. </w:t>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Legal Contingencies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 management and after consultation with external counsel, the Company believes it is neither probable nor reasonably possible that any current legal proceedings or claims would individually or in the aggregate have a material adverse effect on the condensed consolidated financial statements of the Company as of March 31, 2023 and December 31, 2022 and for the three months ended March 31, 2023 and 2022.</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20, 2015, Perella Weinberg Partners LLC,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in New York Supreme Court, Commercial Division (the “Court”).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14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9, 2015, the Defendants filed an Answer, Counterclaims, Cross-claims and a Third-Party Complaint, which contained 14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only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$60.0 million, as well as statutory interest.</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eight counterclaims and cross-claims. The Defendants moved affirmatively for summary judgment on four of their eight counterclaims and cross-claims and also moved for dismissal of each of the PWP Plaintiffs’ 14 claims. The Court held oral argument on the motions for summary judgment on May 27, 2021. The Court has yet to issue a decision on the motions for summary judgement. In addition, on January 19, 2022, Defendants filed a motion for leave to renew one of their counterclaims brought under the New York Labor Law that the Court dismissed in 2016 (the dismissal of which was affirmed by the First Department in 2017). That motion was fully briefed as of February 3, 2022.</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99085"/>
                <wp:effectExtent l="0" t="0" r="0" b="0"/>
                <wp:wrapNone/>
                <wp:docPr id="26" name="Frame26"/>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 and Where Otherwise Noted)</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14 causes of action are meritorious. Further, we believe that we have substantial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 </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Legal and professional fees incurred related to this litigation are presented net of expected insurance reimbursement within Professional fees in the Condensed Consolidated Statements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40"/>
        <w:rPr>
          <w:rFonts w:ascii="Times New Roman;sans-serif" w:hAnsi="Times New Roman;sans-serif"/>
          <w:b/>
          <w:color w:val="000000"/>
          <w:sz w:val="20"/>
        </w:rPr>
      </w:pPr>
      <w:r>
        <w:rPr>
          <w:rFonts w:ascii="Times New Roman;sans-serif" w:hAnsi="Times New Roman;sans-serif"/>
          <w:b/>
          <w:color w:val="000000"/>
          <w:sz w:val="20"/>
        </w:rPr>
        <w:t>Note 18—Business Information</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activities of providing advisory services for M&amp;A, private placements and financial advisory, as well as services for underwriting of securities offered for sale in public markets, commissions for the brokerage of publicly traded securities and equity research constitute a single business segment. The Company is organized as one operating segment in order to maximize the value of advice to clients by drawing upon the diversified expertise and broad relationships of its senior professionals across the Company. The Company has a single operating segment and therefore a single reportable segment. </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individual client that accounted for more than 10% of aggregate revenue for the three months ended March 31, 2023. For the three months ended March 31, 2022, revenues of $26.1 million related to one individual client accounted for more than 10% of aggregate revenue. Since the financial markets are global in nature, the Company generally manages its business based on the operating results of the Company taken as a whole, not by geographic region. The following tables set forth the geographical distribution of revenues and assets based on the location of the office that generates the revenues or holds the assets and therefore may not be indicative of the geography in which the Company’s clients are located:</w:t>
      </w:r>
    </w:p>
    <w:tbl>
      <w:tblPr>
        <w:tblW w:w="4809" w:type="dxa"/>
        <w:jc w:val="left"/>
        <w:tblInd w:w="0" w:type="dxa"/>
        <w:tblCellMar>
          <w:top w:w="28" w:type="dxa"/>
          <w:left w:w="28" w:type="dxa"/>
          <w:bottom w:w="28" w:type="dxa"/>
          <w:right w:w="28" w:type="dxa"/>
        </w:tblCellMar>
      </w:tblPr>
      <w:tblGrid>
        <w:gridCol w:w="435"/>
        <w:gridCol w:w="381"/>
        <w:gridCol w:w="384"/>
        <w:gridCol w:w="109"/>
        <w:gridCol w:w="109"/>
        <w:gridCol w:w="149"/>
        <w:gridCol w:w="149"/>
        <w:gridCol w:w="290"/>
        <w:gridCol w:w="1136"/>
        <w:gridCol w:w="149"/>
        <w:gridCol w:w="109"/>
        <w:gridCol w:w="109"/>
        <w:gridCol w:w="109"/>
        <w:gridCol w:w="211"/>
        <w:gridCol w:w="826"/>
        <w:gridCol w:w="154"/>
      </w:tblGrid>
      <w:tr>
        <w:trPr/>
        <w:tc>
          <w:tcPr>
            <w:tcW w:w="435"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0" w:type="dxa"/>
            <w:gridSpan w:val="3"/>
            <w:tcBorders/>
            <w:shd w:fill="auto"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3" w:type="dxa"/>
            <w:gridSpan w:val="5"/>
            <w:tcBorders/>
            <w:shd w:fill="auto" w:val="clear"/>
            <w:tcMar>
              <w:top w:w="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518" w:type="dxa"/>
            <w:gridSpan w:val="6"/>
            <w:tcBorders/>
            <w:shd w:fill="auto" w:val="clear"/>
          </w:tcPr>
          <w:p>
            <w:pPr>
              <w:pStyle w:val="TableContents"/>
              <w:spacing w:before="0" w:after="283"/>
              <w:rPr>
                <w:sz w:val="4"/>
                <w:szCs w:val="4"/>
              </w:rPr>
            </w:pPr>
            <w:r>
              <w:rPr>
                <w:sz w:val="4"/>
                <w:szCs w:val="4"/>
              </w:rPr>
            </w:r>
          </w:p>
        </w:tc>
      </w:tr>
      <w:tr>
        <w:trPr/>
        <w:tc>
          <w:tcPr>
            <w:tcW w:w="1200" w:type="dxa"/>
            <w:gridSpan w:val="3"/>
            <w:tcBorders/>
            <w:shd w:fill="auto"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57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200"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57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6" w:type="dxa"/>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95,538 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92,158 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35,888 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9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131,426 </w:t>
            </w:r>
          </w:p>
        </w:tc>
        <w:tc>
          <w:tcPr>
            <w:tcW w:w="14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151,876 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4735" w:type="dxa"/>
        <w:jc w:val="left"/>
        <w:tblInd w:w="0" w:type="dxa"/>
        <w:tblCellMar>
          <w:top w:w="28" w:type="dxa"/>
          <w:left w:w="28" w:type="dxa"/>
          <w:bottom w:w="28" w:type="dxa"/>
          <w:right w:w="28" w:type="dxa"/>
        </w:tblCellMar>
      </w:tblPr>
      <w:tblGrid>
        <w:gridCol w:w="433"/>
        <w:gridCol w:w="381"/>
        <w:gridCol w:w="385"/>
        <w:gridCol w:w="265"/>
        <w:gridCol w:w="1038"/>
        <w:gridCol w:w="137"/>
        <w:gridCol w:w="109"/>
        <w:gridCol w:w="109"/>
        <w:gridCol w:w="109"/>
        <w:gridCol w:w="313"/>
        <w:gridCol w:w="1228"/>
        <w:gridCol w:w="228"/>
      </w:tblGrid>
      <w:tr>
        <w:trPr/>
        <w:tc>
          <w:tcPr>
            <w:tcW w:w="433"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199"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4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65" w:type="dxa"/>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385,440 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531,590 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303"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139,065 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185,503 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524,505 </w:t>
            </w:r>
          </w:p>
        </w:tc>
        <w:tc>
          <w:tcPr>
            <w:tcW w:w="13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717,093 </w:t>
            </w:r>
          </w:p>
        </w:tc>
        <w:tc>
          <w:tcPr>
            <w:tcW w:w="22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40"/>
        <w:rPr>
          <w:rFonts w:ascii="Times New Roman;sans-serif" w:hAnsi="Times New Roman;sans-serif"/>
          <w:b/>
          <w:color w:val="000000"/>
          <w:sz w:val="20"/>
        </w:rPr>
      </w:pPr>
      <w:r>
        <w:rPr>
          <w:rFonts w:ascii="Times New Roman;sans-serif" w:hAnsi="Times New Roman;sans-serif"/>
          <w:b/>
          <w:color w:val="000000"/>
          <w:sz w:val="20"/>
        </w:rPr>
        <w:t>Note 19—Subsequent Events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evaluated subsequent events through the issuance date of these condensed consolidated financial statements. </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3, 2023, the Board of Directors of PWP declared a cash dividend of $0.07 per share of Class A common stock. This dividend will be paid on June 9, 2023 to Class A common stockholders of record on May 26, 2023. Holders of Class B common stock will also receive dividends equal to the amount of dividends made on 0.001 shares of Class A common stock.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99085"/>
                <wp:effectExtent l="0" t="0" r="0" b="0"/>
                <wp:wrapNone/>
                <wp:docPr id="27" name="Frame27"/>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240" w:after="240"/>
        <w:ind w:left="0" w:right="0" w:firstLine="720"/>
        <w:jc w:val="both"/>
        <w:rPr/>
      </w:pPr>
      <w:r>
        <w:rPr/>
      </w:r>
    </w:p>
    <w:p>
      <w:pPr>
        <w:pStyle w:val="TextBody"/>
        <w:spacing w:lineRule="auto" w:line="240" w:before="240" w:after="24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40" w:before="24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of our financial condition and results of operations should be read in conjunction with the unaudited condensed consolidated financial statements and related notes included elsewhere in this Form 10-Q. This discussion contains forward-looking statements that involve risks and uncertainties. Our actual results could differ materially from the forward-looking statements below. Factors that could cause or contribute to such differences include, but are not limited to, those identified below and those discussed in the section entitled “Risk Factors” and elsewhere in this Form 10-Q.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40"/>
        <w:rPr>
          <w:rFonts w:ascii="Times New Roman;sans-serif" w:hAnsi="Times New Roman;sans-serif"/>
          <w:b/>
          <w:color w:val="000000"/>
          <w:sz w:val="20"/>
        </w:rPr>
      </w:pPr>
      <w:r>
        <w:rPr>
          <w:rFonts w:ascii="Times New Roman;sans-serif" w:hAnsi="Times New Roman;sans-serif"/>
          <w:b/>
          <w:color w:val="000000"/>
          <w:sz w:val="20"/>
        </w:rPr>
        <w:t>Executive Overview</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 leading global independent advisory firm that provides strategic and financial advice to clients across a range of the most active industry sectors and international markets. Our wide range of global clients include large public multinational corporations, mid-sized public and private companies, individual entrepreneurs, private and institutional investors, creditor committees and government institutions.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PWP OpCo serves as the Company’s operating partnership as part of an umbrella limited partnership C-corporation (Up-C) structure and is jointly owned by Perella Weinberg Partners, Professional Partners and certain other partners of PWP OpCo. The Company shareholders are entitled to receive a portion of PWP OpCo’s economics through their ownership interests in shares of Class A common stock of Perella Weinberg Partners, which holds PWP OpCo Units. The non-controlling interest owners of PWP OpCo receive a portion of its economics through their ownership of PWP OpCo Units. </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information regarding our business, refer to “Part I. Item 1. Business” and “Part I. Item1A. Risk Factors” in the Company’s Annual Report on Form 10-K for the year ended December 31, 2022 as filed with the SEC on February 28,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40"/>
        <w:rPr>
          <w:rFonts w:ascii="Times New Roman;sans-serif" w:hAnsi="Times New Roman;sans-serif"/>
          <w:b/>
          <w:color w:val="000000"/>
          <w:sz w:val="20"/>
        </w:rPr>
      </w:pPr>
      <w:r>
        <w:rPr>
          <w:rFonts w:ascii="Times New Roman;sans-serif" w:hAnsi="Times New Roman;sans-serif"/>
          <w:b/>
          <w:color w:val="000000"/>
          <w:sz w:val="20"/>
        </w:rPr>
        <w:t xml:space="preserve">Business Environment and Outlook </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level of M&amp;A advisory dialogue remains active across our industries and geographies of focus, a challenging macroeconomic environment may persist and continue to adversely affect M&amp;A and financing volumes. Headwinds currently impacting industry volumes include rate outlook and inflation, credit spreads, market volatility, lower liquidity and capital availability, recession risk and geopolitical tensions, amongst others. </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near-term headwinds, our core advisory services benefit from macroeconomic changes that impact our client base and lead them to consider business combinations, acquisitions and divestitures, capital raises and restructurings. These changes can include a broad range of economic factors in global or local markets, technological advancements which alter the competitive landscape, regulatory and political policies, globalization, changing consumer preferences, commodity and financial market movements, among many other factors. </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Economic and global financial conditions can materially affect our operational and financial performance. See “Risk Factors” included in our Annual Report on Form 10-K for a discussion of some of the factors that can affect our performance. </w:t>
      </w:r>
    </w:p>
    <w:p>
      <w:pPr>
        <w:pStyle w:val="TextBody"/>
        <w:spacing w:lineRule="auto" w:line="240" w:before="240" w:after="240"/>
        <w:rPr>
          <w:rFonts w:ascii="Times New Roman;sans-serif" w:hAnsi="Times New Roman;sans-serif"/>
          <w:b/>
          <w:color w:val="000000"/>
          <w:sz w:val="20"/>
        </w:rPr>
      </w:pPr>
      <w:r>
        <w:rPr>
          <w:rFonts w:ascii="Times New Roman;sans-serif" w:hAnsi="Times New Roman;sans-serif"/>
          <w:b/>
          <w:color w:val="000000"/>
          <w:sz w:val="20"/>
        </w:rPr>
        <w:t xml:space="preserve">Key Financial Measures </w:t>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a highly competitive environment, and each revenue-generating engagement is separately solicited and negotiated. Our fee-paying client engagements are not predictable, and we may experience fluctuations in revenues from quarter to quarter. To develop new business, we maintain an active business dialogue with existing and potential clients, and we expect to add new clients each year through expanding our relationships, hiring senior advisory professionals, and receiving introductions from our relationship network. However, we also lose clients each year due to various factors, such as sales or mergers, changes in clients’ senior management, and competition from other financial services firms.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recognition is often tied to the completion of a transaction, which can be delayed or terminated due to various reasons, including failure to obtain regulatory or board approval, failure to secure financing, or adverse market conditions. Larger transactions may take longer to close, adding unpredictability to the timing of revenues. Despite our efforts, we may receive lower advisory fees or no fee at all if a transaction is not completed. Other barriers to the completion of restructuring transactions include a lack of anticipated bidders, failure to obtain court approval, or a failure to reach an agreement with creditors. In such cases, our advisory fees may be limited to monthly retainer fees plus the reimbursement of expenses.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99085"/>
                <wp:effectExtent l="0" t="0" r="0" b="0"/>
                <wp:wrapNone/>
                <wp:docPr id="28" name="Frame28"/>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240" w:after="240"/>
        <w:ind w:left="0" w:right="0" w:firstLine="720"/>
        <w:jc w:val="both"/>
        <w:rPr/>
      </w:pPr>
      <w:r>
        <w:rPr/>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do not present our revenue by the type of advice we provide because of the complexity of the transactions on which we may earn revenue and our holistic approach to client service. For instance, a traditional M&amp;A engagement may require additional advisory services, such as capital markets or capital solutions advice or a private capital raise, which may call for cross-functional expertise from our professionals. We focus on dedicating the necessary resources and expertise to each engagement, regardless of product lines, to achieve the desired outcome for our clients. Consequently, tracking the type of advisory service offered in each instance is not practical.</w:t>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expenses are classified as (i) total compensation and benefits expenses including equity-based compensation and (ii) non-compensation expenses. Headcount is a primary driver of the level of our operating expenses. Compensation and benefits expenses account for the majority of our operating expenses. Compensation expenses also include expense associated with hiring which has been a significant focus of the Company in all of the historical periods described herein. Non-compensation expenses, which include the costs of professional fees, technology and infrastructure, rent and occupancy, travel and related expenses, general, administrative and other expenses and depreciation and amortization generally have been lower in comparison with compensation and benefits expenses.</w:t>
      </w:r>
    </w:p>
    <w:p>
      <w:pPr>
        <w:pStyle w:val="TextBody"/>
        <w:spacing w:lineRule="auto" w:line="240" w:before="24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Compensation and Benefits Expenses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and benefits expenses are determined by management based on revenues earned, the competitiveness of the prevailing labor market and anticipated compensation requirements for our employees, the level of recruitment of new partners, the amount of compensation expense amortized for equity awards and other relevant factors. Such factors can fluctuate, including headcount and revenues earned, and as a result, our compensation expenses may fluctuate materially in any particular period. Accordingly, the amount of compensation expenses recognized in any particular period may not be consistent with prior periods or indicative of future periods.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compensation expenses consist of base salary, benefits, payroll taxes, annual incentive compensation payable as cash bonus awards, deferred compensation awards, profit sharing arrangements and amortization of equity-based compensation awards. Compensation expenses also include signing bonuses and compensation paid pursuant to guarantees for new hires. These amounts have historically been significant. Base salary and benefits are paid ratably throughout the year. Depending on the plan, deferred compensation and profit-sharing awards vest immediately, at future dates, or upon the occurrence of certain events. Cash bonuses, which are accrued each quarter, are discretionary and dependent upon many factors, including the performance of the Company, and are generally paid during the first quarter of each calendar year with respect to prior year performance. </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Equity awards are measured at fair value on the grant date and recognized on a straight-line basis over the requisite vesting period or requisite service period. The awards are subject to a service vesting condition, and in some cases a market-based performance vesting condition, and generally vest ratably on a graded vesting schedule of up to five years. Certain awards are recognized over the expected service period for employees who are or will become retirement eligible prior to the stated vesting date. As such, over time, a greater number of employees may become retirement eligible and the related requisite service period over which we expense these awards will be shorter than the stated vesting. The awards are recorded within equity as they are expensed. The vesting of Legacy Awards granted prior to the Business Combination and the various Professional Partners awards issued in connection with the Business Combination have no economic impact on, and do not dilute, PWP shareholders relative to Professional Partners. The awards do not change the economic allocations between Professional Partners and PWP shareholders, nor do they change the Professional Partners’ interest in PWP OpCo. As a result, all of the compensation expense and corresponding capital contribution associated with the Professional Partners Awards is allocated to non-controlling interests on the Condensed Consolidated Statements of Operations and Condensed Consolidated Statements of Financial Condition. </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in the third quarter of 2021, the Company granted incentive compensation awards in accordance with the PWP Incentive Plan. The Company uses shares of PWP Class A common stock to satisfy vested awards under the plan. The vesting of these awards for employees are recorded as equity-based compensation expense and awards for non-employees are recorded as professional fees at PWP OpCo for U.S. GAAP accounting purposes. The accounting for this equity-based compensation expense, and potentially other factors as well, may cause the Company to experience operating losses in future periods. </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compensate our personnel competitively in order to continue building our business and growing our Company. Certain awards were granted in conjunction with the Business Combination and directly related to this transaction milestone event. These awards were outside the Company's normal and recurring compensation processes. Total future amortization, which will be recognized over the next three years before accounting for forfeitures, is $46.4 million for a) the Transaction Pool RSUs and b) the Transaction Pool PSUs and $49.7 million for the Long-Term Incentive Awards, in each case granted in conjunction with the Business Combination.</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99085"/>
                <wp:effectExtent l="0" t="0" r="0" b="0"/>
                <wp:wrapNone/>
                <wp:docPr id="29" name="Frame29"/>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240" w:after="240"/>
        <w:ind w:left="0" w:right="0" w:firstLine="720"/>
        <w:jc w:val="both"/>
        <w:rPr/>
      </w:pPr>
      <w:r>
        <w:rPr/>
      </w:r>
    </w:p>
    <w:p>
      <w:pPr>
        <w:pStyle w:val="TextBody"/>
        <w:spacing w:lineRule="auto" w:line="240" w:before="24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Non-Compensation Expenses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non-compensation expenses include the costs of professional fees, technology and infrastructure, rent and occupancy, travel and related expenses, depreciation and amortization and general, administrative and other expenses. Our non-compensation expenses include certain co-advisory fees and expenses reimbursed by our clients. Revenues related to co-advisory fees and expenses reimbursed by clients are presented within revenues on our Condensed Consolidated Statements of Operations.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our non-compensation expenses associated with business development have increased as we have increased our headcount. These costs include costs such as travel and related expenses which have increased due to increasing headcount, increasing prices charged by travel vendors and an increased volume of travel as COVID-19 pandemic-related travel restrictions have eased and we return to more normalized travel levels. </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there are temporary factors causing depreciation and amortization, as well as professional fees to be lower period over period, and while we expect to continue to reduce certain costs associated with being a newly public company, over the long term we expect our non-compensation expenses will trend upward with growth in headcount and inflation. </w:t>
      </w:r>
    </w:p>
    <w:p>
      <w:pPr>
        <w:pStyle w:val="TextBody"/>
        <w:spacing w:lineRule="auto" w:line="240" w:before="24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Non-Operating Income (Expenses)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Non-operating income (expenses) includes the impact of income and expense items that we consider to be non-operational in nature, including related party income, interest income and expense, and other income (expense), which includes gains (losses) on foreign exchange rate fluctuations. Prior to the completion of the Warrant Exchange Offer on August 23, 2022, non-operating income (expenses) also included the change in fair value of warrant liabilities. The Warrant Exchange Offer resulted in the exchange of all outstanding warrants for shares of the Company’s Class A common stock with a minimal cash settlement in lieu of partial shares. As a result, the warrant liabilities were removed from the Condensed Consolidated Statements of Financial Condition and the issuance of shares of Class A common stock was reflected within equity. There will be no future change in the fair value of warrant liabilities. Refer to Note 11—Warrants in the notes to condensed consolidated financial statements included elsewhere in this Form 10-Q for additional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4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discussion of our results of operations for the respective periods indicated: </w:t>
      </w:r>
    </w:p>
    <w:tbl>
      <w:tblPr>
        <w:tblW w:w="10205" w:type="dxa"/>
        <w:jc w:val="left"/>
        <w:tblInd w:w="0" w:type="dxa"/>
        <w:tblCellMar>
          <w:top w:w="28" w:type="dxa"/>
          <w:left w:w="28" w:type="dxa"/>
          <w:bottom w:w="28" w:type="dxa"/>
          <w:right w:w="28" w:type="dxa"/>
        </w:tblCellMar>
      </w:tblPr>
      <w:tblGrid>
        <w:gridCol w:w="1852"/>
        <w:gridCol w:w="1599"/>
        <w:gridCol w:w="1603"/>
        <w:gridCol w:w="109"/>
        <w:gridCol w:w="109"/>
        <w:gridCol w:w="112"/>
        <w:gridCol w:w="112"/>
        <w:gridCol w:w="112"/>
        <w:gridCol w:w="112"/>
        <w:gridCol w:w="112"/>
        <w:gridCol w:w="112"/>
        <w:gridCol w:w="218"/>
        <w:gridCol w:w="858"/>
        <w:gridCol w:w="112"/>
        <w:gridCol w:w="109"/>
        <w:gridCol w:w="109"/>
        <w:gridCol w:w="109"/>
        <w:gridCol w:w="211"/>
        <w:gridCol w:w="826"/>
        <w:gridCol w:w="109"/>
        <w:gridCol w:w="109"/>
        <w:gridCol w:w="109"/>
        <w:gridCol w:w="109"/>
        <w:gridCol w:w="369"/>
        <w:gridCol w:w="369"/>
        <w:gridCol w:w="535"/>
      </w:tblGrid>
      <w:tr>
        <w:trPr/>
        <w:tc>
          <w:tcPr>
            <w:tcW w:w="1852" w:type="dxa"/>
            <w:tcBorders/>
            <w:shd w:fill="auto" w:val="clear"/>
            <w:vAlign w:val="center"/>
          </w:tcPr>
          <w:p>
            <w:pPr>
              <w:pStyle w:val="TableContents"/>
              <w:spacing w:before="0" w:after="283"/>
              <w:rPr>
                <w:sz w:val="4"/>
                <w:szCs w:val="4"/>
              </w:rPr>
            </w:pPr>
            <w:r>
              <w:rPr>
                <w:sz w:val="4"/>
                <w:szCs w:val="4"/>
              </w:rPr>
            </w:r>
          </w:p>
        </w:tc>
        <w:tc>
          <w:tcPr>
            <w:tcW w:w="1599" w:type="dxa"/>
            <w:tcBorders/>
            <w:shd w:fill="auto" w:val="clear"/>
            <w:vAlign w:val="center"/>
          </w:tcPr>
          <w:p>
            <w:pPr>
              <w:pStyle w:val="TableContents"/>
              <w:spacing w:before="0" w:after="283"/>
              <w:rPr>
                <w:sz w:val="4"/>
                <w:szCs w:val="4"/>
              </w:rPr>
            </w:pPr>
            <w:r>
              <w:rPr>
                <w:sz w:val="4"/>
                <w:szCs w:val="4"/>
              </w:rPr>
            </w:r>
          </w:p>
        </w:tc>
        <w:tc>
          <w:tcPr>
            <w:tcW w:w="16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9"/>
            <w:tcBorders/>
            <w:shd w:fill="auto" w:val="clear"/>
            <w:tcMar>
              <w:top w:w="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073" w:type="dxa"/>
            <w:gridSpan w:val="12"/>
            <w:tcBorders/>
            <w:shd w:fill="auto" w:val="clear"/>
          </w:tcPr>
          <w:p>
            <w:pPr>
              <w:pStyle w:val="TableContents"/>
              <w:spacing w:before="0" w:after="283"/>
              <w:rPr>
                <w:sz w:val="4"/>
                <w:szCs w:val="4"/>
              </w:rPr>
            </w:pPr>
            <w:r>
              <w:rPr>
                <w:sz w:val="4"/>
                <w:szCs w:val="4"/>
              </w:rPr>
            </w:r>
          </w:p>
        </w:tc>
      </w:tr>
      <w:tr>
        <w:trPr/>
        <w:tc>
          <w:tcPr>
            <w:tcW w:w="5054"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2023 vs. 2022</w:t>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131,426 </w:t>
            </w:r>
          </w:p>
        </w:tc>
        <w:tc>
          <w:tcPr>
            <w:tcW w:w="112"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151,876 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69,963 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47,671 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compensation and benefits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117,634 </w:t>
            </w:r>
          </w:p>
        </w:tc>
        <w:tc>
          <w:tcPr>
            <w:tcW w:w="112"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128,135 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Non-compensation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36,482 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154,116 </w:t>
            </w:r>
          </w:p>
        </w:tc>
        <w:tc>
          <w:tcPr>
            <w:tcW w:w="112"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162,235 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(22,690)</w:t>
            </w:r>
          </w:p>
        </w:tc>
        <w:tc>
          <w:tcPr>
            <w:tcW w:w="112"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(10,359)</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Non-operating income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Total non-operating income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12"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(22,134)</w:t>
            </w:r>
          </w:p>
        </w:tc>
        <w:tc>
          <w:tcPr>
            <w:tcW w:w="112"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(27,420)</w:t>
            </w:r>
          </w:p>
        </w:tc>
        <w:tc>
          <w:tcPr>
            <w:tcW w:w="112"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(22,297)</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184%</w:t>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Perella Weinberg Partners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(5,123)</w:t>
            </w:r>
          </w:p>
        </w:tc>
        <w:tc>
          <w:tcPr>
            <w:tcW w:w="112"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99085"/>
                <wp:effectExtent l="0" t="0" r="0" b="0"/>
                <wp:wrapNone/>
                <wp:docPr id="30" name="Frame30"/>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240" w:after="240"/>
        <w:ind w:left="0" w:right="0" w:firstLine="720"/>
        <w:jc w:val="both"/>
        <w:rPr/>
      </w:pPr>
      <w:r>
        <w:rPr/>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revenue statistics for the three months ended March 31, 2023 and 2022:</w:t>
      </w:r>
    </w:p>
    <w:tbl>
      <w:tblPr>
        <w:tblW w:w="8322" w:type="dxa"/>
        <w:jc w:val="left"/>
        <w:tblInd w:w="0" w:type="dxa"/>
        <w:tblCellMar>
          <w:top w:w="28" w:type="dxa"/>
          <w:left w:w="28" w:type="dxa"/>
          <w:bottom w:w="28" w:type="dxa"/>
          <w:right w:w="28" w:type="dxa"/>
        </w:tblCellMar>
      </w:tblPr>
      <w:tblGrid>
        <w:gridCol w:w="1479"/>
        <w:gridCol w:w="1298"/>
        <w:gridCol w:w="1302"/>
        <w:gridCol w:w="109"/>
        <w:gridCol w:w="109"/>
        <w:gridCol w:w="624"/>
        <w:gridCol w:w="624"/>
        <w:gridCol w:w="626"/>
        <w:gridCol w:w="109"/>
        <w:gridCol w:w="109"/>
        <w:gridCol w:w="109"/>
        <w:gridCol w:w="211"/>
        <w:gridCol w:w="406"/>
        <w:gridCol w:w="109"/>
        <w:gridCol w:w="109"/>
        <w:gridCol w:w="109"/>
        <w:gridCol w:w="109"/>
        <w:gridCol w:w="211"/>
        <w:gridCol w:w="406"/>
        <w:gridCol w:w="154"/>
      </w:tblGrid>
      <w:tr>
        <w:trPr/>
        <w:tc>
          <w:tcPr>
            <w:tcW w:w="1479"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13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79" w:type="dxa"/>
            <w:gridSpan w:val="3"/>
            <w:tcBorders/>
            <w:shd w:fill="auto"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2151" w:type="dxa"/>
            <w:gridSpan w:val="12"/>
            <w:tcBorders/>
            <w:shd w:fill="auto" w:val="clear"/>
          </w:tcPr>
          <w:p>
            <w:pPr>
              <w:pStyle w:val="TableContents"/>
              <w:spacing w:before="0" w:after="283"/>
              <w:rPr>
                <w:sz w:val="4"/>
                <w:szCs w:val="4"/>
              </w:rPr>
            </w:pPr>
            <w:r>
              <w:rPr>
                <w:sz w:val="4"/>
                <w:szCs w:val="4"/>
              </w:rPr>
            </w:r>
          </w:p>
        </w:tc>
      </w:tr>
      <w:tr>
        <w:trPr/>
        <w:tc>
          <w:tcPr>
            <w:tcW w:w="4079"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(Dollars 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079"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Advisory Clients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r>
      <w:tr>
        <w:trPr/>
        <w:tc>
          <w:tcPr>
            <w:tcW w:w="4079"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Clients with Fees Greater than $1.0 million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40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Fee Size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revenues declined 13% from the three months ended March 31, 2022. Mergers and acquisition activity was largely flat period-over-period, while financing and capital solutions revenues decreased from the three months ended March 31, 2022, which included a large restructuring fee event. During the three months ended March 31, 2023, the geographic composition of revenue shifted to be even more weighted towards U.S. business activity versus the three months ended March 31, 2022. The decrease in revenues can also be attributed to a decrease in average fee size per client as well as fewer transactions with outsized fee events, despite a modest increase in the number of advisory transaction completions.</w:t>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relating to our operating expenses:</w:t>
      </w:r>
    </w:p>
    <w:tbl>
      <w:tblPr>
        <w:tblW w:w="8221" w:type="dxa"/>
        <w:jc w:val="left"/>
        <w:tblInd w:w="0" w:type="dxa"/>
        <w:tblCellMar>
          <w:top w:w="28" w:type="dxa"/>
          <w:left w:w="28" w:type="dxa"/>
          <w:bottom w:w="28" w:type="dxa"/>
          <w:right w:w="28" w:type="dxa"/>
        </w:tblCellMar>
      </w:tblPr>
      <w:tblGrid>
        <w:gridCol w:w="1004"/>
        <w:gridCol w:w="883"/>
        <w:gridCol w:w="887"/>
        <w:gridCol w:w="109"/>
        <w:gridCol w:w="109"/>
        <w:gridCol w:w="109"/>
        <w:gridCol w:w="109"/>
        <w:gridCol w:w="109"/>
        <w:gridCol w:w="109"/>
        <w:gridCol w:w="109"/>
        <w:gridCol w:w="109"/>
        <w:gridCol w:w="211"/>
        <w:gridCol w:w="826"/>
        <w:gridCol w:w="271"/>
        <w:gridCol w:w="109"/>
        <w:gridCol w:w="109"/>
        <w:gridCol w:w="109"/>
        <w:gridCol w:w="211"/>
        <w:gridCol w:w="826"/>
        <w:gridCol w:w="271"/>
        <w:gridCol w:w="109"/>
        <w:gridCol w:w="109"/>
        <w:gridCol w:w="109"/>
        <w:gridCol w:w="265"/>
        <w:gridCol w:w="265"/>
        <w:gridCol w:w="775"/>
      </w:tblGrid>
      <w:tr>
        <w:trPr/>
        <w:tc>
          <w:tcPr>
            <w:tcW w:w="1004"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auto"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2" w:type="dxa"/>
            <w:gridSpan w:val="9"/>
            <w:tcBorders/>
            <w:shd w:fill="auto" w:val="clear"/>
            <w:tcMar>
              <w:top w:w="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67" w:type="dxa"/>
            <w:gridSpan w:val="12"/>
            <w:tcBorders/>
            <w:shd w:fill="auto" w:val="clear"/>
          </w:tcPr>
          <w:p>
            <w:pPr>
              <w:pStyle w:val="TableContents"/>
              <w:spacing w:before="0" w:after="283"/>
              <w:rPr>
                <w:sz w:val="4"/>
                <w:szCs w:val="4"/>
              </w:rPr>
            </w:pPr>
            <w:r>
              <w:rPr>
                <w:sz w:val="4"/>
                <w:szCs w:val="4"/>
              </w:rPr>
            </w:r>
          </w:p>
        </w:tc>
      </w:tr>
      <w:tr>
        <w:trPr/>
        <w:tc>
          <w:tcPr>
            <w:tcW w:w="2774"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2023 vs. 2022</w:t>
            </w:r>
          </w:p>
        </w:tc>
      </w:tr>
      <w:tr>
        <w:trPr/>
        <w:tc>
          <w:tcPr>
            <w:tcW w:w="2774"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69,963 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87,245 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7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47,671 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40,890 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7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compensation and benefits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117,634 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128,135 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775"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Non-compensation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36,482 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7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154,116 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162,235 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775"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240" w:after="240"/>
        <w:rPr>
          <w:rFonts w:ascii="Times New Roman;sans-serif" w:hAnsi="Times New Roman;sans-serif"/>
          <w:b w:val="false"/>
          <w:i/>
          <w:color w:val="000000"/>
          <w:sz w:val="20"/>
        </w:rPr>
      </w:pPr>
      <w:r>
        <w:rPr>
          <w:rFonts w:ascii="Times New Roman;sans-serif" w:hAnsi="Times New Roman;sans-serif"/>
          <w:b w:val="false"/>
          <w:i/>
          <w:color w:val="000000"/>
          <w:sz w:val="20"/>
        </w:rPr>
        <w:t>Compensation and Benefits Expenses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total compensation and benefit expenses for the three months ended March 31, 2023 compared to the three months ended March 31, 2022 was due to a smaller bonus accrual associated with lower revenues, despite a higher compensation margin. This decrease was partially offset by an increase in equity-based compensation related to awards granted in the three months ended March 31, 2023, as well as accelerated vesting of certain awards based on the terms applicable to such awards, with a large percentage tied to retirement eligible individuals whose expense was fully recognized at the time of grant.</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99085"/>
                <wp:effectExtent l="0" t="0" r="0" b="0"/>
                <wp:wrapNone/>
                <wp:docPr id="31" name="Frame31"/>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240" w:after="240"/>
        <w:ind w:left="0" w:right="0" w:firstLine="720"/>
        <w:jc w:val="both"/>
        <w:rPr/>
      </w:pPr>
      <w:r>
        <w:rPr/>
      </w:r>
    </w:p>
    <w:p>
      <w:pPr>
        <w:pStyle w:val="TextBody"/>
        <w:spacing w:lineRule="auto" w:line="240" w:before="240" w:after="240"/>
        <w:rPr>
          <w:rFonts w:ascii="Times New Roman;sans-serif" w:hAnsi="Times New Roman;sans-serif"/>
          <w:b w:val="false"/>
          <w:i/>
          <w:color w:val="000000"/>
          <w:sz w:val="20"/>
        </w:rPr>
      </w:pPr>
      <w:r>
        <w:rPr>
          <w:rFonts w:ascii="Times New Roman;sans-serif" w:hAnsi="Times New Roman;sans-serif"/>
          <w:b w:val="false"/>
          <w:i/>
          <w:color w:val="000000"/>
          <w:sz w:val="20"/>
        </w:rPr>
        <w:t>Non-Compensation Expenses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non-compensation expenses for the three months ended March 31, 2023 compared to the three months ended March 31, 2022 included a $2.5 million increase in travel-related expenses due to the return to more normalized travel levels and increased headcount, a $1.7 million increase in rent and occupancy due to overlapping rent costs in New York and London due to headquarters renovations and a $1.0 million increase in technology and infrastructure primarily related to increased headcount, inflation and certain investments. These increases were partially offset by a decrease in professional fees of $2.7 million related to a decrease in co-advisory consulting fees and recruiting fees relative to the three months ended March 31, 2022. While depreciation and amortization was slightly lower for the three months ended March 31, 2023 compared to the three months ended March 31, 2022, certain new leasehold improvement activities have not yet been completed and therefore have not begun depreciating. </w:t>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Non-Operating Income (Expenses)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 in non-operating income (expenses) for the three months ended March 31, 2023 compared to the three months ended March 31, 2022 is primarily related to the $12.0 million gain from the change in fair value of warrant liabilities in the three months ended March 31, 2022 as the warrant price fell prior to the Warrant Exchange Offer. Other income (expense) includes foreign exchange rate fluctuations which resulted in a $1.1 million loss for the three months ended March 31, 2023 as opposed to a $1.4 million gain for the three months ended March 31, 2022, primarily related to U.S. dollar-denominated cash and intercompany receivables held by our foreign subsidiaries as the U.S. dollar value fluctuated period over period. This foreign exchange loss for the three months ended March 31, 2023 was offset by $1.3 million of interest income earned largely on cash and investments in U.S. Treasury securities. </w:t>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Income Tax Benefit (Expense)</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income tax expense and effective tax rate were $5.3 million and (23.9)%, respectively, for the three months ended March 31, 2023 compared to income tax expense and an effective tax rate of $3.0 million and 74.0%, respectively, for the three months ended March 31, 2022. The change in the effective tax rate between the three months ended March 31, 2023 and 2022 was primarily due to the relative impact of permanent differences on changes in pre-tax income, particularly the year-over-year change from pre-tax income to a pre-tax loss. </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effective tax rate in each of the periods described above varies from the U.S. federal statutory rate primarily because (i) a portion of the Company’s income is allocated to non-controlling interests held in PWP OpCo in which the majority of any tax liability on such income is borne by the holders of such non-controlling interests and reported outside of the condensed consolidated financial statements and (ii) a portion of the Company’s compensation expense is non-deductible for tax purposes.</w:t>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cash flows are primarily influenced by the amount and timing of receipt of advisory fees, which generally have net terms of 30 days, and the payment of operating expenses, including payments of incentive compensation to our employees. We pay a significant portion of incentive compensation during the first quarter of each calendar year with respect to the prior year’s results. Our investing and financing cash flows were primarily influenced by the payment of dividends, distributions to partners, purchases and maturities of treasury shares, purchase of fixed assets and withholding payments for vesting of PWP Incentive Plan Awards during the three months ended March 31, 2023.</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99085"/>
                <wp:effectExtent l="0" t="0" r="0" b="0"/>
                <wp:wrapNone/>
                <wp:docPr id="32" name="Frame32"/>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240" w:after="240"/>
        <w:ind w:left="0" w:right="0" w:firstLine="720"/>
        <w:jc w:val="both"/>
        <w:rPr/>
      </w:pPr>
      <w:r>
        <w:rPr/>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our operating, investing and financing cash flows is as follows:</w:t>
      </w:r>
    </w:p>
    <w:tbl>
      <w:tblPr>
        <w:tblW w:w="8994" w:type="dxa"/>
        <w:jc w:val="left"/>
        <w:tblInd w:w="0" w:type="dxa"/>
        <w:tblCellMar>
          <w:top w:w="28" w:type="dxa"/>
          <w:left w:w="28" w:type="dxa"/>
          <w:bottom w:w="28" w:type="dxa"/>
          <w:right w:w="28" w:type="dxa"/>
        </w:tblCellMar>
      </w:tblPr>
      <w:tblGrid>
        <w:gridCol w:w="2291"/>
        <w:gridCol w:w="2017"/>
        <w:gridCol w:w="2022"/>
        <w:gridCol w:w="211"/>
        <w:gridCol w:w="826"/>
        <w:gridCol w:w="109"/>
        <w:gridCol w:w="109"/>
        <w:gridCol w:w="109"/>
        <w:gridCol w:w="109"/>
        <w:gridCol w:w="211"/>
        <w:gridCol w:w="826"/>
        <w:gridCol w:w="154"/>
      </w:tblGrid>
      <w:tr>
        <w:trPr/>
        <w:tc>
          <w:tcPr>
            <w:tcW w:w="2291" w:type="dxa"/>
            <w:tcBorders/>
            <w:shd w:fill="auto" w:val="clear"/>
            <w:vAlign w:val="center"/>
          </w:tcPr>
          <w:p>
            <w:pPr>
              <w:pStyle w:val="TableContents"/>
              <w:spacing w:before="0" w:after="283"/>
              <w:rPr>
                <w:sz w:val="4"/>
                <w:szCs w:val="4"/>
              </w:rPr>
            </w:pPr>
            <w:r>
              <w:rPr>
                <w:sz w:val="4"/>
                <w:szCs w:val="4"/>
              </w:rPr>
            </w:r>
          </w:p>
        </w:tc>
        <w:tc>
          <w:tcPr>
            <w:tcW w:w="2017" w:type="dxa"/>
            <w:tcBorders/>
            <w:shd w:fill="auto" w:val="clear"/>
            <w:vAlign w:val="center"/>
          </w:tcPr>
          <w:p>
            <w:pPr>
              <w:pStyle w:val="TableContents"/>
              <w:spacing w:before="0" w:after="283"/>
              <w:rPr>
                <w:sz w:val="4"/>
                <w:szCs w:val="4"/>
              </w:rPr>
            </w:pPr>
            <w:r>
              <w:rPr>
                <w:sz w:val="4"/>
                <w:szCs w:val="4"/>
              </w:rPr>
            </w:r>
          </w:p>
        </w:tc>
        <w:tc>
          <w:tcPr>
            <w:tcW w:w="202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6330"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114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330"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Cash Provided By (Used In) Operating Activities</w:t>
            </w:r>
          </w:p>
        </w:tc>
        <w:tc>
          <w:tcPr>
            <w:tcW w:w="114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(loss) </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charges and other operating activity adjustments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activities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(285,432)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activities</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(132,414)</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(248,373)</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(66,585)</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(279,638)</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504,775 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107,581 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225,137 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240" w:after="240"/>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Three Months Ended March 31, 2023 </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cash and restricted cash were $107.6 million as of March 31, 2023, resulting in a decrease of $66.6 million from December 31, 2022. Cash, restricted cash and short-term market debt securities (U.S. Treasuries) were $132.5 million as of March 31, 2023, a decrease of $181.7 million from December 31, 2022. The Company’s net loss for the three months ended March 31, 2023 included non-cash charges and other adjustments, largely comprised of equity-based awards vesting expense, depreciation and amortization, foreign currency revaluation and non-cash operating lease expense. The Company’s net operating cash outflow was predominantly due to the payment of the prior year’s annual bonus compensation. Accounts receivable, net of allowance balance declined from the December 31, 2022 balance due largely to the timing of collections as certain large balances were collected shortly after December 31, 2022 as well as a year over year decline in revenues. Investing activities resulted in a net inflow as a result of the maturities of investments of certain U.S. Treasury securities. This inflow was partially offset by additional investments of excess cash in U.S. Treasury securities and the purchase of fixed assets largely related to New York and London office space leasehold improvements. Financing activities resulted in a net outflow primarily related to the repurchase of shares pursuant to the stock repurchase program, withholding payments for vesting of PWP Incentive Plan Awards, distributions to partners, and the payment of dividends.</w:t>
      </w:r>
    </w:p>
    <w:p>
      <w:pPr>
        <w:pStyle w:val="TextBody"/>
        <w:spacing w:lineRule="auto" w:line="240" w:before="240" w:after="240"/>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March 31, 2022</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restricted cash were $225.1 million as of March 31, 2022, a decrease of $279.6 million from $504.8 million as of December 31, 2021. The Company recorded net income of $1.1 million for the three months ended March 31, 2022 which includes $36.0 million of non-cash charges, largely comprised of the equity-based compensation, depreciation and amortization and the change in fair value of warrant liabilities. This operating cash inflow was offset by working capital needs largely due to increased accounts receivable balances and the payment of the annual bonus compensation which occurs in the first quarter of each year, resulting in a net outflow to cash of $248.4 million during the three months ended March 31, 2022. Investing activities resulted in a net outflow of $1.4 million attributable to the purchases of fixed assets. Financing activities resulted in a net outflow of $27.3 million primarily related to distributions to partners, withholding payments for vesting of incentive awards, payment of dividends and the repurchase of shares.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99085"/>
                <wp:effectExtent l="0" t="0" r="0" b="0"/>
                <wp:wrapNone/>
                <wp:docPr id="33" name="Frame33"/>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240" w:after="240"/>
        <w:ind w:left="0" w:right="0" w:firstLine="720"/>
        <w:jc w:val="both"/>
        <w:rPr/>
      </w:pPr>
      <w:r>
        <w:rPr/>
      </w:r>
    </w:p>
    <w:p>
      <w:pPr>
        <w:pStyle w:val="TextBody"/>
        <w:spacing w:lineRule="auto" w:line="240" w:before="240" w:after="24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40" w:before="240" w:after="240"/>
        <w:jc w:val="both"/>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regularly monitor our liquidity position, including cash and cash equivalents, working capital assets and liabilities, commitments and other liquidity requirements. Our primary sources of liquidity are our cash balances, our investments in short-term marketable debt securities, the net cash generated from operations and the available borrowing capacity under our Revolving Credit Facility.</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assets are primarily composed of cash, investments in short-term marketable securities, receivables related to fees earned from providing advisory services, certain prepaid expenses and certain amounts due from related parties. Our current liabilities are primarily composed of accrued employee compensation, accounts payable and other accrued expenses. We generally pay a significant portion of our annual incentive compensation, in the form of cash bonuses, during the first quarter of each calendar year with respect to the prior year’s results. Therefore, levels of cash and/or investments in short-term marketable securities generally decline during the first quarter of each year after our annual incentive compensation has been paid to our employees and typically builds over the remainder of the year. The Company makes quarterly partner tax distributions as required under the PWP OpCo LPA. Additionally, we intend to pay dividends throughout each year and intend to continue our share repurchases under the share repurchase program described below. The Company has utilized its option to net settle shares upon the vesting of PWP Incentive Plan Awards in order to remit required employee withholding taxes by using cash on hand as well as purchasing shares of Class A common stock pursuant to the stock repurchase program described below. </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evaluate our cash needs on a regular basis in light of current market and business conditions and regulatory requirements. Cash includes both cash and interest-bearing money market accounts and cash equivalents are defined as short-term highly liquid investments that have original maturities of three months or less from the date of purchase. As of March 31, 2023 and December 31, 2022, the Company had cash balances of $105.0 million and $171.6 million, respectively, maintained in U.S. and non-U.S. bank accounts, of which most bank account balances exceeded the U.S. Federal Deposit Insurance Corporation (“FDIC”) and U.K. Financial Services Compensation Scheme (“FSCS”) coverage limits. Additionally, as of March 31, 2023 and December 31, 2022, the Company held investments in short-term marketable debt securities, consisting entirely of U.S. Treasury securities, of $25.0 million and $140.1 million.</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liquidity is highly dependent upon cash receipts from clients, which generally require the successful completion of transactions. Accounts receivable generally have net terms of 30 days. Accounts receivable were $45.4 million, net of a $1.2 million allowance for credit losses balance as of March 31, 2023. Accounts receivable were $67.9 million, net of a $1.1 million allowance for credit losses balance as of December 31, 2022.</w:t>
      </w:r>
    </w:p>
    <w:p>
      <w:pPr>
        <w:pStyle w:val="TextBody"/>
        <w:spacing w:lineRule="auto" w:line="240" w:before="240" w:after="240"/>
        <w:jc w:val="both"/>
        <w:rPr>
          <w:rFonts w:ascii="Times New Roman;sans-serif" w:hAnsi="Times New Roman;sans-serif"/>
          <w:b/>
          <w:i/>
          <w:color w:val="000000"/>
          <w:sz w:val="20"/>
        </w:rPr>
      </w:pPr>
      <w:r>
        <w:rPr>
          <w:rFonts w:ascii="Times New Roman;sans-serif" w:hAnsi="Times New Roman;sans-serif"/>
          <w:b/>
          <w:i/>
          <w:color w:val="000000"/>
          <w:sz w:val="20"/>
        </w:rPr>
        <w:t>Line of credit</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Revolving Credit Facility with Cadence Bank with an available line of credit of $50.0 million. Additionally, up to $20.0 million of incremental revolving commitments above the $50.0 million commitment amount may be incurred under the Credit Agreement. As of March 31, 2023, the Company had no outstanding balance related to the Revolving Credit Facility and no incremental revolving commitments were incurred. For further information on the Revolving Credit Facility, refer to Note 10—Debt in the notes to condensed consolidated financial statements included elsewhere in this Form 10-Q. </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Based on current market conditions, we believe that our cash on hand, the investments in short-term marketable debt securities, the net cash generated from operations and the available borrowing capacity under our Revolving Credit Facility will be sufficient to meet our operating needs and commitments for the next twelve months; however, if these sources of liquidity are not sufficient, we may seek additional debt or equity financing.</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99085"/>
                <wp:effectExtent l="0" t="0" r="0" b="0"/>
                <wp:wrapNone/>
                <wp:docPr id="34" name="Frame34"/>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240" w:after="240"/>
        <w:ind w:left="0" w:right="0" w:firstLine="720"/>
        <w:jc w:val="both"/>
        <w:rPr/>
      </w:pPr>
      <w:r>
        <w:rPr/>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16, 2022, the Company’s board of directors approved a stock repurchase program under which the Company is authorized to repurchase up to $100.0 million of the Company’s Class A common stock with no requirement to purchase any minimum number of shares. On February 8, 2023, the Company’s board of directors increased the Company’s share repurchase authorization amount by an additional $100.0 million of the Company’s Class A common stock. Shares may be repurchased under the repurchase program through open market purchases, privately negotiated transactions, block trades, accelerated or other structured share repurchase programs, or other means. The manner, timing, pricing and amount of any transactions will be subject to the Company’s discretion. During the three months ended March 31, 2023, the Company purchased 1.5 million shares, at a cost of $14.8 million, in the aggregate. As of March 31, 2023 $116.6 million remains of the combined $200 million share repurchase authorization.</w:t>
      </w:r>
    </w:p>
    <w:p>
      <w:pPr>
        <w:pStyle w:val="TextBody"/>
        <w:spacing w:lineRule="auto" w:line="240" w:before="240" w:after="240"/>
        <w:jc w:val="both"/>
        <w:rPr>
          <w:rFonts w:ascii="Times New Roman;sans-serif" w:hAnsi="Times New Roman;sans-serif"/>
          <w:b/>
          <w:i/>
          <w:color w:val="000000"/>
          <w:sz w:val="20"/>
        </w:rPr>
      </w:pPr>
      <w:r>
        <w:rPr>
          <w:rFonts w:ascii="Times New Roman;sans-serif" w:hAnsi="Times New Roman;sans-serif"/>
          <w:b/>
          <w:i/>
          <w:color w:val="000000"/>
          <w:sz w:val="20"/>
        </w:rPr>
        <w:t>Other Commitments</w:t>
      </w:r>
    </w:p>
    <w:p>
      <w:pPr>
        <w:pStyle w:val="TextBody"/>
        <w:spacing w:lineRule="auto" w:line="240" w:before="240" w:after="240"/>
        <w:rPr>
          <w:rFonts w:ascii="Times New Roman;sans-serif" w:hAnsi="Times New Roman;sans-serif"/>
          <w:b w:val="false"/>
          <w:i/>
          <w:color w:val="000000"/>
          <w:sz w:val="20"/>
        </w:rPr>
      </w:pPr>
      <w:r>
        <w:rPr>
          <w:rFonts w:ascii="Times New Roman;sans-serif" w:hAnsi="Times New Roman;sans-serif"/>
          <w:b w:val="false"/>
          <w:i/>
          <w:color w:val="000000"/>
          <w:sz w:val="20"/>
        </w:rPr>
        <w:t>Regulatory Capital</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actively monitor our regulatory capital base. Our principal subsidiaries are subject to regulatory requirements in their respective jurisdictions to ensure general financial soundness and liquidity. This requires, among other things, that we comply with certain minimum capital requirements, record-keeping, reporting procedures, experience and training requirements for employees and certain other requirements and procedures. These regulatory requirements may restrict the flow of funds to and from affiliates. Refer to Note 6—Regulatory Requirements in the notes to condensed consolidated financial statements included elsewhere in this Form 10-Q for further information. These regulations differ in the United States, United Kingdom, Canada, France and other countries in which we operate a registered broker-dealer or regionally similar construct. The license or regulatory framework under which we operate in each such country is meant to comply with applicable laws and regulations to conduct an advisory business. We believe that we provide each of our subsidiaries with sufficient capital and liquidity, consistent with their business and regulatory requirements to effectively operate in each jurisdiction.</w:t>
      </w:r>
    </w:p>
    <w:p>
      <w:pPr>
        <w:pStyle w:val="TextBody"/>
        <w:spacing w:lineRule="auto" w:line="240" w:before="240" w:after="240"/>
        <w:rPr>
          <w:rFonts w:ascii="Times New Roman;sans-serif" w:hAnsi="Times New Roman;sans-serif"/>
          <w:b w:val="false"/>
          <w:i/>
          <w:color w:val="000000"/>
          <w:sz w:val="20"/>
        </w:rPr>
      </w:pPr>
      <w:r>
        <w:rPr>
          <w:rFonts w:ascii="Times New Roman;sans-serif" w:hAnsi="Times New Roman;sans-serif"/>
          <w:b w:val="false"/>
          <w:i/>
          <w:color w:val="000000"/>
          <w:sz w:val="20"/>
        </w:rPr>
        <w:t>Exchange Rights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PWP OpCo LPA, PWP OpCo Unitholders (other than the Company) may exchange these units for (i) shares of Class A common stock on a one-for-one basis or (ii) cash from an offering of shares of Class A common stock with the form of consideration determined by the Company. See Note 9—Stockholders’ Equity in the notes to the condensed consolidated financial statements included elsewhere in the Form 10-Q for further information.</w:t>
      </w:r>
    </w:p>
    <w:p>
      <w:pPr>
        <w:pStyle w:val="TextBody"/>
        <w:spacing w:lineRule="auto" w:line="240" w:before="240" w:after="240"/>
        <w:rPr>
          <w:rFonts w:ascii="Times New Roman;sans-serif" w:hAnsi="Times New Roman;sans-serif"/>
          <w:b w:val="false"/>
          <w:i/>
          <w:color w:val="000000"/>
          <w:sz w:val="20"/>
        </w:rPr>
      </w:pPr>
      <w:r>
        <w:rPr>
          <w:rFonts w:ascii="Times New Roman;sans-serif" w:hAnsi="Times New Roman;sans-serif"/>
          <w:b w:val="false"/>
          <w:i/>
          <w:color w:val="000000"/>
          <w:sz w:val="20"/>
        </w:rPr>
        <w:t>Sponsor Share Surrender and Share Restriction Agreement</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Concurrent with the Business Combination Agreement, FTIV, PWP OpCo and certain other parties entered into the Sponsor Share Surrender and Share Restriction Agreement with the Sponsor, which was amended on May 4, 2021. See Note 11—Stockholders' Equity in the notes to the audited consolidated financial statements for the year ended December 31, 2022 included in the Company’s Annual Report on Form 10-K for further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40"/>
        <w:rPr>
          <w:rFonts w:ascii="Times New Roman;sans-serif" w:hAnsi="Times New Roman;sans-serif"/>
          <w:b w:val="false"/>
          <w:i/>
          <w:color w:val="000000"/>
          <w:sz w:val="20"/>
        </w:rPr>
      </w:pPr>
      <w:r>
        <w:rPr>
          <w:rFonts w:ascii="Times New Roman;sans-serif" w:hAnsi="Times New Roman;sans-serif"/>
          <w:b w:val="false"/>
          <w:i/>
          <w:color w:val="000000"/>
          <w:sz w:val="20"/>
        </w:rPr>
        <w:t>Tax Receivable Agreement</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the Company entered into a tax receivable agreement with PWP OpCo, Professional Partners and ILPs that provides for payment of 85% of the amount of cash savings, if any, in U.S. federal, state and local and foreign income taxes that the Company is deemed to realize as a result of (a) each exchange of interests in PWP OpCo for cash or stock of the Company and certain other transactions and (b) payments made under the tax receivable agreement. See Note 16—Related Party Transactions in the notes to the condensed consolidated financial statements included elsewhere in the Form 10-Q for further information as well as the expected timing of payments.</w:t>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Other Contractual Obligations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various non-cancelable operating leases in connection with the leases of our office spaces and equipment. See Note 4—Leases in the notes to condensed consolidated financial statements included elsewhere in this Form 10-Q for further information as well as the expected timing of payments. The Company signed new lease agreements for the London office and the New York office spaces, which expand our square footage meaningfully in both locations in order to accommodate our anticipated growth. This expansion increased our contractual obligations as well as required capital contributions towards construction of these spaces (mitigated in part by free rent periods at both locations). Construction of the London space was completed in February 2023 and completion of the New York space is expected by the end of 2023. As of March 31, 2023, the Company estimates spending approximately $16 million to complete the construction of the New York space, net of tenant improvement allowances.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40"/>
        <w:rPr>
          <w:rFonts w:ascii="Times New Roman;sans-serif" w:hAnsi="Times New Roman;sans-serif"/>
          <w:b/>
          <w:color w:val="000000"/>
          <w:sz w:val="20"/>
        </w:rPr>
      </w:pPr>
      <w:r>
        <w:rPr>
          <w:rFonts w:ascii="Times New Roman;sans-serif" w:hAnsi="Times New Roman;sans-serif"/>
          <w:b/>
          <w:color w:val="000000"/>
          <w:sz w:val="20"/>
        </w:rPr>
        <w:t>Market Risk and Credit Risk</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not capital-intensive and we do not invest in derivative instruments. We are not subject to significant market risk (including interest rate risk and commodity price risk) or significant credit risk.</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99085"/>
                <wp:effectExtent l="0" t="0" r="0" b="0"/>
                <wp:wrapNone/>
                <wp:docPr id="35" name="Frame35"/>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240" w:after="240"/>
        <w:ind w:left="0" w:right="0" w:firstLine="720"/>
        <w:jc w:val="both"/>
        <w:rPr/>
      </w:pPr>
      <w:r>
        <w:rPr/>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Risks Related to Cash and Cash Equivalents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and cash equivalents include any short-term highly liquid investments that are readily convertible to known amounts of cash and have original maturities of three months or less from the date of purchase. Cash is maintained in U.S. and non-U.S. bank accounts. Most U.S. and U.K. account balances exceed the FDIC and FSCS coverage limits. We believe our cash and cash equivalents are not subject to any material interest rate risk, equity price risk, credit risk or other market risk. </w:t>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Credit Risk</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regularly review our accounts receivable and allowance for credit losses by considering factors such as historical experience, credit quality, age of the accounts receivable, and the current economic conditions that may affect a client’s ability to pay such amounts owed to the Company. We maintain an allowance for credit losses that, in our opinion, provides for an adequate reserve to cover current expected credit losses. Refer to Note 3—Revenue and Receivables from Contracts with Customers in the notes to condensed consolidated financial statements included elsewhere in this Form 10-Q for further information.</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investments, we manage our credit risk exposure by holding investments primarily with investment grade credit quality. As of March 31, 2023, the Company held investments of $25.0 million in U.S. Treasury securities with maturities of less than 12 months.</w:t>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Exchange Rate Risk</w:t>
      </w:r>
    </w:p>
    <w:p>
      <w:pPr>
        <w:pStyle w:val="TextBody"/>
        <w:spacing w:lineRule="auto" w:line="240" w:before="240" w:after="240"/>
        <w:ind w:left="0" w:right="0" w:firstLine="720"/>
        <w:jc w:val="both"/>
        <w:rPr/>
      </w:pPr>
      <w:r>
        <w:rPr>
          <w:rFonts w:ascii="Times New Roman;sans-serif" w:hAnsi="Times New Roman;sans-serif"/>
          <w:b w:val="false"/>
          <w:color w:val="000000"/>
          <w:sz w:val="20"/>
        </w:rPr>
        <w:t>The Company is exposed to exchange rate risk as a result of having foreign subsidiaries with non-U.S. dollar functional currencies as well as from entering into transactions and holding monetary assets and liabilities that are not denominated in the functional currency of its operating subsidiaries. Specifically, the reported amounts in our consolidated financial statements may be affected by movements in the rate of exchange between the pound sterling, Euro, and Canadian dollar and our reporting currency, the U.S. dollar.</w:t>
      </w:r>
      <w:r>
        <w:rPr>
          <w:color w:val="000000"/>
        </w:rPr>
        <w:t xml:space="preserve"> </w:t>
      </w:r>
      <w:r>
        <w:rPr>
          <w:rFonts w:ascii="Times New Roman;sans-serif" w:hAnsi="Times New Roman;sans-serif"/>
          <w:b w:val="false"/>
          <w:color w:val="000000"/>
          <w:sz w:val="20"/>
        </w:rPr>
        <w:t>For the three months ended March 31, 2023 and 2022, the net impact of non-functional currency related transaction gains and losses recorded in Other income (expense) on our Condensed Consolidated Statements of Operations was a $1.1 million loss and $1.4 million gain, respectively, primarily related to U.S. dollar-denominated cash and intercompany receivables held by our foreign subsidiaries as the U.S. dollar strengthened. For the three months ended March 31, 2023 and 2022, the net impact of the fluctuation of foreign currencies recorded in Foreign currency translation gain (loss) within our Condensed Consolidated Statements of Comprehensive Income (Loss) was a $1.6 million gain and $2.1 million loss, respectively. We have not entered into any transactions to hedge our exposure to these foreign currency fluctuations using derivative instruments or other methods but may do so if we deem appropriate in the future.</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held balances of $24.9 million of non-U.S. dollar denominated currencies, composed of pound sterling, the Euro, and Canadian dollars.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40"/>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should be read together with the section entitled “Management’s Discussion and Analysis of Financial Condition and Results of Operations” contained in the Company’s Annual Report on Form 10-K filed on February 28, 2023 regarding these critical accounting estimates. For changes to our critical accounting estimates during the three months ended March 31, 2023, refer to Note 2—Summary of Significant Accounting Policies in the notes to condensed consolidated financial statements included elsewhere in this Form 10-Q.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4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Quantitative and qualitative disclosures about market risk are set forth above in “Management’s Discussion and Analysis of Financial Condition and Results of Operations – Market Risk and Credit Risk”.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4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Item 4 includes information concerning the controls and controls evaluation referred to in the certifications of our Chief Executive Officer and Chief Financial Officer required by Rule 13a-14 of the Securities Exchange Act of 1934, as amended (the “Exchange Act”) included in this Quarterly Report on Form 10-Q as Exhibits 31.1 and 31.2.</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99085"/>
                <wp:effectExtent l="0" t="0" r="0" b="0"/>
                <wp:wrapNone/>
                <wp:docPr id="36" name="Frame36"/>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240" w:after="240"/>
        <w:ind w:left="0" w:right="0" w:firstLine="720"/>
        <w:jc w:val="both"/>
        <w:rPr/>
      </w:pPr>
      <w:r>
        <w:rPr/>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Management’s Evaluation of Disclosure Controls and Procedures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Disclosure controls and procedures (as defined in Rules 13a-15(e) and 15d-15(e) under the Exchange Act) are designed to ensure that information required to be disclosed in reports filed or submitted under the Exchange Act is recorded, processed, summarized and reported within the time periods specified in SEC rules and forms, and that such information is accumulated and communicated to management to allow timely decisions regarding required disclosures. </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preparation of this Quarterly Report on Form 10-Q, our management, under the supervision and with the participation of our principal executive officer and principal financial officer, evaluated the effectiveness of the design and operation of our disclosure controls and procedures as of March 31, 2023. Based on that evaluation, our principal executive officer and principal financial officer concluded that our disclosure controls and procedures were effective to provide reasonable assurance that the information required to be disclosed in reports that we file or submit under the Exchange Act is accumulated and communicated to management, and made known to our principal executive officer and principle financial officer, on a timely basis to ensure that it is recorded, processed, summarized and reported within the time periods specified in the SEC’s rules and forms.</w:t>
      </w:r>
    </w:p>
    <w:p>
      <w:pPr>
        <w:pStyle w:val="TextBody"/>
        <w:spacing w:lineRule="auto" w:line="240" w:before="240" w:after="240"/>
        <w:rPr>
          <w:rFonts w:ascii="Times New Roman;sans-serif" w:hAnsi="Times New Roman;sans-serif"/>
          <w:b/>
          <w:i/>
          <w:color w:val="000000"/>
          <w:sz w:val="20"/>
        </w:rPr>
      </w:pPr>
      <w:r>
        <w:rPr>
          <w:rFonts w:ascii="Times New Roman;sans-serif" w:hAnsi="Times New Roman;sans-serif"/>
          <w:b/>
          <w:i/>
          <w:color w:val="000000"/>
          <w:sz w:val="20"/>
        </w:rPr>
        <w:t xml:space="preserve">Changes in Internal Control over Financial Reporting </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Exchange Act Rules 13a-15(f) and 15d-15(f)) during the three months ended March 31, 2023 that materially affected, or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99085"/>
                <wp:effectExtent l="0" t="0" r="0" b="0"/>
                <wp:wrapNone/>
                <wp:docPr id="37" name="Frame37"/>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240" w:after="240"/>
        <w:ind w:left="0" w:right="0" w:firstLine="720"/>
        <w:jc w:val="both"/>
        <w:rPr/>
      </w:pPr>
      <w:r>
        <w:rPr/>
      </w:r>
    </w:p>
    <w:p>
      <w:pPr>
        <w:pStyle w:val="TextBody"/>
        <w:spacing w:lineRule="auto" w:line="240" w:before="240" w:after="240"/>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4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now, and from time to time may in the future be, named as a defendant in legal actions relating to transactions conducted in the ordinary course of business. We may also become involved in other judicial, regulatory and arbitration proceedings concerning matters arising in connection with the conduct of our businesses. Some of these matters may involve claims of substantial amounts.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details on the current legal proceedings, refer to Note 17—Commitments and Contingencies in the notes to condensed consolidated financial statements included elsewhere in this Form 10-Q.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4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40" w:before="24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or updates to our risk factors that were previously disclosed in “Part I. Item 1A. Risk Factors” in the Company’s Annual Report on Form 10-K for the year ended December 31, 2022 as filed with the SEC on February 28,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40"/>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40" w:before="240" w:after="240"/>
        <w:jc w:val="both"/>
        <w:rPr>
          <w:rFonts w:ascii="Times New Roman;sans-serif" w:hAnsi="Times New Roman;sans-serif"/>
          <w:b/>
          <w:i/>
          <w:color w:val="000000"/>
          <w:sz w:val="20"/>
        </w:rPr>
      </w:pPr>
      <w:r>
        <w:rPr>
          <w:rFonts w:ascii="Times New Roman;sans-serif" w:hAnsi="Times New Roman;sans-serif"/>
          <w:b/>
          <w:i/>
          <w:color w:val="000000"/>
          <w:sz w:val="20"/>
        </w:rPr>
        <w:t>Repurchases of Equity Securities</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repurchase of equity securities during the three months ended March 31, 2023:</w:t>
      </w:r>
    </w:p>
    <w:tbl>
      <w:tblPr>
        <w:tblW w:w="10205" w:type="dxa"/>
        <w:jc w:val="left"/>
        <w:tblInd w:w="0" w:type="dxa"/>
        <w:tblCellMar>
          <w:top w:w="28" w:type="dxa"/>
          <w:left w:w="28" w:type="dxa"/>
          <w:bottom w:w="28" w:type="dxa"/>
          <w:right w:w="28" w:type="dxa"/>
        </w:tblCellMar>
      </w:tblPr>
      <w:tblGrid>
        <w:gridCol w:w="504"/>
        <w:gridCol w:w="375"/>
        <w:gridCol w:w="379"/>
        <w:gridCol w:w="109"/>
        <w:gridCol w:w="109"/>
        <w:gridCol w:w="109"/>
        <w:gridCol w:w="649"/>
        <w:gridCol w:w="498"/>
        <w:gridCol w:w="500"/>
        <w:gridCol w:w="109"/>
        <w:gridCol w:w="109"/>
        <w:gridCol w:w="109"/>
        <w:gridCol w:w="261"/>
        <w:gridCol w:w="764"/>
        <w:gridCol w:w="135"/>
        <w:gridCol w:w="109"/>
        <w:gridCol w:w="109"/>
        <w:gridCol w:w="109"/>
        <w:gridCol w:w="885"/>
        <w:gridCol w:w="648"/>
        <w:gridCol w:w="650"/>
        <w:gridCol w:w="109"/>
        <w:gridCol w:w="109"/>
        <w:gridCol w:w="109"/>
        <w:gridCol w:w="359"/>
        <w:gridCol w:w="2022"/>
        <w:gridCol w:w="268"/>
      </w:tblGrid>
      <w:tr>
        <w:trPr/>
        <w:tc>
          <w:tcPr>
            <w:tcW w:w="504"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2022"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r>
      <w:tr>
        <w:trPr/>
        <w:tc>
          <w:tcPr>
            <w:tcW w:w="1258"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7" w:type="dxa"/>
            <w:gridSpan w:val="3"/>
            <w:tcBorders/>
            <w:shd w:fill="auto" w:val="clear"/>
            <w:tcMar>
              <w:top w:w="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Repurchased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auto" w:val="clear"/>
            <w:tcMar>
              <w:top w:w="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Unit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3" w:type="dxa"/>
            <w:gridSpan w:val="3"/>
            <w:tcBorders/>
            <w:shd w:fill="auto" w:val="clear"/>
            <w:tcMar>
              <w:top w:w="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as Part of Publicly Announced Plans or Programs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9" w:type="dxa"/>
            <w:gridSpan w:val="3"/>
            <w:tcBorders/>
            <w:shd w:fill="auto" w:val="clear"/>
            <w:tcMar>
              <w:top w:w="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Approximate Dollar Value of Shares yet to be Purchased Under the Publicly Announced Plans or Programs</w:t>
            </w:r>
          </w:p>
        </w:tc>
      </w:tr>
      <w:tr>
        <w:trPr/>
        <w:tc>
          <w:tcPr>
            <w:tcW w:w="1258"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2023 - January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471,795 </w:t>
            </w:r>
          </w:p>
        </w:tc>
        <w:tc>
          <w:tcPr>
            <w:tcW w:w="500"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135"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3"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471,795 </w:t>
            </w:r>
          </w:p>
        </w:tc>
        <w:tc>
          <w:tcPr>
            <w:tcW w:w="650"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126,578,402 </w:t>
            </w:r>
          </w:p>
        </w:tc>
        <w:tc>
          <w:tcPr>
            <w:tcW w:w="268"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58"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2023 - February 28,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462,227 </w:t>
            </w:r>
          </w:p>
        </w:tc>
        <w:tc>
          <w:tcPr>
            <w:tcW w:w="5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462,227 </w:t>
            </w:r>
          </w:p>
        </w:tc>
        <w:tc>
          <w:tcPr>
            <w:tcW w:w="6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1"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121,569,165 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58" w:type="dxa"/>
            <w:gridSpan w:val="3"/>
            <w:tcBorders/>
            <w:shd w:fill="CCEE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2023 -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523,282 </w:t>
            </w:r>
          </w:p>
        </w:tc>
        <w:tc>
          <w:tcPr>
            <w:tcW w:w="5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523,282 </w:t>
            </w:r>
          </w:p>
        </w:tc>
        <w:tc>
          <w:tcPr>
            <w:tcW w:w="6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1"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116,558,706 </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58" w:type="dxa"/>
            <w:gridSpan w:val="3"/>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1,457,304 </w:t>
            </w:r>
          </w:p>
        </w:tc>
        <w:tc>
          <w:tcPr>
            <w:tcW w:w="50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3"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1,457,304 </w:t>
            </w:r>
          </w:p>
        </w:tc>
        <w:tc>
          <w:tcPr>
            <w:tcW w:w="6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40"/>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40" w:before="24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40"/>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40" w:before="24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40"/>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99085"/>
                <wp:effectExtent l="0" t="0" r="0" b="0"/>
                <wp:wrapNone/>
                <wp:docPr id="38" name="Frame38"/>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240" w:after="240"/>
        <w:ind w:left="0" w:right="0" w:firstLine="720"/>
        <w:jc w:val="both"/>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 xml:space="preserve">Item 6. Exhibits. </w:t>
      </w:r>
    </w:p>
    <w:tbl>
      <w:tblPr>
        <w:tblW w:w="10205" w:type="dxa"/>
        <w:jc w:val="left"/>
        <w:tblInd w:w="0" w:type="dxa"/>
        <w:tblCellMar>
          <w:top w:w="28" w:type="dxa"/>
          <w:left w:w="28" w:type="dxa"/>
          <w:bottom w:w="28" w:type="dxa"/>
          <w:right w:w="28" w:type="dxa"/>
        </w:tblCellMar>
      </w:tblPr>
      <w:tblGrid>
        <w:gridCol w:w="304"/>
        <w:gridCol w:w="267"/>
        <w:gridCol w:w="268"/>
        <w:gridCol w:w="109"/>
        <w:gridCol w:w="109"/>
        <w:gridCol w:w="109"/>
        <w:gridCol w:w="2636"/>
        <w:gridCol w:w="2636"/>
        <w:gridCol w:w="3767"/>
      </w:tblGrid>
      <w:tr>
        <w:trPr/>
        <w:tc>
          <w:tcPr>
            <w:tcW w:w="304"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6" w:type="dxa"/>
            <w:tcBorders/>
            <w:shd w:fill="auto" w:val="clear"/>
            <w:vAlign w:val="center"/>
          </w:tcPr>
          <w:p>
            <w:pPr>
              <w:pStyle w:val="TableContents"/>
              <w:spacing w:before="0" w:after="283"/>
              <w:rPr>
                <w:sz w:val="4"/>
                <w:szCs w:val="4"/>
              </w:rPr>
            </w:pPr>
            <w:r>
              <w:rPr>
                <w:sz w:val="4"/>
                <w:szCs w:val="4"/>
              </w:rPr>
            </w:r>
          </w:p>
        </w:tc>
        <w:tc>
          <w:tcPr>
            <w:tcW w:w="2636" w:type="dxa"/>
            <w:tcBorders/>
            <w:shd w:fill="auto" w:val="clear"/>
            <w:vAlign w:val="center"/>
          </w:tcPr>
          <w:p>
            <w:pPr>
              <w:pStyle w:val="TableContents"/>
              <w:spacing w:before="0" w:after="283"/>
              <w:rPr>
                <w:sz w:val="4"/>
                <w:szCs w:val="4"/>
              </w:rPr>
            </w:pPr>
            <w:r>
              <w:rPr>
                <w:sz w:val="4"/>
                <w:szCs w:val="4"/>
              </w:rPr>
            </w:r>
          </w:p>
        </w:tc>
        <w:tc>
          <w:tcPr>
            <w:tcW w:w="3767" w:type="dxa"/>
            <w:tcBorders/>
            <w:shd w:fill="auto" w:val="clear"/>
            <w:vAlign w:val="center"/>
          </w:tcPr>
          <w:p>
            <w:pPr>
              <w:pStyle w:val="TableContents"/>
              <w:spacing w:before="0" w:after="283"/>
              <w:rPr>
                <w:sz w:val="4"/>
                <w:szCs w:val="4"/>
              </w:rPr>
            </w:pPr>
            <w:r>
              <w:rPr>
                <w:sz w:val="4"/>
                <w:szCs w:val="4"/>
              </w:rPr>
            </w:r>
          </w:p>
        </w:tc>
      </w:tr>
      <w:tr>
        <w:trPr/>
        <w:tc>
          <w:tcPr>
            <w:tcW w:w="839" w:type="dxa"/>
            <w:gridSpan w:val="3"/>
            <w:tcBorders/>
            <w:shd w:fill="auto" w:val="clear"/>
            <w:tcMar>
              <w:top w:w="0" w:type="dxa"/>
              <w:left w:w="0" w:type="dxa"/>
              <w:bottom w:w="0" w:type="dxa"/>
              <w:right w:w="0" w:type="dxa"/>
            </w:tcMar>
            <w:vAlign w:val="center"/>
          </w:tcPr>
          <w:p>
            <w:pPr>
              <w:pStyle w:val="TableContents"/>
              <w:spacing w:lineRule="auto" w:line="312" w:before="14" w:after="283"/>
              <w:jc w:val="center"/>
              <w:rPr>
                <w:rFonts w:ascii="Times New Roman;sans-serif" w:hAnsi="Times New Roman;sans-serif"/>
                <w:b/>
                <w:color w:val="000000"/>
                <w:sz w:val="20"/>
              </w:rPr>
            </w:pPr>
            <w:r>
              <w:rPr>
                <w:rFonts w:ascii="Times New Roman;sans-serif" w:hAnsi="Times New Roman;sans-serif"/>
                <w:b/>
                <w:color w:val="000000"/>
                <w:sz w:val="20"/>
              </w:rPr>
              <w:t>Exhibit</w:t>
            </w:r>
          </w:p>
          <w:p>
            <w:pPr>
              <w:pStyle w:val="TableContents"/>
              <w:spacing w:lineRule="auto" w:line="312" w:before="14" w:after="283"/>
              <w:jc w:val="center"/>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9" w:type="dxa"/>
            <w:gridSpan w:val="3"/>
            <w:tcBorders/>
            <w:shd w:fill="auto" w:val="clear"/>
            <w:tcMar>
              <w:top w:w="0" w:type="dxa"/>
              <w:left w:w="0" w:type="dxa"/>
              <w:bottom w:w="0" w:type="dxa"/>
              <w:right w:w="0" w:type="dxa"/>
            </w:tcMar>
            <w:vAlign w:val="center"/>
          </w:tcPr>
          <w:p>
            <w:pPr>
              <w:pStyle w:val="TableContents"/>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3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14" w:after="283"/>
              <w:jc w:val="left"/>
              <w:rPr/>
            </w:pPr>
            <w:hyperlink w:anchor="pwpq1202310-qexx311.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39"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9" w:type="dxa"/>
            <w:gridSpan w:val="3"/>
            <w:tcBorders/>
            <w:shd w:fill="auto" w:val="clear"/>
            <w:tcMar>
              <w:top w:w="0" w:type="dxa"/>
              <w:left w:w="0" w:type="dxa"/>
              <w:bottom w:w="0" w:type="dxa"/>
              <w:right w:w="0" w:type="dxa"/>
            </w:tcMar>
            <w:vAlign w:val="center"/>
          </w:tcPr>
          <w:p>
            <w:pPr>
              <w:pStyle w:val="TableContents"/>
              <w:spacing w:lineRule="auto" w:line="312" w:before="14" w:after="283"/>
              <w:jc w:val="left"/>
              <w:rPr/>
            </w:pPr>
            <w:hyperlink w:anchor="pwpq1202310-qexx312.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39"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9" w:type="dxa"/>
            <w:gridSpan w:val="3"/>
            <w:tcBorders/>
            <w:shd w:fill="auto" w:val="clear"/>
            <w:tcMar>
              <w:top w:w="0" w:type="dxa"/>
              <w:left w:w="0" w:type="dxa"/>
              <w:bottom w:w="0" w:type="dxa"/>
              <w:right w:w="0" w:type="dxa"/>
            </w:tcMar>
            <w:vAlign w:val="center"/>
          </w:tcPr>
          <w:p>
            <w:pPr>
              <w:pStyle w:val="TableContents"/>
              <w:spacing w:lineRule="auto" w:line="312" w:before="14" w:after="283"/>
              <w:jc w:val="left"/>
              <w:rPr/>
            </w:pPr>
            <w:hyperlink w:anchor="pwpq1202310-qexx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r>
      <w:tr>
        <w:trPr/>
        <w:tc>
          <w:tcPr>
            <w:tcW w:w="839"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9" w:type="dxa"/>
            <w:gridSpan w:val="3"/>
            <w:tcBorders/>
            <w:shd w:fill="auto" w:val="clear"/>
            <w:tcMar>
              <w:top w:w="0" w:type="dxa"/>
              <w:left w:w="0" w:type="dxa"/>
              <w:bottom w:w="0" w:type="dxa"/>
              <w:right w:w="0" w:type="dxa"/>
            </w:tcMar>
            <w:vAlign w:val="center"/>
          </w:tcPr>
          <w:p>
            <w:pPr>
              <w:pStyle w:val="TableContents"/>
              <w:spacing w:lineRule="auto" w:line="312" w:before="14" w:after="283"/>
              <w:jc w:val="left"/>
              <w:rPr/>
            </w:pPr>
            <w:hyperlink w:anchor="pwpq1202310-qexx322.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r>
      <w:tr>
        <w:trPr/>
        <w:tc>
          <w:tcPr>
            <w:tcW w:w="839"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9"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XBRL tags are embedded within the Inline XBRL document.</w:t>
            </w:r>
          </w:p>
        </w:tc>
      </w:tr>
      <w:tr>
        <w:trPr/>
        <w:tc>
          <w:tcPr>
            <w:tcW w:w="839"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9"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39"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9"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39"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9"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39"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9"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39"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9"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39"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9"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r>
        <w:trPr/>
        <w:tc>
          <w:tcPr>
            <w:tcW w:w="8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03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240" w:after="240"/>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spacing w:lineRule="auto" w:line="240" w:before="240" w:after="240"/>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240" w:after="240"/>
        <w:ind w:left="0" w:right="0" w:firstLine="720"/>
        <w:jc w:val="both"/>
        <w:rPr/>
      </w:pPr>
      <w:r>
        <w:rPr/>
      </w:r>
    </w:p>
    <w:p>
      <w:pPr>
        <w:pStyle w:val="TextBody"/>
        <w:spacing w:lineRule="auto" w:line="240" w:before="240" w:after="24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40" w:before="24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121" w:type="dxa"/>
        <w:jc w:val="left"/>
        <w:tblInd w:w="0" w:type="dxa"/>
        <w:tblCellMar>
          <w:top w:w="28" w:type="dxa"/>
          <w:left w:w="28" w:type="dxa"/>
          <w:bottom w:w="28" w:type="dxa"/>
          <w:right w:w="28" w:type="dxa"/>
        </w:tblCellMar>
      </w:tblPr>
      <w:tblGrid>
        <w:gridCol w:w="591"/>
        <w:gridCol w:w="520"/>
        <w:gridCol w:w="523"/>
        <w:gridCol w:w="328"/>
        <w:gridCol w:w="328"/>
        <w:gridCol w:w="328"/>
        <w:gridCol w:w="328"/>
        <w:gridCol w:w="328"/>
        <w:gridCol w:w="328"/>
        <w:gridCol w:w="731"/>
        <w:gridCol w:w="731"/>
        <w:gridCol w:w="1057"/>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7" w:type="dxa"/>
            <w:gridSpan w:val="9"/>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PERELLA WEINBERG PARTNERS</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c>
        <w:tc>
          <w:tcPr>
            <w:tcW w:w="984"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ANDREW BEDNAR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Andrew Bednar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Chief Executive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c>
        <w:tc>
          <w:tcPr>
            <w:tcW w:w="984"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GARY S. BARANCIK</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Gary S. Barancik</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Chief Financial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312"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99085"/>
                <wp:effectExtent l="0" t="0" r="0" b="0"/>
                <wp:wrapNone/>
                <wp:docPr id="40" name="Frame40"/>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RULES 13a-14(a) AND 15d-14(a) UNDER THE SECURITIES EXCHANGE ACT OF 1934,</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Andrew Bednar, certify that:</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Perella Weinberg Partners;</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870" w:type="dxa"/>
        <w:jc w:val="left"/>
        <w:tblInd w:w="0" w:type="dxa"/>
        <w:tblCellMar>
          <w:top w:w="28" w:type="dxa"/>
          <w:left w:w="28" w:type="dxa"/>
          <w:bottom w:w="28" w:type="dxa"/>
          <w:right w:w="28" w:type="dxa"/>
        </w:tblCellMar>
      </w:tblPr>
      <w:tblGrid>
        <w:gridCol w:w="591"/>
        <w:gridCol w:w="520"/>
        <w:gridCol w:w="523"/>
        <w:gridCol w:w="109"/>
        <w:gridCol w:w="109"/>
        <w:gridCol w:w="109"/>
        <w:gridCol w:w="134"/>
        <w:gridCol w:w="134"/>
        <w:gridCol w:w="136"/>
        <w:gridCol w:w="733"/>
        <w:gridCol w:w="733"/>
        <w:gridCol w:w="1039"/>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ANDREW BEDNAR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Andrew Bednar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Executive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RULES 13a-14(a) AND 15d-14(a) UNDER THE SECURITIES EXCHANGE ACT OF 1934,</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Gary S. Barancik, certify that:</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Perella Weinberg Partners;</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885" w:type="dxa"/>
        <w:jc w:val="left"/>
        <w:tblInd w:w="0" w:type="dxa"/>
        <w:tblCellMar>
          <w:top w:w="28" w:type="dxa"/>
          <w:left w:w="28" w:type="dxa"/>
          <w:bottom w:w="28" w:type="dxa"/>
          <w:right w:w="28" w:type="dxa"/>
        </w:tblCellMar>
      </w:tblPr>
      <w:tblGrid>
        <w:gridCol w:w="591"/>
        <w:gridCol w:w="520"/>
        <w:gridCol w:w="523"/>
        <w:gridCol w:w="109"/>
        <w:gridCol w:w="109"/>
        <w:gridCol w:w="109"/>
        <w:gridCol w:w="134"/>
        <w:gridCol w:w="134"/>
        <w:gridCol w:w="136"/>
        <w:gridCol w:w="737"/>
        <w:gridCol w:w="737"/>
        <w:gridCol w:w="1046"/>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GARY S. BARANCIK</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Gary S. Barancik</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Financial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for the period ended March 31, 2023, as filed by Perella Weinberg Partners (the “Company”) with the Securities and Exchange Commission on the date hereof (the “Report”), I certify, pursuant to 18 U.S.C. § 1350, as adopted pursuant to § 906 of the Sarbanes-Oxley Act of 2002, that, to the best of my knowledge:</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870" w:type="dxa"/>
        <w:jc w:val="left"/>
        <w:tblInd w:w="0" w:type="dxa"/>
        <w:tblCellMar>
          <w:top w:w="28" w:type="dxa"/>
          <w:left w:w="28" w:type="dxa"/>
          <w:bottom w:w="28" w:type="dxa"/>
          <w:right w:w="28" w:type="dxa"/>
        </w:tblCellMar>
      </w:tblPr>
      <w:tblGrid>
        <w:gridCol w:w="591"/>
        <w:gridCol w:w="520"/>
        <w:gridCol w:w="523"/>
        <w:gridCol w:w="109"/>
        <w:gridCol w:w="109"/>
        <w:gridCol w:w="109"/>
        <w:gridCol w:w="134"/>
        <w:gridCol w:w="134"/>
        <w:gridCol w:w="136"/>
        <w:gridCol w:w="733"/>
        <w:gridCol w:w="733"/>
        <w:gridCol w:w="1039"/>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ANDREW BEDNAR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Andrew Bednar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Executive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for the period ended March 31, 2023, as filed by Perella Weinberg Partners (the “Company”) with the Securities and Exchange Commission on the date hereof (the “Report”), I certify, pursuant to 18 U.S.C. § 1350, as adopted pursuant to § 906 of the Sarbanes-Oxley Act of 2002, that, to the best of my knowledge:</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885" w:type="dxa"/>
        <w:jc w:val="left"/>
        <w:tblInd w:w="0" w:type="dxa"/>
        <w:tblCellMar>
          <w:top w:w="28" w:type="dxa"/>
          <w:left w:w="28" w:type="dxa"/>
          <w:bottom w:w="28" w:type="dxa"/>
          <w:right w:w="28" w:type="dxa"/>
        </w:tblCellMar>
      </w:tblPr>
      <w:tblGrid>
        <w:gridCol w:w="591"/>
        <w:gridCol w:w="520"/>
        <w:gridCol w:w="523"/>
        <w:gridCol w:w="109"/>
        <w:gridCol w:w="109"/>
        <w:gridCol w:w="109"/>
        <w:gridCol w:w="134"/>
        <w:gridCol w:w="134"/>
        <w:gridCol w:w="136"/>
        <w:gridCol w:w="737"/>
        <w:gridCol w:w="737"/>
        <w:gridCol w:w="1046"/>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GARY S. BARANCIK</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Gary S. Barancik</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Financial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19637</Words>
  <CharactersWithSpaces>130495</CharactersWithSpaces>
  <Paragraphs>2156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