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-600710</wp:posOffset>
            </wp:positionV>
            <wp:extent cx="56515" cy="614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401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01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Bednar Andrew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PWP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Co-President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767 FIFTH AVENUE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08/31/2021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2,350,000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08/31/2021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2,350,000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-1612265</wp:posOffset>
            </wp:positionV>
            <wp:extent cx="28575" cy="161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00" w:hanging="4"/>
        <w:spacing w:after="0" w:line="246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("PSU") represents a contingent right to receive one share of Class A common stock. PSUs vest based on the achievement of (i) service-based vesting conditions that are satisfied in two equal installments on the third and fifth anniversaries of the grant date, subject to a 50% holdback after the first vesting date, and (ii) performance-based vesting conditions that are satisfied upon the achievement, as measured on the last calendar day of each month, of closing stock prices equal to $15, $20, $25 and $30 (subject to linear interpolation) for 20 out of any 30 consecutive trading days, in each case prior to the fifth anniversary of the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Mark Polemeni,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5080</wp:posOffset>
            </wp:positionV>
            <wp:extent cx="131127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-13335</wp:posOffset>
            </wp:positionV>
            <wp:extent cx="28892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15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09/01/2021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5080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7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860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2021-09-01T15:30:51Z</dcterms:created>
  <dcterms:modified xsi:type="dcterms:W3CDTF">2021-09-01T15:30:51Z</dcterms:modified>
</cp:coreProperties>
</file>