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jc w:val="both"/>
        <w:ind w:left="1300" w:right="8500" w:firstLine="4"/>
        <w:spacing w:after="0" w:line="532" w:lineRule="auto"/>
        <w:tabs>
          <w:tab w:leader="none" w:pos="1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 [_] Rule 13d-1(c)</w:t>
      </w:r>
    </w:p>
    <w:p>
      <w:pPr>
        <w:ind w:left="1300"/>
        <w:spacing w:after="0"/>
        <w:rPr>
          <w:rFonts w:ascii="Arial" w:cs="Arial" w:eastAsia="Arial" w:hAnsi="Arial"/>
          <w:sz w:val="18"/>
          <w:szCs w:val="18"/>
          <w:color w:val="auto"/>
        </w:rPr>
      </w:pPr>
      <w:r>
        <w:rPr>
          <w:rFonts w:ascii="Arial" w:cs="Arial" w:eastAsia="Arial" w:hAnsi="Arial"/>
          <w:sz w:val="20"/>
          <w:szCs w:val="20"/>
          <w:color w:val="auto"/>
        </w:rPr>
        <w:t>[_] Rule 13d-1(d)</w:t>
      </w:r>
    </w:p>
    <w:p>
      <w:pPr>
        <w:spacing w:after="0" w:line="234"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ind w:firstLine="8"/>
        <w:spacing w:after="0" w:line="297" w:lineRule="auto"/>
        <w:tabs>
          <w:tab w:leader="none" w:pos="16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5"/>
        </w:trPr>
        <w:tc>
          <w:tcPr>
            <w:tcW w:w="1720" w:type="dxa"/>
            <w:vAlign w:val="bottom"/>
          </w:tcPr>
          <w:p>
            <w:pPr>
              <w:spacing w:after="0"/>
              <w:rPr>
                <w:sz w:val="20"/>
                <w:szCs w:val="20"/>
                <w:color w:val="auto"/>
              </w:rPr>
            </w:pPr>
            <w:r>
              <w:rPr>
                <w:rFonts w:ascii="Arial" w:cs="Arial" w:eastAsia="Arial" w:hAnsi="Arial"/>
                <w:sz w:val="20"/>
                <w:szCs w:val="20"/>
                <w:color w:val="auto"/>
              </w:rPr>
              <w:t>CUSIP No</w:t>
            </w:r>
          </w:p>
        </w:tc>
        <w:tc>
          <w:tcPr>
            <w:tcW w:w="25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71367G102</w:t>
            </w:r>
          </w:p>
        </w:tc>
      </w:tr>
    </w:tbl>
    <w:p>
      <w:pPr>
        <w:spacing w:after="0" w:line="226" w:lineRule="exact"/>
        <w:rPr>
          <w:sz w:val="20"/>
          <w:szCs w:val="20"/>
          <w:color w:val="auto"/>
        </w:rPr>
      </w:pPr>
    </w:p>
    <w:p>
      <w:pPr>
        <w:ind w:left="900" w:hanging="895"/>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Samlyn Capital, LLC</w:t>
      </w:r>
    </w:p>
    <w:p>
      <w:pPr>
        <w:ind w:left="900" w:hanging="895"/>
        <w:spacing w:after="0"/>
        <w:tabs>
          <w:tab w:leader="none" w:pos="9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900" w:hanging="895"/>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99"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VOTING POWER 2,993,365</w:t>
      </w:r>
    </w:p>
    <w:p>
      <w:pPr>
        <w:ind w:left="900" w:right="7280" w:hanging="895"/>
        <w:spacing w:after="0" w:line="507"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DISPOSITIVE POWER 2,993,365</w:t>
      </w:r>
    </w:p>
    <w:p>
      <w:pPr>
        <w:ind w:left="900" w:right="2560" w:hanging="895"/>
        <w:spacing w:after="0" w:line="500"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2,993,365</w:t>
      </w:r>
    </w:p>
    <w:p>
      <w:pPr>
        <w:ind w:left="900" w:right="1540" w:hanging="895"/>
        <w:spacing w:after="0" w:line="247" w:lineRule="auto"/>
        <w:tabs>
          <w:tab w:leader="none" w:pos="9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900" w:right="4200" w:hanging="895"/>
        <w:spacing w:after="0" w:line="507" w:lineRule="auto"/>
        <w:tabs>
          <w:tab w:leader="none" w:pos="9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(9) 7.0%</w:t>
      </w:r>
    </w:p>
    <w:p>
      <w:pPr>
        <w:ind w:left="900" w:right="5000" w:hanging="895"/>
        <w:spacing w:after="0" w:line="528" w:lineRule="auto"/>
        <w:tabs>
          <w:tab w:leader="none" w:pos="9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933"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5"/>
        </w:trPr>
        <w:tc>
          <w:tcPr>
            <w:tcW w:w="1720" w:type="dxa"/>
            <w:vAlign w:val="bottom"/>
          </w:tcPr>
          <w:p>
            <w:pPr>
              <w:spacing w:after="0"/>
              <w:rPr>
                <w:sz w:val="20"/>
                <w:szCs w:val="20"/>
                <w:color w:val="auto"/>
              </w:rPr>
            </w:pPr>
            <w:r>
              <w:rPr>
                <w:rFonts w:ascii="Arial" w:cs="Arial" w:eastAsia="Arial" w:hAnsi="Arial"/>
                <w:sz w:val="20"/>
                <w:szCs w:val="20"/>
                <w:color w:val="auto"/>
              </w:rPr>
              <w:t>CUSIP No</w:t>
            </w:r>
          </w:p>
        </w:tc>
        <w:tc>
          <w:tcPr>
            <w:tcW w:w="25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71367G102</w:t>
            </w:r>
          </w:p>
        </w:tc>
      </w:tr>
    </w:tbl>
    <w:p>
      <w:pPr>
        <w:spacing w:after="0" w:line="226" w:lineRule="exact"/>
        <w:rPr>
          <w:sz w:val="20"/>
          <w:szCs w:val="20"/>
          <w:color w:val="auto"/>
        </w:rPr>
      </w:pPr>
    </w:p>
    <w:p>
      <w:pPr>
        <w:ind w:left="900" w:hanging="895"/>
        <w:spacing w:after="0"/>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Samlyn, LP</w:t>
      </w:r>
    </w:p>
    <w:p>
      <w:pPr>
        <w:ind w:left="900" w:hanging="895"/>
        <w:spacing w:after="0"/>
        <w:tabs>
          <w:tab w:leader="none" w:pos="9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900" w:hanging="895"/>
        <w:spacing w:after="0"/>
        <w:tabs>
          <w:tab w:leader="none" w:pos="9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99"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SHARED VOTING POWER 2,993,365</w:t>
      </w:r>
    </w:p>
    <w:p>
      <w:pPr>
        <w:ind w:left="900" w:right="7280" w:hanging="895"/>
        <w:spacing w:after="0" w:line="507" w:lineRule="auto"/>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SHARED DISPOSITIVE POWER 2,993,365</w:t>
      </w:r>
    </w:p>
    <w:p>
      <w:pPr>
        <w:ind w:left="900" w:right="2560" w:hanging="895"/>
        <w:spacing w:after="0" w:line="500" w:lineRule="auto"/>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2,993,365</w:t>
      </w:r>
    </w:p>
    <w:p>
      <w:pPr>
        <w:ind w:left="900" w:right="1540" w:hanging="895"/>
        <w:spacing w:after="0" w:line="247" w:lineRule="auto"/>
        <w:tabs>
          <w:tab w:leader="none" w:pos="9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900" w:right="4200" w:hanging="895"/>
        <w:spacing w:after="0" w:line="507" w:lineRule="auto"/>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(9) 7.0%</w:t>
      </w:r>
    </w:p>
    <w:p>
      <w:pPr>
        <w:ind w:left="900" w:right="5000" w:hanging="895"/>
        <w:spacing w:after="0" w:line="528" w:lineRule="auto"/>
        <w:tabs>
          <w:tab w:leader="none" w:pos="9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933"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5"/>
        </w:trPr>
        <w:tc>
          <w:tcPr>
            <w:tcW w:w="1720" w:type="dxa"/>
            <w:vAlign w:val="bottom"/>
          </w:tcPr>
          <w:p>
            <w:pPr>
              <w:spacing w:after="0"/>
              <w:rPr>
                <w:sz w:val="20"/>
                <w:szCs w:val="20"/>
                <w:color w:val="auto"/>
              </w:rPr>
            </w:pPr>
            <w:r>
              <w:rPr>
                <w:rFonts w:ascii="Arial" w:cs="Arial" w:eastAsia="Arial" w:hAnsi="Arial"/>
                <w:sz w:val="20"/>
                <w:szCs w:val="20"/>
                <w:color w:val="auto"/>
              </w:rPr>
              <w:t>CUSIP No</w:t>
            </w:r>
          </w:p>
        </w:tc>
        <w:tc>
          <w:tcPr>
            <w:tcW w:w="25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71367G102</w:t>
            </w:r>
          </w:p>
        </w:tc>
      </w:tr>
    </w:tbl>
    <w:p>
      <w:pPr>
        <w:spacing w:after="0" w:line="226" w:lineRule="exact"/>
        <w:rPr>
          <w:sz w:val="20"/>
          <w:szCs w:val="20"/>
          <w:color w:val="auto"/>
        </w:rPr>
      </w:pPr>
    </w:p>
    <w:p>
      <w:pPr>
        <w:ind w:left="900" w:hanging="895"/>
        <w:spacing w:after="0"/>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20" w:lineRule="exact"/>
        <w:rPr>
          <w:rFonts w:ascii="Arial" w:cs="Arial" w:eastAsia="Arial" w:hAnsi="Arial"/>
          <w:sz w:val="20"/>
          <w:szCs w:val="20"/>
          <w:color w:val="auto"/>
        </w:rPr>
      </w:pPr>
    </w:p>
    <w:p>
      <w:pPr>
        <w:ind w:left="900" w:right="3620"/>
        <w:spacing w:after="0" w:line="503"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Robert Pohly</w:t>
      </w:r>
    </w:p>
    <w:p>
      <w:pPr>
        <w:ind w:left="900" w:hanging="895"/>
        <w:spacing w:after="0"/>
        <w:tabs>
          <w:tab w:leader="none" w:pos="9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6"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(a) [_]</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 [_]</w:t>
      </w:r>
    </w:p>
    <w:p>
      <w:pPr>
        <w:spacing w:after="0" w:line="249" w:lineRule="exact"/>
        <w:rPr>
          <w:sz w:val="20"/>
          <w:szCs w:val="20"/>
          <w:color w:val="auto"/>
        </w:rPr>
      </w:pPr>
    </w:p>
    <w:p>
      <w:pPr>
        <w:ind w:left="900" w:hanging="895"/>
        <w:spacing w:after="0"/>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99" w:lineRule="exact"/>
        <w:rPr>
          <w:rFonts w:ascii="Arial" w:cs="Arial" w:eastAsia="Arial" w:hAnsi="Arial"/>
          <w:sz w:val="20"/>
          <w:szCs w:val="20"/>
          <w:color w:val="auto"/>
        </w:rPr>
      </w:pPr>
    </w:p>
    <w:p>
      <w:pPr>
        <w:ind w:left="900" w:right="5740" w:hanging="895"/>
        <w:spacing w:after="0" w:line="528" w:lineRule="auto"/>
        <w:tabs>
          <w:tab w:leader="none" w:pos="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200" w:lineRule="exact"/>
        <w:rPr>
          <w:sz w:val="20"/>
          <w:szCs w:val="20"/>
          <w:color w:val="auto"/>
        </w:rPr>
      </w:pPr>
    </w:p>
    <w:p>
      <w:pPr>
        <w:spacing w:after="0" w:line="233" w:lineRule="exact"/>
        <w:rPr>
          <w:sz w:val="20"/>
          <w:szCs w:val="20"/>
          <w:color w:val="auto"/>
        </w:rPr>
      </w:pPr>
    </w:p>
    <w:p>
      <w:pPr>
        <w:ind w:left="900" w:right="7720" w:hanging="895"/>
        <w:spacing w:after="0" w:line="507"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SOLE VOTING POWER 0</w:t>
      </w:r>
    </w:p>
    <w:p>
      <w:pPr>
        <w:ind w:left="900" w:right="7420" w:hanging="895"/>
        <w:spacing w:after="0" w:line="507"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SHARED VOTING POWER 2,993,365</w:t>
      </w:r>
    </w:p>
    <w:p>
      <w:pPr>
        <w:ind w:left="900" w:right="7280" w:hanging="895"/>
        <w:spacing w:after="0" w:line="507"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00" w:right="6980" w:hanging="895"/>
        <w:spacing w:after="0" w:line="507"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SHARED DISPOSITIVE POWER 2,993,365</w:t>
      </w:r>
    </w:p>
    <w:p>
      <w:pPr>
        <w:ind w:left="900" w:right="2560" w:hanging="895"/>
        <w:spacing w:after="0" w:line="500"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2,993,365</w:t>
      </w:r>
    </w:p>
    <w:p>
      <w:pPr>
        <w:ind w:left="900" w:right="1540" w:hanging="895"/>
        <w:spacing w:after="0" w:line="247" w:lineRule="auto"/>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Arial" w:cs="Arial" w:eastAsia="Arial" w:hAnsi="Arial"/>
          <w:sz w:val="20"/>
          <w:szCs w:val="20"/>
          <w:color w:val="auto"/>
        </w:rPr>
        <w:t>[_]</w:t>
      </w:r>
    </w:p>
    <w:p>
      <w:pPr>
        <w:spacing w:after="0" w:line="240" w:lineRule="exact"/>
        <w:rPr>
          <w:sz w:val="20"/>
          <w:szCs w:val="20"/>
          <w:color w:val="auto"/>
        </w:rPr>
      </w:pPr>
    </w:p>
    <w:p>
      <w:pPr>
        <w:ind w:left="900" w:right="4200" w:hanging="895"/>
        <w:spacing w:after="0" w:line="507" w:lineRule="auto"/>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PERCENT OF CLASS REPRESENTED BY AMOUNT IN ROW (9) 7.0%</w:t>
      </w:r>
    </w:p>
    <w:p>
      <w:pPr>
        <w:ind w:left="900" w:right="5000" w:hanging="895"/>
        <w:spacing w:after="0" w:line="528" w:lineRule="auto"/>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7" w:right="7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5"/>
        </w:trPr>
        <w:tc>
          <w:tcPr>
            <w:tcW w:w="1720" w:type="dxa"/>
            <w:vAlign w:val="bottom"/>
          </w:tcPr>
          <w:p>
            <w:pPr>
              <w:spacing w:after="0"/>
              <w:rPr>
                <w:sz w:val="20"/>
                <w:szCs w:val="20"/>
                <w:color w:val="auto"/>
              </w:rPr>
            </w:pPr>
            <w:r>
              <w:rPr>
                <w:rFonts w:ascii="Arial" w:cs="Arial" w:eastAsia="Arial" w:hAnsi="Arial"/>
                <w:sz w:val="20"/>
                <w:szCs w:val="20"/>
                <w:color w:val="auto"/>
              </w:rPr>
              <w:t>CUSIP No</w:t>
            </w:r>
          </w:p>
        </w:tc>
        <w:tc>
          <w:tcPr>
            <w:tcW w:w="258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71367G102</w:t>
            </w:r>
          </w:p>
        </w:tc>
        <w:tc>
          <w:tcPr>
            <w:tcW w:w="6340" w:type="dxa"/>
            <w:vAlign w:val="bottom"/>
            <w:gridSpan w:val="2"/>
          </w:tcPr>
          <w:p>
            <w:pPr>
              <w:spacing w:after="0"/>
              <w:rPr>
                <w:sz w:val="22"/>
                <w:szCs w:val="22"/>
                <w:color w:val="auto"/>
              </w:rPr>
            </w:pPr>
          </w:p>
        </w:tc>
      </w:tr>
      <w:tr>
        <w:trPr>
          <w:trHeight w:val="475"/>
        </w:trPr>
        <w:tc>
          <w:tcPr>
            <w:tcW w:w="1720" w:type="dxa"/>
            <w:vAlign w:val="bottom"/>
          </w:tcPr>
          <w:p>
            <w:pPr>
              <w:spacing w:after="0"/>
              <w:rPr>
                <w:sz w:val="20"/>
                <w:szCs w:val="20"/>
                <w:color w:val="auto"/>
              </w:rPr>
            </w:pPr>
            <w:r>
              <w:rPr>
                <w:rFonts w:ascii="Arial" w:cs="Arial" w:eastAsia="Arial" w:hAnsi="Arial"/>
                <w:sz w:val="20"/>
                <w:szCs w:val="20"/>
                <w:color w:val="auto"/>
              </w:rPr>
              <w:t>Item 1.</w:t>
            </w:r>
          </w:p>
        </w:tc>
        <w:tc>
          <w:tcPr>
            <w:tcW w:w="580" w:type="dxa"/>
            <w:vAlign w:val="bottom"/>
          </w:tcPr>
          <w:p>
            <w:pPr>
              <w:ind w:left="100"/>
              <w:spacing w:after="0"/>
              <w:rPr>
                <w:sz w:val="20"/>
                <w:szCs w:val="20"/>
                <w:color w:val="auto"/>
              </w:rPr>
            </w:pPr>
            <w:r>
              <w:rPr>
                <w:rFonts w:ascii="Arial" w:cs="Arial" w:eastAsia="Arial" w:hAnsi="Arial"/>
                <w:sz w:val="20"/>
                <w:szCs w:val="20"/>
                <w:color w:val="auto"/>
              </w:rPr>
              <w:t>(a).</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Name of Issuer:</w:t>
            </w:r>
          </w:p>
        </w:tc>
      </w:tr>
      <w:tr>
        <w:trPr>
          <w:trHeight w:val="491"/>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Perella Weinberg Partners</w:t>
            </w:r>
          </w:p>
        </w:tc>
        <w:tc>
          <w:tcPr>
            <w:tcW w:w="620" w:type="dxa"/>
            <w:vAlign w:val="bottom"/>
          </w:tcPr>
          <w:p>
            <w:pPr>
              <w:spacing w:after="0"/>
              <w:rPr>
                <w:sz w:val="24"/>
                <w:szCs w:val="24"/>
                <w:color w:val="auto"/>
              </w:rPr>
            </w:pPr>
          </w:p>
        </w:tc>
      </w:tr>
      <w:tr>
        <w:trPr>
          <w:trHeight w:val="691"/>
        </w:trPr>
        <w:tc>
          <w:tcPr>
            <w:tcW w:w="1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20"/>
                <w:szCs w:val="20"/>
                <w:color w:val="auto"/>
              </w:rPr>
              <w:t>(b).</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Address of Issuer's Principal Executive Offices:</w:t>
            </w:r>
          </w:p>
        </w:tc>
      </w:tr>
      <w:tr>
        <w:trPr>
          <w:trHeight w:val="465"/>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767 Fifth Avenue</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New York, New York 10153</w:t>
            </w:r>
          </w:p>
        </w:tc>
      </w:tr>
      <w:tr>
        <w:trPr>
          <w:trHeight w:val="246"/>
        </w:trPr>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United States of America</w:t>
            </w:r>
          </w:p>
        </w:tc>
        <w:tc>
          <w:tcPr>
            <w:tcW w:w="620" w:type="dxa"/>
            <w:vAlign w:val="bottom"/>
          </w:tcPr>
          <w:p>
            <w:pPr>
              <w:spacing w:after="0"/>
              <w:rPr>
                <w:sz w:val="21"/>
                <w:szCs w:val="21"/>
                <w:color w:val="auto"/>
              </w:rPr>
            </w:pPr>
          </w:p>
        </w:tc>
      </w:tr>
      <w:tr>
        <w:trPr>
          <w:trHeight w:val="470"/>
        </w:trPr>
        <w:tc>
          <w:tcPr>
            <w:tcW w:w="1720" w:type="dxa"/>
            <w:vAlign w:val="bottom"/>
          </w:tcPr>
          <w:p>
            <w:pPr>
              <w:spacing w:after="0"/>
              <w:rPr>
                <w:sz w:val="20"/>
                <w:szCs w:val="20"/>
                <w:color w:val="auto"/>
              </w:rPr>
            </w:pPr>
            <w:r>
              <w:rPr>
                <w:rFonts w:ascii="Arial" w:cs="Arial" w:eastAsia="Arial" w:hAnsi="Arial"/>
                <w:sz w:val="20"/>
                <w:szCs w:val="20"/>
                <w:color w:val="auto"/>
              </w:rPr>
              <w:t>Item 2.</w:t>
            </w:r>
          </w:p>
        </w:tc>
        <w:tc>
          <w:tcPr>
            <w:tcW w:w="580" w:type="dxa"/>
            <w:vAlign w:val="bottom"/>
          </w:tcPr>
          <w:p>
            <w:pPr>
              <w:ind w:left="100"/>
              <w:spacing w:after="0"/>
              <w:rPr>
                <w:sz w:val="20"/>
                <w:szCs w:val="20"/>
                <w:color w:val="auto"/>
              </w:rPr>
            </w:pPr>
            <w:r>
              <w:rPr>
                <w:rFonts w:ascii="Arial" w:cs="Arial" w:eastAsia="Arial" w:hAnsi="Arial"/>
                <w:sz w:val="20"/>
                <w:szCs w:val="20"/>
                <w:color w:val="auto"/>
              </w:rPr>
              <w:t>(a).</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Name of Person Filing:</w:t>
            </w:r>
          </w:p>
        </w:tc>
      </w:tr>
      <w:tr>
        <w:trPr>
          <w:trHeight w:val="465"/>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Samlyn Capital, LLC</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Samlyn, LP</w:t>
            </w:r>
          </w:p>
        </w:tc>
      </w:tr>
      <w:tr>
        <w:trPr>
          <w:trHeight w:val="246"/>
        </w:trPr>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Robert Pohly</w:t>
            </w:r>
          </w:p>
        </w:tc>
        <w:tc>
          <w:tcPr>
            <w:tcW w:w="620" w:type="dxa"/>
            <w:vAlign w:val="bottom"/>
          </w:tcPr>
          <w:p>
            <w:pPr>
              <w:spacing w:after="0"/>
              <w:rPr>
                <w:sz w:val="21"/>
                <w:szCs w:val="21"/>
                <w:color w:val="auto"/>
              </w:rPr>
            </w:pPr>
          </w:p>
        </w:tc>
      </w:tr>
      <w:tr>
        <w:trPr>
          <w:trHeight w:val="686"/>
        </w:trPr>
        <w:tc>
          <w:tcPr>
            <w:tcW w:w="1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20"/>
                <w:szCs w:val="20"/>
                <w:color w:val="auto"/>
              </w:rPr>
              <w:t>(b).</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Address of Principal Business Office, or if None, Residence:</w:t>
            </w:r>
          </w:p>
        </w:tc>
      </w:tr>
      <w:tr>
        <w:trPr>
          <w:trHeight w:val="465"/>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Samlyn Capital, LLC</w:t>
            </w:r>
          </w:p>
        </w:tc>
      </w:tr>
      <w:tr>
        <w:trPr>
          <w:trHeight w:val="229"/>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500 Park Avenue, 2nd Floor</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New York, New York 10022</w:t>
            </w:r>
          </w:p>
        </w:tc>
      </w:tr>
      <w:tr>
        <w:trPr>
          <w:trHeight w:val="250"/>
        </w:trPr>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United States of America</w:t>
            </w:r>
          </w:p>
        </w:tc>
      </w:tr>
      <w:tr>
        <w:trPr>
          <w:trHeight w:val="43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Samlyn, LP</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c/o Samlyn Capital, LLC</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500 Park Avenue, 2nd Floor</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New York, New York 10022</w:t>
            </w:r>
          </w:p>
        </w:tc>
      </w:tr>
      <w:tr>
        <w:trPr>
          <w:trHeight w:val="250"/>
        </w:trPr>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United States of America</w:t>
            </w:r>
          </w:p>
        </w:tc>
      </w:tr>
      <w:tr>
        <w:trPr>
          <w:trHeight w:val="438"/>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Robert Pohly</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c/o Samlyn Capital, LLC</w:t>
            </w:r>
          </w:p>
        </w:tc>
      </w:tr>
      <w:tr>
        <w:trPr>
          <w:trHeight w:val="229"/>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500 Park Avenue, 2nd Floor</w:t>
            </w: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New York, New York 10022</w:t>
            </w:r>
          </w:p>
        </w:tc>
      </w:tr>
      <w:tr>
        <w:trPr>
          <w:trHeight w:val="246"/>
        </w:trPr>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United States of America</w:t>
            </w:r>
          </w:p>
        </w:tc>
        <w:tc>
          <w:tcPr>
            <w:tcW w:w="620" w:type="dxa"/>
            <w:vAlign w:val="bottom"/>
          </w:tcPr>
          <w:p>
            <w:pPr>
              <w:spacing w:after="0"/>
              <w:rPr>
                <w:sz w:val="21"/>
                <w:szCs w:val="21"/>
                <w:color w:val="auto"/>
              </w:rPr>
            </w:pPr>
          </w:p>
        </w:tc>
      </w:tr>
      <w:tr>
        <w:trPr>
          <w:trHeight w:val="713"/>
        </w:trPr>
        <w:tc>
          <w:tcPr>
            <w:tcW w:w="1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20"/>
                <w:szCs w:val="20"/>
                <w:color w:val="auto"/>
              </w:rPr>
              <w:t>(c).</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Citizenship:</w:t>
            </w:r>
          </w:p>
        </w:tc>
      </w:tr>
      <w:tr>
        <w:trPr>
          <w:trHeight w:val="465"/>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Samlyn Capital, LLC – Delaware</w:t>
            </w:r>
          </w:p>
        </w:tc>
      </w:tr>
      <w:tr>
        <w:trPr>
          <w:trHeight w:val="229"/>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140" w:type="dxa"/>
            <w:vAlign w:val="bottom"/>
            <w:gridSpan w:val="3"/>
          </w:tcPr>
          <w:p>
            <w:pPr>
              <w:ind w:left="100"/>
              <w:spacing w:after="0"/>
              <w:rPr>
                <w:sz w:val="20"/>
                <w:szCs w:val="20"/>
                <w:color w:val="auto"/>
              </w:rPr>
            </w:pPr>
            <w:r>
              <w:rPr>
                <w:rFonts w:ascii="Arial" w:cs="Arial" w:eastAsia="Arial" w:hAnsi="Arial"/>
                <w:sz w:val="20"/>
                <w:szCs w:val="20"/>
                <w:color w:val="auto"/>
              </w:rPr>
              <w:t>Samlyn, LP – Delaware</w:t>
            </w:r>
          </w:p>
        </w:tc>
      </w:tr>
      <w:tr>
        <w:trPr>
          <w:trHeight w:val="246"/>
        </w:trPr>
        <w:tc>
          <w:tcPr>
            <w:tcW w:w="1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rPr>
              <w:t>Robert Pohly – United States of America</w:t>
            </w:r>
          </w:p>
        </w:tc>
        <w:tc>
          <w:tcPr>
            <w:tcW w:w="620" w:type="dxa"/>
            <w:vAlign w:val="bottom"/>
          </w:tcPr>
          <w:p>
            <w:pPr>
              <w:spacing w:after="0"/>
              <w:rPr>
                <w:sz w:val="21"/>
                <w:szCs w:val="21"/>
                <w:color w:val="auto"/>
              </w:rPr>
            </w:pPr>
          </w:p>
        </w:tc>
      </w:tr>
      <w:tr>
        <w:trPr>
          <w:trHeight w:val="686"/>
        </w:trPr>
        <w:tc>
          <w:tcPr>
            <w:tcW w:w="1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20"/>
                <w:szCs w:val="20"/>
                <w:color w:val="auto"/>
              </w:rPr>
              <w:t>(d).</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Title of Class of Securities:</w:t>
            </w:r>
          </w:p>
        </w:tc>
      </w:tr>
      <w:tr>
        <w:trPr>
          <w:trHeight w:val="491"/>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Class A Common Stock, par value $0.0001 per share</w:t>
            </w:r>
          </w:p>
        </w:tc>
        <w:tc>
          <w:tcPr>
            <w:tcW w:w="620" w:type="dxa"/>
            <w:vAlign w:val="bottom"/>
          </w:tcPr>
          <w:p>
            <w:pPr>
              <w:spacing w:after="0"/>
              <w:rPr>
                <w:sz w:val="24"/>
                <w:szCs w:val="24"/>
                <w:color w:val="auto"/>
              </w:rPr>
            </w:pPr>
          </w:p>
        </w:tc>
      </w:tr>
      <w:tr>
        <w:trPr>
          <w:trHeight w:val="475"/>
        </w:trPr>
        <w:tc>
          <w:tcPr>
            <w:tcW w:w="17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20"/>
                <w:szCs w:val="20"/>
                <w:color w:val="auto"/>
              </w:rPr>
              <w:t>(e).</w:t>
            </w:r>
          </w:p>
        </w:tc>
        <w:tc>
          <w:tcPr>
            <w:tcW w:w="200" w:type="dxa"/>
            <w:vAlign w:val="bottom"/>
          </w:tcPr>
          <w:p>
            <w:pPr>
              <w:spacing w:after="0"/>
              <w:rPr>
                <w:sz w:val="24"/>
                <w:szCs w:val="24"/>
                <w:color w:val="auto"/>
              </w:rPr>
            </w:pPr>
          </w:p>
        </w:tc>
        <w:tc>
          <w:tcPr>
            <w:tcW w:w="8140" w:type="dxa"/>
            <w:vAlign w:val="bottom"/>
            <w:gridSpan w:val="3"/>
          </w:tcPr>
          <w:p>
            <w:pPr>
              <w:spacing w:after="0"/>
              <w:rPr>
                <w:sz w:val="20"/>
                <w:szCs w:val="20"/>
                <w:color w:val="auto"/>
              </w:rPr>
            </w:pPr>
            <w:r>
              <w:rPr>
                <w:rFonts w:ascii="Arial" w:cs="Arial" w:eastAsia="Arial" w:hAnsi="Arial"/>
                <w:sz w:val="20"/>
                <w:szCs w:val="20"/>
                <w:color w:val="auto"/>
              </w:rPr>
              <w:t>CUSIP Number:</w:t>
            </w:r>
          </w:p>
        </w:tc>
      </w:tr>
      <w:tr>
        <w:trPr>
          <w:trHeight w:val="491"/>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71367G102</w:t>
            </w:r>
          </w:p>
        </w:tc>
        <w:tc>
          <w:tcPr>
            <w:tcW w:w="620" w:type="dxa"/>
            <w:vAlign w:val="bottom"/>
          </w:tcPr>
          <w:p>
            <w:pPr>
              <w:spacing w:after="0"/>
              <w:rPr>
                <w:sz w:val="24"/>
                <w:szCs w:val="24"/>
                <w:color w:val="auto"/>
              </w:rPr>
            </w:pPr>
          </w:p>
        </w:tc>
      </w:tr>
      <w:tr>
        <w:trPr>
          <w:trHeight w:val="454"/>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40" w:type="dxa"/>
            <w:vAlign w:val="bottom"/>
            <w:gridSpan w:val="4"/>
          </w:tcPr>
          <w:p>
            <w:pPr>
              <w:ind w:left="180"/>
              <w:spacing w:after="0"/>
              <w:rPr>
                <w:sz w:val="20"/>
                <w:szCs w:val="20"/>
                <w:color w:val="auto"/>
              </w:rPr>
            </w:pPr>
            <w:r>
              <w:rPr>
                <w:rFonts w:ascii="Arial" w:cs="Arial" w:eastAsia="Arial" w:hAnsi="Arial"/>
                <w:sz w:val="20"/>
                <w:szCs w:val="20"/>
                <w:color w:val="auto"/>
                <w:w w:val="89"/>
              </w:rPr>
              <w:t>If This Statement is filed pursuant to ss.240.13d-1(b) or 240.13d-2(b), or (c), check whether the person</w:t>
            </w:r>
          </w:p>
        </w:tc>
      </w:tr>
      <w:tr>
        <w:trPr>
          <w:trHeight w:val="250"/>
        </w:trPr>
        <w:tc>
          <w:tcPr>
            <w:tcW w:w="1720" w:type="dxa"/>
            <w:vAlign w:val="bottom"/>
          </w:tcPr>
          <w:p>
            <w:pPr>
              <w:spacing w:after="0"/>
              <w:rPr>
                <w:sz w:val="20"/>
                <w:szCs w:val="20"/>
                <w:color w:val="auto"/>
              </w:rPr>
            </w:pPr>
            <w:r>
              <w:rPr>
                <w:rFonts w:ascii="Arial" w:cs="Arial" w:eastAsia="Arial" w:hAnsi="Arial"/>
                <w:sz w:val="20"/>
                <w:szCs w:val="20"/>
                <w:color w:val="auto"/>
              </w:rPr>
              <w:t>Item 3.</w:t>
            </w:r>
          </w:p>
        </w:tc>
        <w:tc>
          <w:tcPr>
            <w:tcW w:w="580" w:type="dxa"/>
            <w:vAlign w:val="bottom"/>
          </w:tcPr>
          <w:p>
            <w:pPr>
              <w:spacing w:after="0"/>
              <w:rPr>
                <w:sz w:val="21"/>
                <w:szCs w:val="21"/>
                <w:color w:val="auto"/>
              </w:rPr>
            </w:pPr>
          </w:p>
        </w:tc>
        <w:tc>
          <w:tcPr>
            <w:tcW w:w="8340" w:type="dxa"/>
            <w:vAlign w:val="bottom"/>
            <w:gridSpan w:val="4"/>
          </w:tcPr>
          <w:p>
            <w:pPr>
              <w:ind w:left="180"/>
              <w:spacing w:after="0"/>
              <w:rPr>
                <w:sz w:val="20"/>
                <w:szCs w:val="20"/>
                <w:color w:val="auto"/>
              </w:rPr>
            </w:pPr>
            <w:r>
              <w:rPr>
                <w:rFonts w:ascii="Arial" w:cs="Arial" w:eastAsia="Arial" w:hAnsi="Arial"/>
                <w:sz w:val="20"/>
                <w:szCs w:val="20"/>
                <w:color w:val="auto"/>
              </w:rPr>
              <w:t>filing is a</w:t>
            </w:r>
          </w:p>
        </w:tc>
      </w:tr>
    </w:tbl>
    <w:p>
      <w:pPr>
        <w:spacing w:after="0" w:line="222" w:lineRule="exact"/>
        <w:rPr>
          <w:sz w:val="20"/>
          <w:szCs w:val="20"/>
          <w:color w:val="auto"/>
        </w:rPr>
      </w:pPr>
    </w:p>
    <w:p>
      <w:pPr>
        <w:ind w:left="2480" w:hanging="787"/>
        <w:spacing w:after="0"/>
        <w:tabs>
          <w:tab w:leader="none" w:pos="24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Broker or dealer registered under Section 15 of the Exchange Act (15 U.S.C. 78c).</w:t>
      </w:r>
    </w:p>
    <w:p>
      <w:pPr>
        <w:spacing w:after="0" w:line="256" w:lineRule="exact"/>
        <w:rPr>
          <w:rFonts w:ascii="Arial" w:cs="Arial" w:eastAsia="Arial" w:hAnsi="Arial"/>
          <w:sz w:val="20"/>
          <w:szCs w:val="20"/>
          <w:color w:val="auto"/>
        </w:rPr>
      </w:pPr>
    </w:p>
    <w:p>
      <w:pPr>
        <w:ind w:left="2480" w:hanging="787"/>
        <w:spacing w:after="0"/>
        <w:tabs>
          <w:tab w:leader="none" w:pos="24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Bank as defined in Section 3(a)(6) of the Exchange Act (15 U.S.C. 78c).</w:t>
      </w:r>
    </w:p>
    <w:p>
      <w:pPr>
        <w:spacing w:after="0" w:line="256" w:lineRule="exact"/>
        <w:rPr>
          <w:rFonts w:ascii="Arial" w:cs="Arial" w:eastAsia="Arial" w:hAnsi="Arial"/>
          <w:sz w:val="20"/>
          <w:szCs w:val="20"/>
          <w:color w:val="auto"/>
        </w:rPr>
      </w:pPr>
    </w:p>
    <w:p>
      <w:pPr>
        <w:ind w:left="2480" w:hanging="787"/>
        <w:spacing w:after="0"/>
        <w:tabs>
          <w:tab w:leader="none" w:pos="24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6"/>
          <w:szCs w:val="16"/>
          <w:color w:val="auto"/>
        </w:rPr>
        <w:t>Insurance company as defined in Section 3(a)(19) of the Exchange Act (15 U.S.C. 78c).</w:t>
      </w:r>
    </w:p>
    <w:p>
      <w:pPr>
        <w:spacing w:after="0" w:line="256" w:lineRule="exact"/>
        <w:rPr>
          <w:rFonts w:ascii="Arial" w:cs="Arial" w:eastAsia="Arial" w:hAnsi="Arial"/>
          <w:sz w:val="20"/>
          <w:szCs w:val="20"/>
          <w:color w:val="auto"/>
        </w:rPr>
      </w:pPr>
    </w:p>
    <w:p>
      <w:pPr>
        <w:ind w:left="3160" w:right="160" w:hanging="1467"/>
        <w:spacing w:after="0" w:line="260" w:lineRule="auto"/>
        <w:tabs>
          <w:tab w:leader="none" w:pos="2498" w:val="left"/>
        </w:tabs>
        <w:numPr>
          <w:ilvl w:val="0"/>
          <w:numId w:val="15"/>
        </w:numPr>
        <w:rPr>
          <w:rFonts w:ascii="Arial" w:cs="Arial" w:eastAsia="Arial" w:hAnsi="Arial"/>
          <w:sz w:val="20"/>
          <w:szCs w:val="20"/>
          <w:color w:val="auto"/>
        </w:rPr>
      </w:pPr>
      <w:r>
        <w:rPr>
          <w:rFonts w:ascii="Arial" w:cs="Arial" w:eastAsia="Arial" w:hAnsi="Arial"/>
          <w:sz w:val="20"/>
          <w:szCs w:val="20"/>
          <w:color w:val="auto"/>
        </w:rPr>
        <w:t>[_]Investment company registered under Section 8 of the Investment Company Act of 1940 (15 U.S.C. 80a-8).</w:t>
      </w:r>
    </w:p>
    <w:p>
      <w:pPr>
        <w:sectPr>
          <w:pgSz w:w="11900" w:h="16838" w:orient="portrait"/>
          <w:cols w:equalWidth="0" w:num="1">
            <w:col w:w="10640"/>
          </w:cols>
          <w:pgMar w:left="420" w:top="717" w:right="839" w:bottom="0" w:gutter="0" w:footer="0" w:header="0"/>
        </w:sectPr>
      </w:pPr>
    </w:p>
    <w:bookmarkStart w:id="5" w:name="page6"/>
    <w:bookmarkEnd w:id="5"/>
    <w:p>
      <w:pPr>
        <w:ind w:left="1460" w:hanging="787"/>
        <w:spacing w:after="0"/>
        <w:tabs>
          <w:tab w:leader="none" w:pos="1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[X]</w:t>
      </w:r>
      <w:r>
        <w:rPr>
          <w:rFonts w:ascii="Arial" w:cs="Arial" w:eastAsia="Arial" w:hAnsi="Arial"/>
          <w:sz w:val="18"/>
          <w:szCs w:val="18"/>
          <w:color w:val="auto"/>
        </w:rPr>
        <w:t>An investment adviser in accordance with § 240.13d-1(b)(1)(ii)(E);</w:t>
      </w:r>
    </w:p>
    <w:p>
      <w:pPr>
        <w:spacing w:after="0" w:line="257" w:lineRule="exact"/>
        <w:rPr>
          <w:rFonts w:ascii="Arial" w:cs="Arial" w:eastAsia="Arial" w:hAnsi="Arial"/>
          <w:sz w:val="20"/>
          <w:szCs w:val="20"/>
          <w:color w:val="auto"/>
        </w:rPr>
      </w:pPr>
    </w:p>
    <w:p>
      <w:pPr>
        <w:ind w:left="1460" w:hanging="787"/>
        <w:spacing w:after="0"/>
        <w:tabs>
          <w:tab w:leader="none" w:pos="1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An employee benefit plan or endowment fund in accordance with § 240.13d-1(b)(1)(ii)(F);</w:t>
      </w:r>
    </w:p>
    <w:p>
      <w:pPr>
        <w:spacing w:after="0" w:line="256" w:lineRule="exact"/>
        <w:rPr>
          <w:rFonts w:ascii="Arial" w:cs="Arial" w:eastAsia="Arial" w:hAnsi="Arial"/>
          <w:sz w:val="20"/>
          <w:szCs w:val="20"/>
          <w:color w:val="auto"/>
        </w:rPr>
      </w:pPr>
    </w:p>
    <w:p>
      <w:pPr>
        <w:ind w:left="1460" w:hanging="787"/>
        <w:spacing w:after="0"/>
        <w:tabs>
          <w:tab w:leader="none" w:pos="1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[X]</w:t>
      </w:r>
      <w:r>
        <w:rPr>
          <w:rFonts w:ascii="Arial" w:cs="Arial" w:eastAsia="Arial" w:hAnsi="Arial"/>
          <w:sz w:val="18"/>
          <w:szCs w:val="18"/>
          <w:color w:val="auto"/>
        </w:rPr>
        <w:t>A parent holding company or control person in accordance with Rule 13d-1(b)(1)(ii)(G);</w:t>
      </w:r>
    </w:p>
    <w:p>
      <w:pPr>
        <w:spacing w:after="0" w:line="256" w:lineRule="exact"/>
        <w:rPr>
          <w:rFonts w:ascii="Arial" w:cs="Arial" w:eastAsia="Arial" w:hAnsi="Arial"/>
          <w:sz w:val="20"/>
          <w:szCs w:val="20"/>
          <w:color w:val="auto"/>
        </w:rPr>
      </w:pPr>
    </w:p>
    <w:p>
      <w:pPr>
        <w:ind w:left="2140" w:right="540" w:hanging="1467"/>
        <w:spacing w:after="0" w:line="260" w:lineRule="auto"/>
        <w:tabs>
          <w:tab w:leader="none" w:pos="1478" w:val="left"/>
        </w:tabs>
        <w:numPr>
          <w:ilvl w:val="0"/>
          <w:numId w:val="16"/>
        </w:numPr>
        <w:rPr>
          <w:rFonts w:ascii="Arial" w:cs="Arial" w:eastAsia="Arial" w:hAnsi="Arial"/>
          <w:sz w:val="20"/>
          <w:szCs w:val="20"/>
          <w:color w:val="auto"/>
        </w:rPr>
      </w:pPr>
      <w:r>
        <w:rPr>
          <w:rFonts w:ascii="Arial" w:cs="Arial" w:eastAsia="Arial" w:hAnsi="Arial"/>
          <w:sz w:val="20"/>
          <w:szCs w:val="20"/>
          <w:color w:val="auto"/>
        </w:rPr>
        <w:t>[_]A savings association as defined in Section 3(b) of the Federal Deposit Insurance Act (12 U.S.C.1813);</w:t>
      </w:r>
    </w:p>
    <w:p>
      <w:pPr>
        <w:spacing w:after="0" w:line="203" w:lineRule="exact"/>
        <w:rPr>
          <w:rFonts w:ascii="Arial" w:cs="Arial" w:eastAsia="Arial" w:hAnsi="Arial"/>
          <w:sz w:val="20"/>
          <w:szCs w:val="20"/>
          <w:color w:val="auto"/>
        </w:rPr>
      </w:pPr>
    </w:p>
    <w:p>
      <w:pPr>
        <w:ind w:left="1460" w:hanging="787"/>
        <w:spacing w:after="0"/>
        <w:tabs>
          <w:tab w:leader="none" w:pos="1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A church plan that is excluded from the definition of an investment company under Section 3(c)</w:t>
      </w:r>
    </w:p>
    <w:p>
      <w:pPr>
        <w:spacing w:after="0" w:line="15" w:lineRule="exact"/>
        <w:rPr>
          <w:rFonts w:ascii="Arial" w:cs="Arial" w:eastAsia="Arial" w:hAnsi="Arial"/>
          <w:sz w:val="20"/>
          <w:szCs w:val="20"/>
          <w:color w:val="auto"/>
        </w:rPr>
      </w:pPr>
    </w:p>
    <w:p>
      <w:pPr>
        <w:ind w:left="2500" w:hanging="369"/>
        <w:spacing w:after="0"/>
        <w:tabs>
          <w:tab w:leader="none" w:pos="2500" w:val="left"/>
        </w:tabs>
        <w:numPr>
          <w:ilvl w:val="1"/>
          <w:numId w:val="16"/>
        </w:numPr>
        <w:rPr>
          <w:rFonts w:ascii="Arial" w:cs="Arial" w:eastAsia="Arial" w:hAnsi="Arial"/>
          <w:sz w:val="20"/>
          <w:szCs w:val="20"/>
          <w:color w:val="auto"/>
        </w:rPr>
      </w:pPr>
      <w:r>
        <w:rPr>
          <w:rFonts w:ascii="Arial" w:cs="Arial" w:eastAsia="Arial" w:hAnsi="Arial"/>
          <w:sz w:val="20"/>
          <w:szCs w:val="20"/>
          <w:color w:val="auto"/>
        </w:rPr>
        <w:t>of the Investment Company Act of 1940 (15 U.S.C. 80a-3);</w:t>
      </w:r>
    </w:p>
    <w:p>
      <w:pPr>
        <w:spacing w:after="0" w:line="226" w:lineRule="exact"/>
        <w:rPr>
          <w:rFonts w:ascii="Arial" w:cs="Arial" w:eastAsia="Arial" w:hAnsi="Arial"/>
          <w:sz w:val="20"/>
          <w:szCs w:val="20"/>
          <w:color w:val="auto"/>
        </w:rPr>
      </w:pPr>
    </w:p>
    <w:p>
      <w:pPr>
        <w:ind w:left="1460" w:hanging="787"/>
        <w:spacing w:after="0"/>
        <w:tabs>
          <w:tab w:leader="none" w:pos="1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[_]</w:t>
      </w:r>
      <w:r>
        <w:rPr>
          <w:rFonts w:ascii="Arial" w:cs="Arial" w:eastAsia="Arial" w:hAnsi="Arial"/>
          <w:sz w:val="18"/>
          <w:szCs w:val="18"/>
          <w:color w:val="auto"/>
        </w:rPr>
        <w:t>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121" w:right="719" w:bottom="1440" w:gutter="0" w:footer="0" w:header="0"/>
        </w:sectPr>
      </w:pPr>
    </w:p>
    <w:bookmarkStart w:id="6" w:name="page7"/>
    <w:bookmarkEnd w:id="6"/>
    <w:p>
      <w:pPr>
        <w:spacing w:after="0"/>
        <w:tabs>
          <w:tab w:leader="none" w:pos="180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color w:val="auto"/>
        </w:rPr>
        <w:t>Ownership.</w:t>
      </w:r>
    </w:p>
    <w:p>
      <w:pPr>
        <w:spacing w:after="0" w:line="243" w:lineRule="exact"/>
        <w:rPr>
          <w:sz w:val="20"/>
          <w:szCs w:val="20"/>
          <w:color w:val="auto"/>
        </w:rPr>
      </w:pPr>
    </w:p>
    <w:p>
      <w:pPr>
        <w:ind w:left="182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204" w:lineRule="exact"/>
        <w:rPr>
          <w:sz w:val="20"/>
          <w:szCs w:val="20"/>
          <w:color w:val="auto"/>
        </w:rPr>
      </w:pPr>
    </w:p>
    <w:p>
      <w:pPr>
        <w:ind w:left="2400" w:hanging="586"/>
        <w:spacing w:after="0"/>
        <w:tabs>
          <w:tab w:leader="none" w:pos="24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56"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Samlyn Capital, LLC – 2,993,365</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Samlyn, LP – 2,993,365</w:t>
      </w:r>
    </w:p>
    <w:p>
      <w:pPr>
        <w:ind w:left="2480"/>
        <w:spacing w:after="0"/>
        <w:rPr>
          <w:sz w:val="20"/>
          <w:szCs w:val="20"/>
          <w:color w:val="auto"/>
        </w:rPr>
      </w:pPr>
      <w:r>
        <w:rPr>
          <w:rFonts w:ascii="Arial" w:cs="Arial" w:eastAsia="Arial" w:hAnsi="Arial"/>
          <w:sz w:val="20"/>
          <w:szCs w:val="20"/>
          <w:color w:val="auto"/>
        </w:rPr>
        <w:t>Robert Pohly – 2,993,365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0</wp:posOffset>
            </wp:positionV>
            <wp:extent cx="5554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20" w:lineRule="exact"/>
        <w:rPr>
          <w:sz w:val="20"/>
          <w:szCs w:val="20"/>
          <w:color w:val="auto"/>
        </w:rPr>
      </w:pPr>
    </w:p>
    <w:p>
      <w:pPr>
        <w:ind w:left="2400" w:hanging="586"/>
        <w:spacing w:after="0"/>
        <w:tabs>
          <w:tab w:leader="none" w:pos="24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56"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Samlyn Capital, LLC – 7.0%</w:t>
      </w:r>
    </w:p>
    <w:p>
      <w:pPr>
        <w:spacing w:after="0" w:line="15"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Samlyn, LP – 7.0%</w:t>
      </w:r>
    </w:p>
    <w:p>
      <w:pPr>
        <w:ind w:left="2480"/>
        <w:spacing w:after="0"/>
        <w:rPr>
          <w:sz w:val="20"/>
          <w:szCs w:val="20"/>
          <w:color w:val="auto"/>
        </w:rPr>
      </w:pPr>
      <w:r>
        <w:rPr>
          <w:rFonts w:ascii="Arial" w:cs="Arial" w:eastAsia="Arial" w:hAnsi="Arial"/>
          <w:sz w:val="20"/>
          <w:szCs w:val="20"/>
          <w:color w:val="auto"/>
        </w:rPr>
        <w:t>Robert Pohly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0</wp:posOffset>
            </wp:positionV>
            <wp:extent cx="5554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20" w:lineRule="exact"/>
        <w:rPr>
          <w:sz w:val="20"/>
          <w:szCs w:val="20"/>
          <w:color w:val="auto"/>
        </w:rPr>
      </w:pPr>
    </w:p>
    <w:p>
      <w:pPr>
        <w:ind w:left="2400" w:hanging="586"/>
        <w:spacing w:after="0"/>
        <w:tabs>
          <w:tab w:leader="none" w:pos="24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56" w:lineRule="exact"/>
        <w:rPr>
          <w:rFonts w:ascii="Arial" w:cs="Arial" w:eastAsia="Arial" w:hAnsi="Arial"/>
          <w:sz w:val="20"/>
          <w:szCs w:val="20"/>
          <w:color w:val="auto"/>
        </w:rPr>
      </w:pPr>
    </w:p>
    <w:p>
      <w:pPr>
        <w:ind w:left="3380" w:hanging="987"/>
        <w:spacing w:after="0"/>
        <w:tabs>
          <w:tab w:leader="none" w:pos="33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242" w:lineRule="exact"/>
        <w:rPr>
          <w:rFonts w:ascii="Arial" w:cs="Arial" w:eastAsia="Arial" w:hAnsi="Arial"/>
          <w:sz w:val="20"/>
          <w:szCs w:val="20"/>
          <w:color w:val="auto"/>
        </w:rPr>
      </w:pPr>
    </w:p>
    <w:p>
      <w:pPr>
        <w:ind w:left="3380" w:right="5420" w:firstLine="1"/>
        <w:spacing w:after="0" w:line="250" w:lineRule="auto"/>
        <w:rPr>
          <w:rFonts w:ascii="Arial" w:cs="Arial" w:eastAsia="Arial" w:hAnsi="Arial"/>
          <w:sz w:val="20"/>
          <w:szCs w:val="20"/>
          <w:color w:val="auto"/>
        </w:rPr>
      </w:pPr>
      <w:r>
        <w:rPr>
          <w:rFonts w:ascii="Arial" w:cs="Arial" w:eastAsia="Arial" w:hAnsi="Arial"/>
          <w:sz w:val="20"/>
          <w:szCs w:val="20"/>
          <w:color w:val="auto"/>
        </w:rPr>
        <w:t>Samlyn Capital, LLC – 0 Samlyn, LP – 0 Robert Pohly – 0</w:t>
      </w:r>
    </w:p>
    <w:p>
      <w:pPr>
        <w:spacing w:after="0" w:line="199" w:lineRule="exact"/>
        <w:rPr>
          <w:rFonts w:ascii="Arial" w:cs="Arial" w:eastAsia="Arial" w:hAnsi="Arial"/>
          <w:sz w:val="20"/>
          <w:szCs w:val="20"/>
          <w:color w:val="auto"/>
        </w:rPr>
      </w:pPr>
    </w:p>
    <w:p>
      <w:pPr>
        <w:ind w:left="3380" w:hanging="987"/>
        <w:spacing w:after="0"/>
        <w:tabs>
          <w:tab w:leader="none" w:pos="33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242" w:lineRule="exact"/>
        <w:rPr>
          <w:rFonts w:ascii="Arial" w:cs="Arial" w:eastAsia="Arial" w:hAnsi="Arial"/>
          <w:sz w:val="20"/>
          <w:szCs w:val="20"/>
          <w:color w:val="auto"/>
        </w:rPr>
      </w:pPr>
    </w:p>
    <w:p>
      <w:pPr>
        <w:ind w:left="3380" w:right="4740" w:firstLine="1"/>
        <w:spacing w:after="0" w:line="291" w:lineRule="auto"/>
        <w:rPr>
          <w:rFonts w:ascii="Arial" w:cs="Arial" w:eastAsia="Arial" w:hAnsi="Arial"/>
          <w:sz w:val="20"/>
          <w:szCs w:val="20"/>
          <w:color w:val="auto"/>
        </w:rPr>
      </w:pPr>
      <w:r>
        <w:rPr>
          <w:rFonts w:ascii="Arial" w:cs="Arial" w:eastAsia="Arial" w:hAnsi="Arial"/>
          <w:sz w:val="18"/>
          <w:szCs w:val="18"/>
          <w:color w:val="auto"/>
        </w:rPr>
        <w:t>Samlyn Capital, LLC – 2,993,365 Samlyn, LP – 2,993,365 Robert Pohly – 2,993,365</w:t>
      </w:r>
    </w:p>
    <w:p>
      <w:pPr>
        <w:spacing w:after="0" w:line="178" w:lineRule="exact"/>
        <w:rPr>
          <w:rFonts w:ascii="Arial" w:cs="Arial" w:eastAsia="Arial" w:hAnsi="Arial"/>
          <w:sz w:val="20"/>
          <w:szCs w:val="20"/>
          <w:color w:val="auto"/>
        </w:rPr>
      </w:pPr>
    </w:p>
    <w:p>
      <w:pPr>
        <w:ind w:left="3380" w:hanging="987"/>
        <w:spacing w:after="0"/>
        <w:tabs>
          <w:tab w:leader="none" w:pos="33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w:t>
      </w:r>
    </w:p>
    <w:p>
      <w:pPr>
        <w:spacing w:after="0" w:line="242" w:lineRule="exact"/>
        <w:rPr>
          <w:rFonts w:ascii="Arial" w:cs="Arial" w:eastAsia="Arial" w:hAnsi="Arial"/>
          <w:sz w:val="20"/>
          <w:szCs w:val="20"/>
          <w:color w:val="auto"/>
        </w:rPr>
      </w:pPr>
    </w:p>
    <w:p>
      <w:pPr>
        <w:ind w:left="3380" w:right="5420" w:firstLine="1"/>
        <w:spacing w:after="0" w:line="250" w:lineRule="auto"/>
        <w:rPr>
          <w:rFonts w:ascii="Arial" w:cs="Arial" w:eastAsia="Arial" w:hAnsi="Arial"/>
          <w:sz w:val="20"/>
          <w:szCs w:val="20"/>
          <w:color w:val="auto"/>
        </w:rPr>
      </w:pPr>
      <w:r>
        <w:rPr>
          <w:rFonts w:ascii="Arial" w:cs="Arial" w:eastAsia="Arial" w:hAnsi="Arial"/>
          <w:sz w:val="20"/>
          <w:szCs w:val="20"/>
          <w:color w:val="auto"/>
        </w:rPr>
        <w:t>Samlyn Capital, LLC – 0 Samlyn, LP – 0 Robert Pohly – 0</w:t>
      </w:r>
    </w:p>
    <w:p>
      <w:pPr>
        <w:spacing w:after="0" w:line="212" w:lineRule="exact"/>
        <w:rPr>
          <w:rFonts w:ascii="Arial" w:cs="Arial" w:eastAsia="Arial" w:hAnsi="Arial"/>
          <w:sz w:val="20"/>
          <w:szCs w:val="20"/>
          <w:color w:val="auto"/>
        </w:rPr>
      </w:pPr>
    </w:p>
    <w:p>
      <w:pPr>
        <w:ind w:left="3380" w:hanging="987"/>
        <w:spacing w:after="0"/>
        <w:tabs>
          <w:tab w:leader="none" w:pos="33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w:t>
      </w:r>
    </w:p>
    <w:p>
      <w:pPr>
        <w:spacing w:after="0" w:line="242" w:lineRule="exact"/>
        <w:rPr>
          <w:rFonts w:ascii="Arial" w:cs="Arial" w:eastAsia="Arial" w:hAnsi="Arial"/>
          <w:sz w:val="20"/>
          <w:szCs w:val="20"/>
          <w:color w:val="auto"/>
        </w:rPr>
      </w:pPr>
    </w:p>
    <w:p>
      <w:pPr>
        <w:ind w:left="3380" w:right="4740" w:firstLine="1"/>
        <w:spacing w:after="0" w:line="291" w:lineRule="auto"/>
        <w:rPr>
          <w:rFonts w:ascii="Arial" w:cs="Arial" w:eastAsia="Arial" w:hAnsi="Arial"/>
          <w:sz w:val="20"/>
          <w:szCs w:val="20"/>
          <w:color w:val="auto"/>
        </w:rPr>
      </w:pPr>
      <w:r>
        <w:rPr>
          <w:rFonts w:ascii="Arial" w:cs="Arial" w:eastAsia="Arial" w:hAnsi="Arial"/>
          <w:sz w:val="18"/>
          <w:szCs w:val="18"/>
          <w:color w:val="auto"/>
        </w:rPr>
        <w:t>Samlyn Capital, LLC – 2,993,365 Samlyn, LP – 2,993,365 Robert Pohly – 2,993,365</w:t>
      </w:r>
    </w:p>
    <w:p>
      <w:pPr>
        <w:spacing w:after="0" w:line="395"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43" w:lineRule="exact"/>
        <w:rPr>
          <w:sz w:val="20"/>
          <w:szCs w:val="20"/>
          <w:color w:val="auto"/>
        </w:rPr>
      </w:pPr>
    </w:p>
    <w:p>
      <w:pPr>
        <w:ind w:left="182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[_].</w:t>
      </w:r>
    </w:p>
    <w:p>
      <w:pPr>
        <w:spacing w:after="0" w:line="179"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19050</wp:posOffset>
            </wp:positionV>
            <wp:extent cx="5983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335915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420" w:top="717" w:right="679" w:bottom="1440" w:gutter="0" w:footer="0" w:header="0"/>
        </w:sectPr>
      </w:pPr>
    </w:p>
    <w:bookmarkStart w:id="7" w:name="page8"/>
    <w:bookmarkEnd w:id="7"/>
    <w:p>
      <w:pPr>
        <w:spacing w:after="0"/>
        <w:tabs>
          <w:tab w:leader="none" w:pos="180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43" w:lineRule="exact"/>
        <w:rPr>
          <w:sz w:val="20"/>
          <w:szCs w:val="20"/>
          <w:color w:val="auto"/>
        </w:rPr>
      </w:pPr>
    </w:p>
    <w:p>
      <w:pPr>
        <w:ind w:left="1820" w:right="100"/>
        <w:spacing w:after="0" w:line="260" w:lineRule="auto"/>
        <w:rPr>
          <w:sz w:val="20"/>
          <w:szCs w:val="20"/>
          <w:color w:val="auto"/>
        </w:rPr>
      </w:pPr>
      <w:r>
        <w:rPr>
          <w:rFonts w:ascii="Arial" w:cs="Arial" w:eastAsia="Arial" w:hAnsi="Arial"/>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1820" w:right="280"/>
        <w:spacing w:after="0" w:line="250" w:lineRule="auto"/>
        <w:rPr>
          <w:sz w:val="20"/>
          <w:szCs w:val="20"/>
          <w:color w:val="auto"/>
        </w:rPr>
      </w:pPr>
      <w:r>
        <w:rPr>
          <w:rFonts w:ascii="Arial" w:cs="Arial" w:eastAsia="Arial" w:hAnsi="Arial"/>
          <w:sz w:val="20"/>
          <w:szCs w:val="20"/>
          <w:color w:val="auto"/>
        </w:rPr>
        <w:t>All of the securities reported in this Schedule 13G are directly owned by advisory clients of Samlyn Capital, LLC. None of those advisory clients may be deemed to beneficially own more than 5% of the Class A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-7620</wp:posOffset>
            </wp:positionV>
            <wp:extent cx="5983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6" w:lineRule="exact"/>
        <w:rPr>
          <w:sz w:val="20"/>
          <w:szCs w:val="20"/>
          <w:color w:val="auto"/>
        </w:rPr>
      </w:pPr>
    </w:p>
    <w:p>
      <w:pPr>
        <w:ind w:left="1820" w:right="260" w:hanging="1808"/>
        <w:spacing w:after="0" w:line="260" w:lineRule="auto"/>
        <w:tabs>
          <w:tab w:leader="none" w:pos="180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w:t>
      </w:r>
    </w:p>
    <w:p>
      <w:pPr>
        <w:spacing w:after="0" w:line="204" w:lineRule="exact"/>
        <w:rPr>
          <w:sz w:val="20"/>
          <w:szCs w:val="20"/>
          <w:color w:val="auto"/>
        </w:rPr>
      </w:pPr>
    </w:p>
    <w:p>
      <w:pPr>
        <w:ind w:left="1820" w:right="20"/>
        <w:spacing w:after="0" w:line="246" w:lineRule="auto"/>
        <w:rPr>
          <w:sz w:val="20"/>
          <w:szCs w:val="20"/>
          <w:color w:val="auto"/>
        </w:rPr>
      </w:pPr>
      <w:r>
        <w:rPr>
          <w:rFonts w:ascii="Arial" w:cs="Arial" w:eastAsia="Arial" w:hAnsi="Arial"/>
          <w:sz w:val="20"/>
          <w:szCs w:val="20"/>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18"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19050</wp:posOffset>
            </wp:positionV>
            <wp:extent cx="5983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5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Identification and Classification of Members of the Group.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Item 8.</w:t>
      </w:r>
    </w:p>
    <w:p>
      <w:pPr>
        <w:spacing w:after="0" w:line="227" w:lineRule="exact"/>
        <w:rPr>
          <w:sz w:val="20"/>
          <w:szCs w:val="20"/>
          <w:color w:val="auto"/>
        </w:rPr>
      </w:pPr>
    </w:p>
    <w:p>
      <w:pPr>
        <w:ind w:left="1820" w:right="80" w:hanging="7"/>
        <w:spacing w:after="0" w:line="291"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19050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23"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43" w:lineRule="exact"/>
        <w:rPr>
          <w:sz w:val="20"/>
          <w:szCs w:val="20"/>
          <w:color w:val="auto"/>
        </w:rPr>
      </w:pPr>
    </w:p>
    <w:p>
      <w:pPr>
        <w:jc w:val="both"/>
        <w:ind w:left="1820" w:right="40" w:hanging="7"/>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19050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50" w:lineRule="exact"/>
        <w:rPr>
          <w:sz w:val="20"/>
          <w:szCs w:val="20"/>
          <w:color w:val="auto"/>
        </w:rPr>
      </w:pPr>
    </w:p>
    <w:p>
      <w:pPr>
        <w:spacing w:after="0"/>
        <w:tabs>
          <w:tab w:leader="none" w:pos="180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43" w:lineRule="exact"/>
        <w:rPr>
          <w:sz w:val="20"/>
          <w:szCs w:val="20"/>
          <w:color w:val="auto"/>
        </w:rPr>
      </w:pPr>
    </w:p>
    <w:p>
      <w:pPr>
        <w:ind w:left="182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305435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717"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14, 2022</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-143510</wp:posOffset>
            </wp:positionV>
            <wp:extent cx="3488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SAMLYN CAPITAL, LLC*</w:t>
      </w:r>
    </w:p>
    <w:p>
      <w:pPr>
        <w:spacing w:after="0" w:line="262"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Samlyn, LP, its sole member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 Robert Pohly</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-143510</wp:posOffset>
            </wp:positionV>
            <wp:extent cx="31375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SAMLYN, LP*</w:t>
      </w:r>
    </w:p>
    <w:p>
      <w:pPr>
        <w:spacing w:after="0" w:line="262"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 Robert Pohly</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-143510</wp:posOffset>
            </wp:positionV>
            <wp:extent cx="3137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ROBERT POHLY*</w:t>
      </w:r>
    </w:p>
    <w:p>
      <w:pPr>
        <w:spacing w:after="0" w:line="262"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19050</wp:posOffset>
            </wp:positionV>
            <wp:extent cx="3137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8"/>
        <w:spacing w:after="0" w:line="250" w:lineRule="auto"/>
        <w:tabs>
          <w:tab w:leader="none" w:pos="155"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This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agree that this Schedule 13G dated February 14, 2022 relating to the Class A Common Stock, par value $0.0001 per share, of Perella Weinberg Partners shall be filed on behalf of the undersigned.</w:t>
      </w: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SAMLYN CAPITAL, LLC</w:t>
      </w:r>
    </w:p>
    <w:p>
      <w:pPr>
        <w:spacing w:after="0" w:line="262"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Samlyn, LP, its sole member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 Robert Pohly</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-143510</wp:posOffset>
            </wp:positionV>
            <wp:extent cx="3137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SAMLYN, LP</w:t>
      </w:r>
    </w:p>
    <w:p>
      <w:pPr>
        <w:spacing w:after="0" w:line="262"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Samlyn GP, LLC, its general partner</w:t>
      </w:r>
    </w:p>
    <w:p>
      <w:pPr>
        <w:spacing w:after="0" w:line="256"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 Robert Pohly</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-143510</wp:posOffset>
            </wp:positionV>
            <wp:extent cx="3137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ROBERT POHLY</w:t>
      </w:r>
    </w:p>
    <w:p>
      <w:pPr>
        <w:spacing w:after="0" w:line="262" w:lineRule="exact"/>
        <w:rPr>
          <w:sz w:val="20"/>
          <w:szCs w:val="20"/>
          <w:color w:val="auto"/>
        </w:rPr>
      </w:pPr>
    </w:p>
    <w:p>
      <w:pPr>
        <w:ind w:left="5840"/>
        <w:spacing w:after="0"/>
        <w:tabs>
          <w:tab w:leader="none" w:pos="6380" w:val="left"/>
        </w:tabs>
        <w:rPr>
          <w:sz w:val="20"/>
          <w:szCs w:val="20"/>
          <w:color w:val="auto"/>
        </w:rPr>
      </w:pPr>
      <w:r>
        <w:rPr>
          <w:rFonts w:ascii="Arial" w:cs="Arial" w:eastAsia="Arial" w:hAnsi="Arial"/>
          <w:sz w:val="20"/>
          <w:szCs w:val="20"/>
          <w:color w:val="auto"/>
        </w:rPr>
        <w:t>By:</w:t>
        <w:tab/>
        <w:t>/s/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19050</wp:posOffset>
            </wp:positionV>
            <wp:extent cx="3137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sectPr>
      <w:pgSz w:w="11900" w:h="16838" w:orient="portrait"/>
      <w:cols w:equalWidth="0" w:num="1">
        <w:col w:w="11240"/>
      </w:cols>
      <w:pgMar w:left="320" w:top="9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5"/>
    </w:lvl>
    <w:lvl w:ilvl="1">
      <w:lvlJc w:val="left"/>
      <w:lvlText w:val="(%2)"/>
      <w:numFmt w:val="decimal"/>
      <w:start w:val="14"/>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Letter"/>
      <w:start w:val="3"/>
    </w:lvl>
    <w:lvl w:ilvl="1">
      <w:lvlJc w:val="left"/>
      <w:lvlText w:val="(%2)"/>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2022-02-14T13:07:18Z</dcterms:created>
  <dcterms:modified xsi:type="dcterms:W3CDTF">2022-02-14T13:07:18Z</dcterms:modified>
</cp:coreProperties>
</file>