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117475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7, 2023</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135255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444"/>
              <w:spacing w:after="0"/>
              <w:rPr>
                <w:sz w:val="20"/>
                <w:szCs w:val="20"/>
                <w:color w:val="auto"/>
              </w:rPr>
            </w:pPr>
            <w:r>
              <w:rPr>
                <w:rFonts w:ascii="Arial" w:cs="Arial" w:eastAsia="Arial" w:hAnsi="Arial"/>
                <w:sz w:val="18"/>
                <w:szCs w:val="18"/>
                <w:b w:val="1"/>
                <w:bCs w:val="1"/>
                <w:color w:val="auto"/>
              </w:rPr>
              <w:t>84-1770732</w:t>
            </w:r>
          </w:p>
        </w:tc>
      </w:tr>
      <w:tr>
        <w:trPr>
          <w:trHeight w:val="178"/>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342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59"/>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767 Fifth Avenue</w:t>
            </w:r>
          </w:p>
        </w:tc>
        <w:tc>
          <w:tcPr>
            <w:tcW w:w="3420" w:type="dxa"/>
            <w:vAlign w:val="bottom"/>
          </w:tcPr>
          <w:p>
            <w:pPr>
              <w:spacing w:after="0"/>
              <w:rPr>
                <w:sz w:val="22"/>
                <w:szCs w:val="22"/>
                <w:color w:val="auto"/>
              </w:rPr>
            </w:pPr>
          </w:p>
        </w:tc>
      </w:tr>
      <w:tr>
        <w:trPr>
          <w:trHeight w:val="238"/>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New York, NY</w:t>
            </w:r>
          </w:p>
        </w:tc>
        <w:tc>
          <w:tcPr>
            <w:tcW w:w="3420" w:type="dxa"/>
            <w:vAlign w:val="bottom"/>
          </w:tcPr>
          <w:p>
            <w:pPr>
              <w:jc w:val="right"/>
              <w:ind w:right="664"/>
              <w:spacing w:after="0"/>
              <w:rPr>
                <w:sz w:val="20"/>
                <w:szCs w:val="20"/>
                <w:color w:val="auto"/>
              </w:rPr>
            </w:pPr>
            <w:r>
              <w:rPr>
                <w:rFonts w:ascii="Arial" w:cs="Arial" w:eastAsia="Arial" w:hAnsi="Arial"/>
                <w:sz w:val="18"/>
                <w:szCs w:val="18"/>
                <w:b w:val="1"/>
                <w:bCs w:val="1"/>
                <w:color w:val="auto"/>
              </w:rPr>
              <w:t>10153</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20" w:type="dxa"/>
            <w:vAlign w:val="bottom"/>
          </w:tcPr>
          <w:p>
            <w:pPr>
              <w:jc w:val="center"/>
              <w:ind w:left="1444"/>
              <w:spacing w:after="0"/>
              <w:rPr>
                <w:sz w:val="20"/>
                <w:szCs w:val="20"/>
                <w:color w:val="auto"/>
              </w:rPr>
            </w:pPr>
            <w:r>
              <w:rPr>
                <w:rFonts w:ascii="Arial" w:cs="Arial" w:eastAsia="Arial" w:hAnsi="Arial"/>
                <w:sz w:val="13"/>
                <w:szCs w:val="13"/>
                <w:b w:val="1"/>
                <w:bCs w:val="1"/>
                <w:color w:val="auto"/>
                <w:w w:val="90"/>
              </w:rPr>
              <w:t>(Zip Code)</w:t>
            </w:r>
          </w:p>
        </w:tc>
      </w:tr>
    </w:tbl>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3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4020" w:type="dxa"/>
            <w:vAlign w:val="bottom"/>
            <w:gridSpan w:val="4"/>
          </w:tcPr>
          <w:p>
            <w:pPr>
              <w:ind w:left="140"/>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600" w:type="dxa"/>
            <w:vAlign w:val="bottom"/>
          </w:tcPr>
          <w:p>
            <w:pPr>
              <w:spacing w:after="0"/>
              <w:rPr>
                <w:sz w:val="17"/>
                <w:szCs w:val="17"/>
                <w:color w:val="auto"/>
              </w:rPr>
            </w:pPr>
          </w:p>
        </w:tc>
      </w:tr>
      <w:tr>
        <w:trPr>
          <w:trHeight w:val="46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3620" w:type="dxa"/>
            <w:vAlign w:val="bottom"/>
          </w:tcPr>
          <w:p>
            <w:pPr>
              <w:ind w:left="20"/>
              <w:spacing w:after="0"/>
              <w:rPr>
                <w:sz w:val="20"/>
                <w:szCs w:val="20"/>
                <w:color w:val="auto"/>
              </w:rPr>
            </w:pPr>
            <w:r>
              <w:rPr>
                <w:rFonts w:ascii="Arial" w:cs="Arial" w:eastAsia="Arial" w:hAnsi="Arial"/>
                <w:sz w:val="16"/>
                <w:szCs w:val="16"/>
                <w:color w:val="auto"/>
                <w:w w:val="94"/>
              </w:rPr>
              <w:t>Class A Common Stock, par value $0.0001 per share</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29"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700"/>
        <w:spacing w:after="0" w:line="207" w:lineRule="exact"/>
        <w:tabs>
          <w:tab w:leader="none" w:pos="109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6"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2023, Perella Weinberg Partners (the “Company”) issued a press release announcing its financial results for the fiscal quarter ended September 30, 2023.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87"/>
              </w:rPr>
              <w:t>Press Release Issued by the Company dated November 7, 2023</w:t>
            </w:r>
          </w:p>
        </w:tc>
        <w:tc>
          <w:tcPr>
            <w:tcW w:w="532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3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14605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Gary Barancik</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2023</w:t>
      </w:r>
    </w:p>
    <w:p>
      <w:pPr>
        <w:sectPr>
          <w:pgSz w:w="11900" w:h="16838" w:orient="portrait"/>
          <w:cols w:equalWidth="0" w:num="1">
            <w:col w:w="10920"/>
          </w:cols>
          <w:pgMar w:left="320" w:top="783"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89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29"/>
          <w:szCs w:val="29"/>
          <w:color w:val="auto"/>
        </w:rPr>
        <w:t>Perella Weinberg Reports Third Quarter 2023 Results</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Third Quarter</w:t>
      </w:r>
    </w:p>
    <w:p>
      <w:pPr>
        <w:spacing w:after="0" w:line="199"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$139 Million, Down 4%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Income Margin of 8.5%, GAAP Operating Loss Margin of (19.2)%</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$0.12; GAAP Diluted EPS of $(0.27)</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Nine Months</w:t>
      </w:r>
    </w:p>
    <w:p>
      <w:pPr>
        <w:spacing w:after="0" w:line="199"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$436 Million, Down 3%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Operating Income Margin of 8.9%, GAAP Operating Loss Margin of (16.3)%</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of $0.37; GAAP Diluted EPS of $(0.84)</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 and Strategic Actions</w:t>
      </w:r>
    </w:p>
    <w:p>
      <w:pPr>
        <w:spacing w:after="0" w:line="199"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Continue to Add Senior Bankers to Expand Client Coverage Footprint and Accelerate Growth</w:t>
      </w:r>
    </w:p>
    <w:p>
      <w:pPr>
        <w:spacing w:after="0" w:line="188"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Year-To-Date Added Six New Partners and Seven New Managing Directors</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Additional Partner Expected to Join Firm in the Fourth Quarter and a Further Partner in 2024</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85" w:lineRule="exact"/>
        <w:rPr>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Strong Balance Sheet with $197 Million of Cash and Short-Term Investments and No Debt</w:t>
      </w:r>
    </w:p>
    <w:p>
      <w:pPr>
        <w:spacing w:after="0" w:line="188" w:lineRule="exact"/>
        <w:rPr>
          <w:rFonts w:ascii="Arial" w:cs="Arial" w:eastAsia="Arial" w:hAnsi="Arial"/>
          <w:sz w:val="20"/>
          <w:szCs w:val="20"/>
          <w:i w:val="1"/>
          <w:iCs w:val="1"/>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Year-to-Date Returned $57 Million, Including Repurchases of 3.9 Million Shares and Equivalents</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8890"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240" w:right="140"/>
        <w:spacing w:after="0" w:line="315" w:lineRule="auto"/>
        <w:rPr>
          <w:sz w:val="20"/>
          <w:szCs w:val="20"/>
          <w:color w:val="auto"/>
        </w:rPr>
      </w:pPr>
      <w:r>
        <w:rPr>
          <w:rFonts w:ascii="Arial" w:cs="Arial" w:eastAsia="Arial" w:hAnsi="Arial"/>
          <w:sz w:val="20"/>
          <w:szCs w:val="20"/>
          <w:color w:val="auto"/>
        </w:rPr>
        <w:t>“We continue to execute on our strategic priorities — attracting top talent to our platform and expanding our client coverage footprint — positioning us well as market conditions improve. During the quarter, we outperformed the broader market, with demand for our services driven by increasing complexity and challenging markets. We, as always, remain focused on serving our clients and we are confident our efforts will create significant value for shareholders over time,” stated Andrew Bednar, Chief Executive Officer.</w:t>
      </w:r>
    </w:p>
    <w:p>
      <w:pPr>
        <w:spacing w:after="0" w:line="200" w:lineRule="exact"/>
        <w:rPr>
          <w:sz w:val="20"/>
          <w:szCs w:val="20"/>
          <w:color w:val="auto"/>
        </w:rPr>
      </w:pPr>
    </w:p>
    <w:p>
      <w:pPr>
        <w:spacing w:after="0" w:line="238" w:lineRule="exact"/>
        <w:rPr>
          <w:sz w:val="20"/>
          <w:szCs w:val="20"/>
          <w:color w:val="auto"/>
        </w:rPr>
      </w:pPr>
    </w:p>
    <w:p>
      <w:pPr>
        <w:ind w:right="680"/>
        <w:spacing w:after="0" w:line="342" w:lineRule="auto"/>
        <w:rPr>
          <w:sz w:val="20"/>
          <w:szCs w:val="20"/>
          <w:color w:val="auto"/>
        </w:rPr>
      </w:pPr>
      <w:r>
        <w:rPr>
          <w:rFonts w:ascii="Arial" w:cs="Arial" w:eastAsia="Arial" w:hAnsi="Arial"/>
          <w:sz w:val="20"/>
          <w:szCs w:val="20"/>
          <w:b w:val="1"/>
          <w:bCs w:val="1"/>
          <w:color w:val="auto"/>
        </w:rPr>
        <w:t xml:space="preserve">NEW YORK, NY, November 7, 2023 </w:t>
      </w:r>
      <w:r>
        <w:rPr>
          <w:rFonts w:ascii="Arial" w:cs="Arial" w:eastAsia="Arial" w:hAnsi="Arial"/>
          <w:sz w:val="20"/>
          <w:szCs w:val="20"/>
          <w:color w:val="auto"/>
        </w:rPr>
        <w:t>– Perella Weinberg Partners (the “Firm” or “PWP”) (NASDAQ:PWP) today reported</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results for the third quarter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8"/>
        <w:spacing w:after="0" w:line="257"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Revenues</w:t>
      </w:r>
    </w:p>
    <w:p>
      <w:pPr>
        <w:spacing w:after="0" w:line="307" w:lineRule="exact"/>
        <w:rPr>
          <w:sz w:val="20"/>
          <w:szCs w:val="20"/>
          <w:color w:val="auto"/>
        </w:rPr>
      </w:pPr>
    </w:p>
    <w:p>
      <w:pPr>
        <w:jc w:val="both"/>
        <w:ind w:right="20"/>
        <w:spacing w:after="0" w:line="320" w:lineRule="auto"/>
        <w:rPr>
          <w:sz w:val="20"/>
          <w:szCs w:val="20"/>
          <w:color w:val="auto"/>
        </w:rPr>
      </w:pPr>
      <w:r>
        <w:rPr>
          <w:rFonts w:ascii="Arial" w:cs="Arial" w:eastAsia="Arial" w:hAnsi="Arial"/>
          <w:sz w:val="20"/>
          <w:szCs w:val="20"/>
          <w:color w:val="auto"/>
        </w:rPr>
        <w:t>For the third quarter of 2023, revenues were $139.0 million, a decrease of 4% from $145.4 million for the third quarter of 2022. Revenues attributed to mergers and acquisition activity were up slightly period-over-period, while financing and capital solutions revenues were lower as compared to the third quarter of 2022 which contained a particularly large financing fee.</w:t>
      </w:r>
    </w:p>
    <w:p>
      <w:pPr>
        <w:spacing w:after="0" w:line="21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For the nine months ended September 30, 2023, revenues were $436.0 million, a decrease of 3% from $448.4 million for the nine months ended September 30, 2022. Revenues attributed to mergers and acquisition activity were up slightly period-over-period, while financing and capital solutions revenues were lower due to a large financing fee and restructuring fee in the year ago period.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503C64"/>
              </w:rPr>
              <w:t>U.S. GAAP</w:t>
            </w:r>
          </w:p>
        </w:tc>
        <w:tc>
          <w:tcPr>
            <w:tcW w:w="220" w:type="dxa"/>
            <w:vAlign w:val="bottom"/>
          </w:tcPr>
          <w:p>
            <w:pPr>
              <w:spacing w:after="0"/>
              <w:rPr>
                <w:sz w:val="20"/>
                <w:szCs w:val="20"/>
                <w:color w:val="auto"/>
              </w:rPr>
            </w:pPr>
          </w:p>
        </w:tc>
        <w:tc>
          <w:tcPr>
            <w:tcW w:w="20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503C64"/>
              </w:rPr>
              <w:t>Adjusted</w:t>
            </w:r>
          </w:p>
        </w:tc>
        <w:tc>
          <w:tcPr>
            <w:tcW w:w="230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503C64"/>
              </w:rPr>
              <w:t>U.S. GAAP</w:t>
            </w: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503C64"/>
              </w:rPr>
              <w:t>Adjusted</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60" w:type="dxa"/>
            <w:vAlign w:val="bottom"/>
            <w:tcBorders>
              <w:top w:val="single" w:sz="8" w:color="B6B6B6"/>
              <w:bottom w:val="single" w:sz="8" w:color="B6B6B6"/>
            </w:tcBorders>
          </w:tcPr>
          <w:p>
            <w:pPr>
              <w:spacing w:after="0"/>
              <w:rPr>
                <w:sz w:val="19"/>
                <w:szCs w:val="19"/>
                <w:color w:val="auto"/>
              </w:rPr>
            </w:pPr>
          </w:p>
        </w:tc>
        <w:tc>
          <w:tcPr>
            <w:tcW w:w="4300" w:type="dxa"/>
            <w:vAlign w:val="bottom"/>
            <w:tcBorders>
              <w:top w:val="single" w:sz="8" w:color="B6B6B6"/>
              <w:bottom w:val="single" w:sz="8" w:color="B6B6B6"/>
            </w:tcBorders>
            <w:gridSpan w:val="7"/>
          </w:tcPr>
          <w:p>
            <w:pPr>
              <w:jc w:val="right"/>
              <w:ind w:right="613"/>
              <w:spacing w:after="0"/>
              <w:rPr>
                <w:sz w:val="20"/>
                <w:szCs w:val="20"/>
                <w:color w:val="auto"/>
              </w:rPr>
            </w:pPr>
            <w:r>
              <w:rPr>
                <w:rFonts w:ascii="Arial" w:cs="Arial" w:eastAsia="Arial" w:hAnsi="Arial"/>
                <w:sz w:val="18"/>
                <w:szCs w:val="18"/>
                <w:b w:val="1"/>
                <w:bCs w:val="1"/>
                <w:color w:val="503C64"/>
              </w:rPr>
              <w:t>Three Months Ended September 30,</w:t>
            </w:r>
          </w:p>
        </w:tc>
        <w:tc>
          <w:tcPr>
            <w:tcW w:w="80" w:type="dxa"/>
            <w:vAlign w:val="bottom"/>
          </w:tcPr>
          <w:p>
            <w:pPr>
              <w:spacing w:after="0"/>
              <w:rPr>
                <w:sz w:val="19"/>
                <w:szCs w:val="19"/>
                <w:color w:val="auto"/>
              </w:rPr>
            </w:pPr>
          </w:p>
        </w:tc>
        <w:tc>
          <w:tcPr>
            <w:tcW w:w="4600" w:type="dxa"/>
            <w:vAlign w:val="bottom"/>
            <w:tcBorders>
              <w:top w:val="single" w:sz="8" w:color="B6B6B6"/>
              <w:bottom w:val="single" w:sz="8" w:color="B6B6B6"/>
            </w:tcBorders>
            <w:gridSpan w:val="6"/>
          </w:tcPr>
          <w:p>
            <w:pPr>
              <w:jc w:val="right"/>
              <w:ind w:right="730"/>
              <w:spacing w:after="0"/>
              <w:rPr>
                <w:sz w:val="20"/>
                <w:szCs w:val="20"/>
                <w:color w:val="auto"/>
              </w:rPr>
            </w:pPr>
            <w:r>
              <w:rPr>
                <w:rFonts w:ascii="Arial" w:cs="Arial" w:eastAsia="Arial" w:hAnsi="Arial"/>
                <w:sz w:val="18"/>
                <w:szCs w:val="18"/>
                <w:b w:val="1"/>
                <w:bCs w:val="1"/>
                <w:color w:val="503C64"/>
              </w:rPr>
              <w:t>Nine Months Ended September 30,</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B6B6B6"/>
            </w:tcBorders>
          </w:tcPr>
          <w:p>
            <w:pPr>
              <w:spacing w:after="0"/>
              <w:rPr>
                <w:sz w:val="19"/>
                <w:szCs w:val="19"/>
                <w:color w:val="auto"/>
              </w:rPr>
            </w:pPr>
          </w:p>
        </w:tc>
        <w:tc>
          <w:tcPr>
            <w:tcW w:w="160" w:type="dxa"/>
            <w:vAlign w:val="bottom"/>
            <w:tcBorders>
              <w:bottom w:val="single" w:sz="8" w:color="B6B6B6"/>
            </w:tcBorders>
          </w:tcPr>
          <w:p>
            <w:pPr>
              <w:spacing w:after="0"/>
              <w:rPr>
                <w:sz w:val="19"/>
                <w:szCs w:val="19"/>
                <w:color w:val="auto"/>
              </w:rPr>
            </w:pPr>
          </w:p>
        </w:tc>
        <w:tc>
          <w:tcPr>
            <w:tcW w:w="960" w:type="dxa"/>
            <w:vAlign w:val="bottom"/>
            <w:tcBorders>
              <w:bottom w:val="single" w:sz="8" w:color="B6B6B6"/>
            </w:tcBorders>
          </w:tcPr>
          <w:p>
            <w:pPr>
              <w:jc w:val="right"/>
              <w:ind w:right="290"/>
              <w:spacing w:after="0"/>
              <w:rPr>
                <w:sz w:val="20"/>
                <w:szCs w:val="20"/>
                <w:color w:val="auto"/>
              </w:rPr>
            </w:pPr>
            <w:r>
              <w:rPr>
                <w:rFonts w:ascii="Arial" w:cs="Arial" w:eastAsia="Arial" w:hAnsi="Arial"/>
                <w:sz w:val="18"/>
                <w:szCs w:val="18"/>
                <w:b w:val="1"/>
                <w:bCs w:val="1"/>
                <w:color w:val="503C64"/>
              </w:rPr>
              <w:t>2023</w:t>
            </w:r>
          </w:p>
        </w:tc>
        <w:tc>
          <w:tcPr>
            <w:tcW w:w="200" w:type="dxa"/>
            <w:vAlign w:val="bottom"/>
            <w:tcBorders>
              <w:bottom w:val="single" w:sz="8" w:color="B6B6B6"/>
            </w:tcBorders>
          </w:tcPr>
          <w:p>
            <w:pPr>
              <w:spacing w:after="0"/>
              <w:rPr>
                <w:sz w:val="19"/>
                <w:szCs w:val="19"/>
                <w:color w:val="auto"/>
              </w:rPr>
            </w:pPr>
          </w:p>
        </w:tc>
        <w:tc>
          <w:tcPr>
            <w:tcW w:w="960" w:type="dxa"/>
            <w:vAlign w:val="bottom"/>
            <w:tcBorders>
              <w:bottom w:val="single" w:sz="8" w:color="B6B6B6"/>
            </w:tcBorders>
          </w:tcPr>
          <w:p>
            <w:pPr>
              <w:jc w:val="right"/>
              <w:ind w:right="290"/>
              <w:spacing w:after="0"/>
              <w:rPr>
                <w:sz w:val="20"/>
                <w:szCs w:val="20"/>
                <w:color w:val="auto"/>
              </w:rPr>
            </w:pPr>
            <w:r>
              <w:rPr>
                <w:rFonts w:ascii="Arial" w:cs="Arial" w:eastAsia="Arial" w:hAnsi="Arial"/>
                <w:sz w:val="18"/>
                <w:szCs w:val="18"/>
                <w:b w:val="1"/>
                <w:bCs w:val="1"/>
                <w:color w:val="503C64"/>
              </w:rPr>
              <w:t>2022</w:t>
            </w:r>
          </w:p>
        </w:tc>
        <w:tc>
          <w:tcPr>
            <w:tcW w:w="220" w:type="dxa"/>
            <w:vAlign w:val="bottom"/>
            <w:tcBorders>
              <w:bottom w:val="single" w:sz="8" w:color="B6B6B6"/>
            </w:tcBorders>
          </w:tcPr>
          <w:p>
            <w:pPr>
              <w:spacing w:after="0"/>
              <w:rPr>
                <w:sz w:val="19"/>
                <w:szCs w:val="19"/>
                <w:color w:val="auto"/>
              </w:rPr>
            </w:pPr>
          </w:p>
        </w:tc>
        <w:tc>
          <w:tcPr>
            <w:tcW w:w="880" w:type="dxa"/>
            <w:vAlign w:val="bottom"/>
            <w:tcBorders>
              <w:bottom w:val="single" w:sz="8" w:color="B6B6B6"/>
            </w:tcBorders>
          </w:tcPr>
          <w:p>
            <w:pPr>
              <w:jc w:val="right"/>
              <w:ind w:right="250"/>
              <w:spacing w:after="0"/>
              <w:rPr>
                <w:sz w:val="20"/>
                <w:szCs w:val="20"/>
                <w:color w:val="auto"/>
              </w:rPr>
            </w:pPr>
            <w:r>
              <w:rPr>
                <w:rFonts w:ascii="Arial" w:cs="Arial" w:eastAsia="Arial" w:hAnsi="Arial"/>
                <w:sz w:val="18"/>
                <w:szCs w:val="18"/>
                <w:b w:val="1"/>
                <w:bCs w:val="1"/>
                <w:color w:val="503C64"/>
              </w:rPr>
              <w:t>2023</w:t>
            </w:r>
          </w:p>
        </w:tc>
        <w:tc>
          <w:tcPr>
            <w:tcW w:w="220" w:type="dxa"/>
            <w:vAlign w:val="bottom"/>
            <w:tcBorders>
              <w:bottom w:val="single" w:sz="8" w:color="B6B6B6"/>
            </w:tcBorders>
          </w:tcPr>
          <w:p>
            <w:pPr>
              <w:spacing w:after="0"/>
              <w:rPr>
                <w:sz w:val="19"/>
                <w:szCs w:val="19"/>
                <w:color w:val="auto"/>
              </w:rPr>
            </w:pPr>
          </w:p>
        </w:tc>
        <w:tc>
          <w:tcPr>
            <w:tcW w:w="860" w:type="dxa"/>
            <w:vAlign w:val="bottom"/>
            <w:tcBorders>
              <w:bottom w:val="single" w:sz="8" w:color="B6B6B6"/>
            </w:tcBorders>
          </w:tcPr>
          <w:p>
            <w:pPr>
              <w:jc w:val="right"/>
              <w:ind w:right="233"/>
              <w:spacing w:after="0"/>
              <w:rPr>
                <w:sz w:val="20"/>
                <w:szCs w:val="20"/>
                <w:color w:val="auto"/>
              </w:rPr>
            </w:pPr>
            <w:r>
              <w:rPr>
                <w:rFonts w:ascii="Arial" w:cs="Arial" w:eastAsia="Arial" w:hAnsi="Arial"/>
                <w:sz w:val="18"/>
                <w:szCs w:val="18"/>
                <w:b w:val="1"/>
                <w:bCs w:val="1"/>
                <w:color w:val="503C64"/>
              </w:rPr>
              <w:t>2022</w:t>
            </w:r>
          </w:p>
        </w:tc>
        <w:tc>
          <w:tcPr>
            <w:tcW w:w="80" w:type="dxa"/>
            <w:vAlign w:val="bottom"/>
            <w:tcBorders>
              <w:bottom w:val="single" w:sz="8" w:color="B6B6B6"/>
            </w:tcBorders>
          </w:tcPr>
          <w:p>
            <w:pPr>
              <w:spacing w:after="0"/>
              <w:rPr>
                <w:sz w:val="19"/>
                <w:szCs w:val="19"/>
                <w:color w:val="auto"/>
              </w:rPr>
            </w:pPr>
          </w:p>
        </w:tc>
        <w:tc>
          <w:tcPr>
            <w:tcW w:w="1120" w:type="dxa"/>
            <w:vAlign w:val="bottom"/>
            <w:tcBorders>
              <w:bottom w:val="single" w:sz="8" w:color="B6B6B6"/>
            </w:tcBorders>
          </w:tcPr>
          <w:p>
            <w:pPr>
              <w:jc w:val="right"/>
              <w:ind w:right="290"/>
              <w:spacing w:after="0"/>
              <w:rPr>
                <w:sz w:val="20"/>
                <w:szCs w:val="20"/>
                <w:color w:val="auto"/>
              </w:rPr>
            </w:pPr>
            <w:r>
              <w:rPr>
                <w:rFonts w:ascii="Arial" w:cs="Arial" w:eastAsia="Arial" w:hAnsi="Arial"/>
                <w:sz w:val="18"/>
                <w:szCs w:val="18"/>
                <w:b w:val="1"/>
                <w:bCs w:val="1"/>
                <w:color w:val="503C64"/>
              </w:rPr>
              <w:t>2023</w:t>
            </w:r>
          </w:p>
        </w:tc>
        <w:tc>
          <w:tcPr>
            <w:tcW w:w="200" w:type="dxa"/>
            <w:vAlign w:val="bottom"/>
            <w:tcBorders>
              <w:bottom w:val="single" w:sz="8" w:color="B6B6B6"/>
            </w:tcBorders>
          </w:tcPr>
          <w:p>
            <w:pPr>
              <w:spacing w:after="0"/>
              <w:rPr>
                <w:sz w:val="19"/>
                <w:szCs w:val="19"/>
                <w:color w:val="auto"/>
              </w:rPr>
            </w:pPr>
          </w:p>
        </w:tc>
        <w:tc>
          <w:tcPr>
            <w:tcW w:w="980" w:type="dxa"/>
            <w:vAlign w:val="bottom"/>
            <w:tcBorders>
              <w:bottom w:val="single" w:sz="8" w:color="B6B6B6"/>
            </w:tcBorders>
          </w:tcPr>
          <w:p>
            <w:pPr>
              <w:jc w:val="right"/>
              <w:ind w:right="310"/>
              <w:spacing w:after="0"/>
              <w:rPr>
                <w:sz w:val="20"/>
                <w:szCs w:val="20"/>
                <w:color w:val="auto"/>
              </w:rPr>
            </w:pPr>
            <w:r>
              <w:rPr>
                <w:rFonts w:ascii="Arial" w:cs="Arial" w:eastAsia="Arial" w:hAnsi="Arial"/>
                <w:sz w:val="18"/>
                <w:szCs w:val="18"/>
                <w:b w:val="1"/>
                <w:bCs w:val="1"/>
                <w:color w:val="503C64"/>
              </w:rPr>
              <w:t>2022</w:t>
            </w:r>
          </w:p>
        </w:tc>
        <w:tc>
          <w:tcPr>
            <w:tcW w:w="1160" w:type="dxa"/>
            <w:vAlign w:val="bottom"/>
            <w:tcBorders>
              <w:bottom w:val="single" w:sz="8" w:color="B6B6B6"/>
            </w:tcBorders>
          </w:tcPr>
          <w:p>
            <w:pPr>
              <w:jc w:val="right"/>
              <w:ind w:right="290"/>
              <w:spacing w:after="0"/>
              <w:rPr>
                <w:sz w:val="20"/>
                <w:szCs w:val="20"/>
                <w:color w:val="auto"/>
              </w:rPr>
            </w:pPr>
            <w:r>
              <w:rPr>
                <w:rFonts w:ascii="Arial" w:cs="Arial" w:eastAsia="Arial" w:hAnsi="Arial"/>
                <w:sz w:val="18"/>
                <w:szCs w:val="18"/>
                <w:b w:val="1"/>
                <w:bCs w:val="1"/>
                <w:color w:val="503C64"/>
              </w:rPr>
              <w:t>2023</w:t>
            </w:r>
          </w:p>
        </w:tc>
        <w:tc>
          <w:tcPr>
            <w:tcW w:w="220" w:type="dxa"/>
            <w:vAlign w:val="bottom"/>
            <w:tcBorders>
              <w:bottom w:val="single" w:sz="8" w:color="B6B6B6"/>
            </w:tcBorders>
          </w:tcPr>
          <w:p>
            <w:pPr>
              <w:spacing w:after="0"/>
              <w:rPr>
                <w:sz w:val="19"/>
                <w:szCs w:val="19"/>
                <w:color w:val="auto"/>
              </w:rPr>
            </w:pPr>
          </w:p>
        </w:tc>
        <w:tc>
          <w:tcPr>
            <w:tcW w:w="920" w:type="dxa"/>
            <w:vAlign w:val="bottom"/>
            <w:tcBorders>
              <w:bottom w:val="single" w:sz="8" w:color="B6B6B6"/>
            </w:tcBorders>
          </w:tcPr>
          <w:p>
            <w:pPr>
              <w:jc w:val="right"/>
              <w:ind w:right="250"/>
              <w:spacing w:after="0"/>
              <w:rPr>
                <w:sz w:val="20"/>
                <w:szCs w:val="20"/>
                <w:color w:val="auto"/>
              </w:rPr>
            </w:pPr>
            <w:r>
              <w:rPr>
                <w:rFonts w:ascii="Arial" w:cs="Arial" w:eastAsia="Arial" w:hAnsi="Arial"/>
                <w:sz w:val="18"/>
                <w:szCs w:val="18"/>
                <w:b w:val="1"/>
                <w:bCs w:val="1"/>
                <w:color w:val="503C64"/>
              </w:rPr>
              <w:t>2022</w:t>
            </w:r>
          </w:p>
        </w:tc>
        <w:tc>
          <w:tcPr>
            <w:tcW w:w="0" w:type="dxa"/>
            <w:vAlign w:val="bottom"/>
          </w:tcPr>
          <w:p>
            <w:pPr>
              <w:spacing w:after="0"/>
              <w:rPr>
                <w:sz w:val="1"/>
                <w:szCs w:val="1"/>
                <w:color w:val="auto"/>
              </w:rPr>
            </w:pPr>
          </w:p>
        </w:tc>
      </w:tr>
      <w:tr>
        <w:trPr>
          <w:trHeight w:val="173"/>
        </w:trPr>
        <w:tc>
          <w:tcPr>
            <w:tcW w:w="1680" w:type="dxa"/>
            <w:vAlign w:val="bottom"/>
          </w:tcPr>
          <w:p>
            <w:pPr>
              <w:spacing w:after="0" w:line="173" w:lineRule="exact"/>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503C64"/>
              </w:rPr>
              <w:t>(Dollars in Thousands)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100"/>
              <w:spacing w:after="0" w:line="189"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line="176" w:lineRule="exact"/>
              <w:rPr>
                <w:sz w:val="20"/>
                <w:szCs w:val="20"/>
                <w:color w:val="auto"/>
              </w:rPr>
            </w:pPr>
            <w:r>
              <w:rPr>
                <w:rFonts w:ascii="Arial" w:cs="Arial" w:eastAsia="Arial" w:hAnsi="Arial"/>
                <w:sz w:val="18"/>
                <w:szCs w:val="18"/>
                <w:color w:val="auto"/>
              </w:rPr>
              <w:t>compensation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90"/>
              <w:spacing w:after="0"/>
              <w:rPr>
                <w:sz w:val="20"/>
                <w:szCs w:val="20"/>
                <w:color w:val="auto"/>
              </w:rPr>
            </w:pPr>
            <w:r>
              <w:rPr>
                <w:rFonts w:ascii="Arial" w:cs="Arial" w:eastAsia="Arial" w:hAnsi="Arial"/>
                <w:sz w:val="18"/>
                <w:szCs w:val="18"/>
                <w:color w:val="auto"/>
              </w:rPr>
              <w:t>127,764</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90"/>
              <w:spacing w:after="0"/>
              <w:rPr>
                <w:sz w:val="20"/>
                <w:szCs w:val="20"/>
                <w:color w:val="auto"/>
              </w:rPr>
            </w:pPr>
            <w:r>
              <w:rPr>
                <w:rFonts w:ascii="Arial" w:cs="Arial" w:eastAsia="Arial" w:hAnsi="Arial"/>
                <w:sz w:val="18"/>
                <w:szCs w:val="18"/>
                <w:color w:val="auto"/>
              </w:rPr>
              <w:t>123,259</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90"/>
              <w:spacing w:after="0"/>
              <w:rPr>
                <w:sz w:val="20"/>
                <w:szCs w:val="20"/>
                <w:color w:val="auto"/>
              </w:rPr>
            </w:pPr>
            <w:r>
              <w:rPr>
                <w:rFonts w:ascii="Arial" w:cs="Arial" w:eastAsia="Arial" w:hAnsi="Arial"/>
                <w:sz w:val="18"/>
                <w:szCs w:val="18"/>
                <w:color w:val="auto"/>
              </w:rPr>
              <w:t>92,977</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53"/>
              <w:spacing w:after="0"/>
              <w:rPr>
                <w:sz w:val="20"/>
                <w:szCs w:val="20"/>
                <w:color w:val="auto"/>
              </w:rPr>
            </w:pPr>
            <w:r>
              <w:rPr>
                <w:rFonts w:ascii="Arial" w:cs="Arial" w:eastAsia="Arial" w:hAnsi="Arial"/>
                <w:sz w:val="18"/>
                <w:szCs w:val="18"/>
                <w:color w:val="auto"/>
              </w:rPr>
              <w:t>93,041</w:t>
            </w:r>
          </w:p>
        </w:tc>
        <w:tc>
          <w:tcPr>
            <w:tcW w:w="80" w:type="dxa"/>
            <w:vAlign w:val="bottom"/>
          </w:tcPr>
          <w:p>
            <w:pPr>
              <w:spacing w:after="0"/>
              <w:rPr>
                <w:sz w:val="15"/>
                <w:szCs w:val="15"/>
                <w:color w:val="auto"/>
              </w:rPr>
            </w:pPr>
          </w:p>
        </w:tc>
        <w:tc>
          <w:tcPr>
            <w:tcW w:w="1120" w:type="dxa"/>
            <w:vAlign w:val="bottom"/>
            <w:vMerge w:val="restart"/>
          </w:tcPr>
          <w:p>
            <w:pPr>
              <w:jc w:val="right"/>
              <w:ind w:right="190"/>
              <w:spacing w:after="0"/>
              <w:rPr>
                <w:sz w:val="20"/>
                <w:szCs w:val="20"/>
                <w:color w:val="auto"/>
              </w:rPr>
            </w:pPr>
            <w:r>
              <w:rPr>
                <w:rFonts w:ascii="Arial" w:cs="Arial" w:eastAsia="Arial" w:hAnsi="Arial"/>
                <w:sz w:val="18"/>
                <w:szCs w:val="18"/>
                <w:color w:val="auto"/>
              </w:rPr>
              <w:t>$ 393,826</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378,408</w:t>
            </w:r>
          </w:p>
        </w:tc>
        <w:tc>
          <w:tcPr>
            <w:tcW w:w="1160" w:type="dxa"/>
            <w:vAlign w:val="bottom"/>
            <w:vMerge w:val="restart"/>
          </w:tcPr>
          <w:p>
            <w:pPr>
              <w:jc w:val="right"/>
              <w:ind w:right="190"/>
              <w:spacing w:after="0"/>
              <w:rPr>
                <w:sz w:val="20"/>
                <w:szCs w:val="20"/>
                <w:color w:val="auto"/>
              </w:rPr>
            </w:pPr>
            <w:r>
              <w:rPr>
                <w:rFonts w:ascii="Arial" w:cs="Arial" w:eastAsia="Arial" w:hAnsi="Arial"/>
                <w:sz w:val="18"/>
                <w:szCs w:val="18"/>
                <w:color w:val="auto"/>
              </w:rPr>
              <w:t>$ 291,948</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color w:val="auto"/>
              </w:rPr>
              <w:t>287,005</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benefits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80" w:type="dxa"/>
            <w:vAlign w:val="bottom"/>
          </w:tcPr>
          <w:p>
            <w:pPr>
              <w:ind w:left="260"/>
              <w:spacing w:after="0"/>
              <w:rPr>
                <w:sz w:val="20"/>
                <w:szCs w:val="20"/>
                <w:color w:val="auto"/>
              </w:rPr>
            </w:pPr>
            <w:r>
              <w:rPr>
                <w:rFonts w:ascii="Arial" w:cs="Arial" w:eastAsia="Arial" w:hAnsi="Arial"/>
                <w:sz w:val="18"/>
                <w:szCs w:val="18"/>
                <w:i w:val="1"/>
                <w:iCs w:val="1"/>
                <w:color w:val="auto"/>
              </w:rPr>
              <w:t>% of Revenues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92 %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85 %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64 %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90 %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84 %</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64 %</w:t>
            </w:r>
          </w:p>
        </w:tc>
        <w:tc>
          <w:tcPr>
            <w:tcW w:w="0" w:type="dxa"/>
            <w:vAlign w:val="bottom"/>
          </w:tcPr>
          <w:p>
            <w:pPr>
              <w:spacing w:after="0"/>
              <w:rPr>
                <w:sz w:val="1"/>
                <w:szCs w:val="1"/>
                <w:color w:val="auto"/>
              </w:rPr>
            </w:pPr>
          </w:p>
        </w:tc>
      </w:tr>
      <w:tr>
        <w:trPr>
          <w:trHeight w:val="190"/>
        </w:trPr>
        <w:tc>
          <w:tcPr>
            <w:tcW w:w="1680" w:type="dxa"/>
            <w:vAlign w:val="bottom"/>
          </w:tcPr>
          <w:p>
            <w:pPr>
              <w:ind w:left="100"/>
              <w:spacing w:after="0" w:line="189" w:lineRule="exact"/>
              <w:rPr>
                <w:sz w:val="20"/>
                <w:szCs w:val="20"/>
                <w:color w:val="auto"/>
              </w:rPr>
            </w:pPr>
            <w:r>
              <w:rPr>
                <w:rFonts w:ascii="Arial" w:cs="Arial" w:eastAsia="Arial" w:hAnsi="Arial"/>
                <w:sz w:val="18"/>
                <w:szCs w:val="18"/>
                <w:color w:val="auto"/>
              </w:rPr>
              <w:t>Non-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80" w:type="dxa"/>
            <w:vAlign w:val="bottom"/>
          </w:tcPr>
          <w:p>
            <w:pPr>
              <w:spacing w:after="0" w:line="176" w:lineRule="exact"/>
              <w:rPr>
                <w:sz w:val="20"/>
                <w:szCs w:val="20"/>
                <w:color w:val="auto"/>
              </w:rPr>
            </w:pPr>
            <w:r>
              <w:rPr>
                <w:rFonts w:ascii="Arial" w:cs="Arial" w:eastAsia="Arial" w:hAnsi="Arial"/>
                <w:sz w:val="18"/>
                <w:szCs w:val="18"/>
                <w:color w:val="auto"/>
              </w:rPr>
              <w:t>compensation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90"/>
              <w:spacing w:after="0"/>
              <w:rPr>
                <w:sz w:val="20"/>
                <w:szCs w:val="20"/>
                <w:color w:val="auto"/>
              </w:rPr>
            </w:pPr>
            <w:r>
              <w:rPr>
                <w:rFonts w:ascii="Arial" w:cs="Arial" w:eastAsia="Arial" w:hAnsi="Arial"/>
                <w:sz w:val="18"/>
                <w:szCs w:val="18"/>
                <w:color w:val="auto"/>
              </w:rPr>
              <w:t>37,931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90"/>
              <w:spacing w:after="0"/>
              <w:rPr>
                <w:sz w:val="20"/>
                <w:szCs w:val="20"/>
                <w:color w:val="auto"/>
              </w:rPr>
            </w:pPr>
            <w:r>
              <w:rPr>
                <w:rFonts w:ascii="Arial" w:cs="Arial" w:eastAsia="Arial" w:hAnsi="Arial"/>
                <w:sz w:val="18"/>
                <w:szCs w:val="18"/>
                <w:color w:val="auto"/>
              </w:rPr>
              <w:t>30,938</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90"/>
              <w:spacing w:after="0"/>
              <w:rPr>
                <w:sz w:val="20"/>
                <w:szCs w:val="20"/>
                <w:color w:val="auto"/>
              </w:rPr>
            </w:pPr>
            <w:r>
              <w:rPr>
                <w:rFonts w:ascii="Arial" w:cs="Arial" w:eastAsia="Arial" w:hAnsi="Arial"/>
                <w:sz w:val="18"/>
                <w:szCs w:val="18"/>
                <w:color w:val="auto"/>
              </w:rPr>
              <w:t>34,267</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53"/>
              <w:spacing w:after="0"/>
              <w:rPr>
                <w:sz w:val="20"/>
                <w:szCs w:val="20"/>
                <w:color w:val="auto"/>
              </w:rPr>
            </w:pPr>
            <w:r>
              <w:rPr>
                <w:rFonts w:ascii="Arial" w:cs="Arial" w:eastAsia="Arial" w:hAnsi="Arial"/>
                <w:sz w:val="18"/>
                <w:szCs w:val="18"/>
                <w:color w:val="auto"/>
              </w:rPr>
              <w:t>27,786</w:t>
            </w:r>
          </w:p>
        </w:tc>
        <w:tc>
          <w:tcPr>
            <w:tcW w:w="80" w:type="dxa"/>
            <w:vAlign w:val="bottom"/>
          </w:tcPr>
          <w:p>
            <w:pPr>
              <w:spacing w:after="0"/>
              <w:rPr>
                <w:sz w:val="15"/>
                <w:szCs w:val="15"/>
                <w:color w:val="auto"/>
              </w:rPr>
            </w:pPr>
          </w:p>
        </w:tc>
        <w:tc>
          <w:tcPr>
            <w:tcW w:w="1120" w:type="dxa"/>
            <w:vAlign w:val="bottom"/>
            <w:vMerge w:val="restart"/>
          </w:tcPr>
          <w:p>
            <w:pPr>
              <w:jc w:val="right"/>
              <w:ind w:right="190"/>
              <w:spacing w:after="0"/>
              <w:rPr>
                <w:sz w:val="20"/>
                <w:szCs w:val="20"/>
                <w:color w:val="auto"/>
              </w:rPr>
            </w:pPr>
            <w:r>
              <w:rPr>
                <w:rFonts w:ascii="Arial" w:cs="Arial" w:eastAsia="Arial" w:hAnsi="Arial"/>
                <w:sz w:val="18"/>
                <w:szCs w:val="18"/>
                <w:color w:val="auto"/>
              </w:rPr>
              <w:t>$ 113,282</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98,141</w:t>
            </w:r>
          </w:p>
        </w:tc>
        <w:tc>
          <w:tcPr>
            <w:tcW w:w="1160" w:type="dxa"/>
            <w:vAlign w:val="bottom"/>
            <w:vMerge w:val="restart"/>
          </w:tcPr>
          <w:p>
            <w:pPr>
              <w:jc w:val="right"/>
              <w:ind w:right="190"/>
              <w:spacing w:after="0"/>
              <w:rPr>
                <w:sz w:val="20"/>
                <w:szCs w:val="20"/>
                <w:color w:val="auto"/>
              </w:rPr>
            </w:pPr>
            <w:r>
              <w:rPr>
                <w:rFonts w:ascii="Arial" w:cs="Arial" w:eastAsia="Arial" w:hAnsi="Arial"/>
                <w:sz w:val="18"/>
                <w:szCs w:val="18"/>
                <w:color w:val="auto"/>
              </w:rPr>
              <w:t>$ 105,163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color w:val="auto"/>
              </w:rPr>
              <w:t>90,985</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expenses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80" w:type="dxa"/>
            <w:vAlign w:val="bottom"/>
          </w:tcPr>
          <w:p>
            <w:pPr>
              <w:ind w:left="260"/>
              <w:spacing w:after="0"/>
              <w:rPr>
                <w:sz w:val="20"/>
                <w:szCs w:val="20"/>
                <w:color w:val="auto"/>
              </w:rPr>
            </w:pPr>
            <w:r>
              <w:rPr>
                <w:rFonts w:ascii="Arial" w:cs="Arial" w:eastAsia="Arial" w:hAnsi="Arial"/>
                <w:sz w:val="18"/>
                <w:szCs w:val="18"/>
                <w:i w:val="1"/>
                <w:iCs w:val="1"/>
                <w:color w:val="auto"/>
              </w:rPr>
              <w:t>% of Revenues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27 %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25 %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26 %</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Three Months Ended</w:t>
      </w:r>
    </w:p>
    <w:p>
      <w:pPr>
        <w:spacing w:after="0" w:line="316" w:lineRule="exact"/>
        <w:rPr>
          <w:sz w:val="20"/>
          <w:szCs w:val="20"/>
          <w:color w:val="auto"/>
        </w:rPr>
      </w:pPr>
    </w:p>
    <w:p>
      <w:pPr>
        <w:jc w:val="both"/>
        <w:spacing w:after="0" w:line="333" w:lineRule="auto"/>
        <w:rPr>
          <w:sz w:val="20"/>
          <w:szCs w:val="20"/>
          <w:color w:val="auto"/>
        </w:rPr>
      </w:pPr>
      <w:r>
        <w:rPr>
          <w:rFonts w:ascii="Arial" w:cs="Arial" w:eastAsia="Arial" w:hAnsi="Arial"/>
          <w:sz w:val="19"/>
          <w:szCs w:val="19"/>
          <w:color w:val="auto"/>
        </w:rPr>
        <w:t>GAAP total compensation and benefits were $127.8 million for the third quarter of 2023, compared to $123.3 million for the third quarter of 2022. Adjusted total compensation and benefits were $93.0 million for the third quarter of 2023 as compared to $93.0 million for the same period a year ago. The increase in GAAP total compensation and benefits was due to a higher compensation margin combined with the impact of business realignment costs associated with employee reductions undertaken year-to-date to improve compensation alignment and to provide for greater flexibility to advance strategic opportunities. The stability in adjusted total compensation and benefits was due to a higher compensation margin on a slightly lower revenue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8"/>
        <w:spacing w:after="0" w:line="257"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8" w:right="339" w:bottom="1440" w:gutter="0" w:footer="0" w:header="0"/>
        </w:sectPr>
      </w:pPr>
    </w:p>
    <w:bookmarkStart w:id="5" w:name="page6"/>
    <w:bookmarkEnd w:id="5"/>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4" w:lineRule="auto"/>
        <w:rPr>
          <w:sz w:val="20"/>
          <w:szCs w:val="20"/>
          <w:color w:val="auto"/>
        </w:rPr>
      </w:pPr>
      <w:r>
        <w:rPr>
          <w:rFonts w:ascii="Arial" w:cs="Arial" w:eastAsia="Arial" w:hAnsi="Arial"/>
          <w:sz w:val="20"/>
          <w:szCs w:val="20"/>
          <w:color w:val="auto"/>
        </w:rPr>
        <w:t>GAAP non-compensation expenses were $37.9 million for the third quarter of 2023, compared with $30.9 million for the third quarter of 2022. Adjusted non-compensation expenses were $34.3 million for the third quarter of 2023, compared with $27.8 million for the same period a year ago. The increase experienced in both GAAP non-compensation expenses and adjusted non-compensation expenses was largely driven by higher legal spend, a step-up in depreciation expense tied to New York and London office renovations and relocation, an increase in travel and related expenses, a bad debt reserve in the third quarter of 2023, and technology investments.</w:t>
      </w:r>
    </w:p>
    <w:p>
      <w:pPr>
        <w:spacing w:after="0" w:line="22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In the third quarter of 2023, we reached a settlement with the staff of the U.S. Securities and Exchange Commission (the “SEC”) in connection with the self-reporting of our practices relating to recordkeeping of business communications on “off-channel” messaging applications (the “Settlement”). Pursuant to the Settlement, Perella Weinberg Partners LP, Tudor, Pickering, Holt &amp; Co. Securities LLC and Perella Weinberg Partners Capital Management LP, collectively, agreed to pay $2.5 million in the aggregate to the SEC on a joint and several liability basis. The Firm paid the SEC $1.25 million in satisfaction in part of the total settlement amount, with the remainder paid by Perella Weinberg Partners Capital Management LP. GAAP non-compensation expenses also included certain additional expenses related to the Settlement.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Nine Months Ended</w:t>
      </w:r>
    </w:p>
    <w:p>
      <w:pPr>
        <w:spacing w:after="0" w:line="316"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GAAP total compensation and benefits were $393.8 million for the nine months ended September 30, 2023, compared to $378.4 million for the nine months ended September 30, 2022. Adjusted total compensation and benefits were $291.9 million for the nine months ended September 30, 2023 as compared to $287.0 million for the same period a year ago. The increase in both GAAP total compensation and benefits and adjusted total compensation and benefits was due to a higher compensation margin on a slightly lower revenue base. On a GAAP basis, total compensation and benefits include the impact of aforementioned business realignment costs.</w:t>
      </w:r>
    </w:p>
    <w:p>
      <w:pPr>
        <w:spacing w:after="0" w:line="22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GAAP non-compensation expenses were $113.3 million for the nine months ended September 30, 2023, compared with $98.1 million for the nine months ended September 30, 2022. Adjusted non-compensation expenses were $105.2 million for the nine months ended September 30, 2023, compared with $91.0 million for the same period a year ago. The increase experienced in both GAAP non-compensation expenses and adjusted non-compensation expenses was largely driven by an increase in travel and related expenses, legal spend, and technology investments, and higher rent and occupancy costs associated with overlapping rent periods and a related step-up in depreciation expense tied to New York and London office renovation and relocation, partially offset by a reduction in recruiting spend, co-advisory and other consulting fees, and lower D&amp;O insurance costs versus the prior year period. GAAP non-compensation expenses also include certain expenses related to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8"/>
        <w:spacing w:after="0" w:line="257"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Provision for Income Taxes</w:t>
      </w:r>
    </w:p>
    <w:p>
      <w:pPr>
        <w:spacing w:after="0" w:line="307" w:lineRule="exact"/>
        <w:rPr>
          <w:sz w:val="20"/>
          <w:szCs w:val="20"/>
          <w:color w:val="auto"/>
        </w:rPr>
      </w:pPr>
    </w:p>
    <w:p>
      <w:pPr>
        <w:jc w:val="both"/>
        <w:ind w:right="20"/>
        <w:spacing w:after="0" w:line="362" w:lineRule="auto"/>
        <w:rPr>
          <w:sz w:val="20"/>
          <w:szCs w:val="20"/>
          <w:color w:val="auto"/>
        </w:rPr>
      </w:pPr>
      <w:r>
        <w:rPr>
          <w:rFonts w:ascii="Arial" w:cs="Arial" w:eastAsia="Arial" w:hAnsi="Arial"/>
          <w:sz w:val="19"/>
          <w:szCs w:val="19"/>
          <w:color w:val="auto"/>
        </w:rPr>
        <w:t>Perella Weinberg Partners currently owns 50.24% of the operating partnership (PWP Holdings LP) and is subject to U.S. federal and state corporate income tax. Income earned by the operating partnership is subject to certain state and foreign income taxes.</w:t>
      </w:r>
    </w:p>
    <w:p>
      <w:pPr>
        <w:spacing w:after="0" w:line="17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For purposes of calculating adjusted if-converted net income, we have presented our results as if all partnership units had been converted to shares of Class A Common Stock, and as if all of our adjusted income for the period was subjected to U.S. corporate income tax. For the nine months ended September 30, 2023, the effective tax rate for adjusted if-converted net income was 26%. This tax rate includes a one-time tax benefit recognized in the second quarter of 2023 due to the release of a tax reserve at one of our foreign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20" w:lineRule="exact"/>
        <w:rPr>
          <w:sz w:val="20"/>
          <w:szCs w:val="20"/>
          <w:color w:val="auto"/>
        </w:rPr>
      </w:pPr>
    </w:p>
    <w:p>
      <w:pPr>
        <w:jc w:val="both"/>
        <w:spacing w:after="0" w:line="331" w:lineRule="auto"/>
        <w:rPr>
          <w:sz w:val="20"/>
          <w:szCs w:val="20"/>
          <w:color w:val="auto"/>
        </w:rPr>
      </w:pPr>
      <w:r>
        <w:rPr>
          <w:rFonts w:ascii="Arial" w:cs="Arial" w:eastAsia="Arial" w:hAnsi="Arial"/>
          <w:sz w:val="20"/>
          <w:szCs w:val="20"/>
          <w:color w:val="auto"/>
        </w:rPr>
        <w:t>As of September 30, 2023, PWP had $196.6 million of cash and short-term investments in U.S. Treasury securities. The Firm has no outstanding indebtedness and has an undrawn revolving credit facility.</w:t>
      </w:r>
    </w:p>
    <w:p>
      <w:pPr>
        <w:spacing w:after="0" w:line="203"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During the three months ended September 30, 2023, PWP returned $10.5 million in aggregate to our equity holders through (i) the net settlement of 366,031 share equivalents to satisfy tax withholding obligations at an average price per share of $10.66 and (ii) the payment of $6.6 million in pro rata distributions to limited partners which allowed PWP to pay its dividends of $3.6 million on Class A common stock.</w:t>
      </w:r>
    </w:p>
    <w:p>
      <w:pPr>
        <w:spacing w:after="0" w:line="216"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During the nine months ended September 30, 2023, PWP returned $57.5 million in aggregate to our equity holders through (i) the repurchase of 2,376,683 shares at an average price per share of $9.46 in open market transactions pursuant to PWP’s Class A common stock repurchase program, (ii) the net settlement of 1,544,022 share equivalents to satisfy tax withholding obligations at an average price per share of $10.17 and (iii) the payment of $19.3 million in pro rata distributions to limited partners which allowed PWP to pay its dividends of $10.1 million on Class A common stock.</w:t>
      </w:r>
    </w:p>
    <w:p>
      <w:pPr>
        <w:spacing w:after="0" w:line="219"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During the nine months ended September 30, 2023, PWP made $3.0 million of cash payments related to the business realignment. Current expectations include future cash payments of approximately $16 million related to the business realignment, which are expected to be paid within the next 12 months.</w:t>
      </w:r>
    </w:p>
    <w:p>
      <w:pPr>
        <w:spacing w:after="0" w:line="214" w:lineRule="exact"/>
        <w:rPr>
          <w:sz w:val="20"/>
          <w:szCs w:val="20"/>
          <w:color w:val="auto"/>
        </w:rPr>
      </w:pPr>
    </w:p>
    <w:p>
      <w:pPr>
        <w:jc w:val="both"/>
        <w:spacing w:after="0" w:line="331"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December 8, 2023 to Class A common stockholders of record on November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8"/>
        <w:spacing w:after="0" w:line="257"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Conference Call and Webcast</w:t>
      </w:r>
    </w:p>
    <w:p>
      <w:pPr>
        <w:spacing w:after="0" w:line="307" w:lineRule="exact"/>
        <w:rPr>
          <w:sz w:val="20"/>
          <w:szCs w:val="20"/>
          <w:color w:val="auto"/>
        </w:rPr>
      </w:pPr>
    </w:p>
    <w:p>
      <w:pPr>
        <w:spacing w:after="0" w:line="331" w:lineRule="auto"/>
        <w:rPr>
          <w:sz w:val="20"/>
          <w:szCs w:val="20"/>
          <w:color w:val="auto"/>
        </w:rPr>
      </w:pPr>
      <w:r>
        <w:rPr>
          <w:rFonts w:ascii="Arial" w:cs="Arial" w:eastAsia="Arial" w:hAnsi="Arial"/>
          <w:sz w:val="20"/>
          <w:szCs w:val="20"/>
          <w:color w:val="auto"/>
        </w:rPr>
        <w:t>Management will host a webcast and conference call on Tuesday, November 7, 2023 at 9:00 am ET to discuss PWP’s financial results for the third quarter ended September 30, 2023.</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will be made available in the Investors section of PWP’s website at https://investors.pwpartners.com/.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Domestic: (800) 343-4136</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International: (203) 518-9814</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Conference ID: PWPQ323</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A replay of the call will also be available two hours after the live call through November 14, 2023. To access the replay, dial</w:t>
      </w:r>
    </w:p>
    <w:p>
      <w:pPr>
        <w:spacing w:after="0" w:line="67" w:lineRule="exact"/>
        <w:rPr>
          <w:sz w:val="20"/>
          <w:szCs w:val="20"/>
          <w:color w:val="auto"/>
        </w:rPr>
      </w:pPr>
    </w:p>
    <w:p>
      <w:pPr>
        <w:ind w:firstLine="8"/>
        <w:spacing w:after="0" w:line="331" w:lineRule="auto"/>
        <w:tabs>
          <w:tab w:leader="none" w:pos="552" w:val="left"/>
        </w:tabs>
        <w:numPr>
          <w:ilvl w:val="0"/>
          <w:numId w:val="11"/>
        </w:numPr>
        <w:rPr>
          <w:rFonts w:ascii="Arial" w:cs="Arial" w:eastAsia="Arial" w:hAnsi="Arial"/>
          <w:sz w:val="20"/>
          <w:szCs w:val="20"/>
          <w:color w:val="auto"/>
        </w:rPr>
      </w:pPr>
      <w:r>
        <w:rPr>
          <w:rFonts w:ascii="Arial" w:cs="Arial" w:eastAsia="Arial" w:hAnsi="Arial"/>
          <w:sz w:val="20"/>
          <w:szCs w:val="20"/>
          <w:color w:val="auto"/>
        </w:rPr>
        <w:t>839-2488 (Domestic) or (402) 220-7224 (International). The replay can also be accessed on the investors section of PWP’s website at https://investors.pwpartners.com/.</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PWP</w:t>
      </w:r>
    </w:p>
    <w:p>
      <w:pPr>
        <w:spacing w:after="0" w:line="32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700 employees, PWP currently maintains offices in New York, London, Houston, San Francisco, Paris, Los Angeles, Chicago, Calgary, Denver, and Munich. The financial information of PWP herein refers to the business operations of PWP Holdings LP and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Additional Information</w:t>
      </w:r>
    </w:p>
    <w:p>
      <w:pPr>
        <w:spacing w:after="0" w:line="320" w:lineRule="exact"/>
        <w:rPr>
          <w:sz w:val="20"/>
          <w:szCs w:val="20"/>
          <w:color w:val="auto"/>
        </w:rPr>
      </w:pPr>
    </w:p>
    <w:p>
      <w:pPr>
        <w:jc w:val="both"/>
        <w:spacing w:after="0" w:line="331" w:lineRule="auto"/>
        <w:rPr>
          <w:sz w:val="20"/>
          <w:szCs w:val="20"/>
          <w:color w:val="auto"/>
        </w:rPr>
      </w:pPr>
      <w:r>
        <w:rPr>
          <w:rFonts w:ascii="Arial" w:cs="Arial" w:eastAsia="Arial" w:hAnsi="Arial"/>
          <w:sz w:val="20"/>
          <w:szCs w:val="20"/>
          <w:color w:val="auto"/>
        </w:rPr>
        <w:t>For additional information that management believes to be useful for investors, please refer to the latest presentation posted on the Investors section of PWP’s website at https://investors.pwpartners.com/.</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7"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8" w:right="339" w:bottom="1440" w:gutter="0" w:footer="0" w:header="0"/>
        </w:sectPr>
      </w:pPr>
    </w:p>
    <w:bookmarkStart w:id="8" w:name="page9"/>
    <w:bookmarkEnd w:id="8"/>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2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2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22"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20"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305" w:lineRule="exact"/>
        <w:rPr>
          <w:sz w:val="20"/>
          <w:szCs w:val="20"/>
          <w:color w:val="auto"/>
        </w:rPr>
      </w:pPr>
    </w:p>
    <w:p>
      <w:pPr>
        <w:jc w:val="both"/>
        <w:ind w:firstLine="8"/>
        <w:spacing w:after="0" w:line="257"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1"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29"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SEC on February 28, 2023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8"/>
        <w:spacing w:after="0" w:line="257"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503C64"/>
              </w:rPr>
              <w:t>Three Months Ended</w:t>
            </w:r>
          </w:p>
        </w:tc>
        <w:tc>
          <w:tcPr>
            <w:tcW w:w="240" w:type="dxa"/>
            <w:vAlign w:val="bottom"/>
          </w:tcPr>
          <w:p>
            <w:pPr>
              <w:spacing w:after="0"/>
              <w:rPr>
                <w:sz w:val="16"/>
                <w:szCs w:val="16"/>
                <w:color w:val="auto"/>
              </w:rPr>
            </w:pPr>
          </w:p>
        </w:tc>
        <w:tc>
          <w:tcPr>
            <w:tcW w:w="236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503C64"/>
              </w:rPr>
              <w:t>Nine Months Ended</w:t>
            </w:r>
          </w:p>
        </w:tc>
      </w:tr>
      <w:tr>
        <w:trPr>
          <w:trHeight w:val="227"/>
        </w:trPr>
        <w:tc>
          <w:tcPr>
            <w:tcW w:w="5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503C64"/>
              </w:rPr>
              <w:t>September 30,</w:t>
            </w:r>
          </w:p>
        </w:tc>
        <w:tc>
          <w:tcPr>
            <w:tcW w:w="240" w:type="dxa"/>
            <w:vAlign w:val="bottom"/>
          </w:tcPr>
          <w:p>
            <w:pPr>
              <w:spacing w:after="0"/>
              <w:rPr>
                <w:sz w:val="19"/>
                <w:szCs w:val="19"/>
                <w:color w:val="auto"/>
              </w:rPr>
            </w:pPr>
          </w:p>
        </w:tc>
        <w:tc>
          <w:tcPr>
            <w:tcW w:w="236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503C64"/>
              </w:rPr>
              <w:t>September 30,</w:t>
            </w:r>
          </w:p>
        </w:tc>
      </w:tr>
      <w:tr>
        <w:trPr>
          <w:trHeight w:val="21"/>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8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8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r>
      <w:tr>
        <w:trPr>
          <w:trHeight w:val="210"/>
        </w:trPr>
        <w:tc>
          <w:tcPr>
            <w:tcW w:w="5900" w:type="dxa"/>
            <w:vAlign w:val="bottom"/>
            <w:tcBorders>
              <w:bottom w:val="single" w:sz="8" w:color="E3E1E9"/>
            </w:tcBorders>
          </w:tcPr>
          <w:p>
            <w:pPr>
              <w:spacing w:after="0"/>
              <w:rPr>
                <w:sz w:val="18"/>
                <w:szCs w:val="18"/>
                <w:color w:val="auto"/>
              </w:rPr>
            </w:pPr>
          </w:p>
        </w:tc>
        <w:tc>
          <w:tcPr>
            <w:tcW w:w="80" w:type="dxa"/>
            <w:vAlign w:val="bottom"/>
            <w:tcBorders>
              <w:bottom w:val="single" w:sz="8" w:color="E3E1E9"/>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ind w:right="379"/>
              <w:spacing w:after="0"/>
              <w:rPr>
                <w:sz w:val="20"/>
                <w:szCs w:val="20"/>
                <w:color w:val="auto"/>
              </w:rPr>
            </w:pPr>
            <w:r>
              <w:rPr>
                <w:rFonts w:ascii="Arial" w:cs="Arial" w:eastAsia="Arial" w:hAnsi="Arial"/>
                <w:sz w:val="16"/>
                <w:szCs w:val="16"/>
                <w:b w:val="1"/>
                <w:bCs w:val="1"/>
                <w:color w:val="503C64"/>
              </w:rPr>
              <w:t>2023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ind w:right="359"/>
              <w:spacing w:after="0"/>
              <w:rPr>
                <w:sz w:val="20"/>
                <w:szCs w:val="20"/>
                <w:color w:val="auto"/>
              </w:rPr>
            </w:pPr>
            <w:r>
              <w:rPr>
                <w:rFonts w:ascii="Arial" w:cs="Arial" w:eastAsia="Arial" w:hAnsi="Arial"/>
                <w:sz w:val="16"/>
                <w:szCs w:val="16"/>
                <w:b w:val="1"/>
                <w:bCs w:val="1"/>
                <w:color w:val="503C64"/>
              </w:rPr>
              <w:t>2022</w:t>
            </w:r>
          </w:p>
        </w:tc>
        <w:tc>
          <w:tcPr>
            <w:tcW w:w="80" w:type="dxa"/>
            <w:vAlign w:val="bottom"/>
            <w:tcBorders>
              <w:bottom w:val="single" w:sz="8" w:color="E3E1E9"/>
            </w:tcBorders>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359"/>
              <w:spacing w:after="0"/>
              <w:rPr>
                <w:sz w:val="20"/>
                <w:szCs w:val="20"/>
                <w:color w:val="auto"/>
              </w:rPr>
            </w:pPr>
            <w:r>
              <w:rPr>
                <w:rFonts w:ascii="Arial" w:cs="Arial" w:eastAsia="Arial" w:hAnsi="Arial"/>
                <w:sz w:val="16"/>
                <w:szCs w:val="16"/>
                <w:b w:val="1"/>
                <w:bCs w:val="1"/>
                <w:color w:val="503C64"/>
              </w:rPr>
              <w:t>2023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359"/>
              <w:spacing w:after="0"/>
              <w:rPr>
                <w:sz w:val="20"/>
                <w:szCs w:val="20"/>
                <w:color w:val="auto"/>
              </w:rPr>
            </w:pPr>
            <w:r>
              <w:rPr>
                <w:rFonts w:ascii="Arial" w:cs="Arial" w:eastAsia="Arial" w:hAnsi="Arial"/>
                <w:sz w:val="16"/>
                <w:szCs w:val="16"/>
                <w:b w:val="1"/>
                <w:bCs w:val="1"/>
                <w:color w:val="503C64"/>
              </w:rPr>
              <w:t>2022</w:t>
            </w:r>
          </w:p>
        </w:tc>
      </w:tr>
      <w:tr>
        <w:trPr>
          <w:trHeight w:val="209"/>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139,003</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145,379</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435,974</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448,359</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7"/>
        </w:trPr>
        <w:tc>
          <w:tcPr>
            <w:tcW w:w="590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84,872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86,260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261,051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264,092</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42,892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36,999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132,775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114,316</w:t>
            </w:r>
          </w:p>
        </w:tc>
      </w:tr>
      <w:tr>
        <w:trPr>
          <w:trHeight w:val="216"/>
        </w:trPr>
        <w:tc>
          <w:tcPr>
            <w:tcW w:w="590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127,764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123,259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393,826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378,408</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25,902</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22,414</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17,511</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8,847</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15,414</w:t>
            </w:r>
          </w:p>
        </w:tc>
      </w:tr>
      <w:tr>
        <w:trPr>
          <w:trHeight w:val="219"/>
        </w:trPr>
        <w:tc>
          <w:tcPr>
            <w:tcW w:w="59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8,053</w:t>
            </w:r>
          </w:p>
        </w:tc>
      </w:tr>
      <w:tr>
        <w:trPr>
          <w:trHeight w:val="219"/>
        </w:trPr>
        <w:tc>
          <w:tcPr>
            <w:tcW w:w="590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9"/>
                <w:szCs w:val="19"/>
                <w:color w:val="auto"/>
              </w:rPr>
            </w:pPr>
          </w:p>
        </w:tc>
        <w:tc>
          <w:tcPr>
            <w:tcW w:w="120" w:type="dxa"/>
            <w:vAlign w:val="bottom"/>
            <w:shd w:val="clear" w:color="auto" w:fill="E3E1E9"/>
          </w:tcPr>
          <w:p>
            <w:pPr>
              <w:spacing w:after="0"/>
              <w:rPr>
                <w:sz w:val="19"/>
                <w:szCs w:val="19"/>
                <w:color w:val="auto"/>
              </w:rPr>
            </w:pPr>
          </w:p>
        </w:tc>
        <w:tc>
          <w:tcPr>
            <w:tcW w:w="11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165,695</w:t>
            </w:r>
          </w:p>
        </w:tc>
        <w:tc>
          <w:tcPr>
            <w:tcW w:w="8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154,197</w:t>
            </w:r>
          </w:p>
        </w:tc>
        <w:tc>
          <w:tcPr>
            <w:tcW w:w="8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507,108</w:t>
            </w:r>
          </w:p>
        </w:tc>
        <w:tc>
          <w:tcPr>
            <w:tcW w:w="8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476,549</w:t>
            </w:r>
          </w:p>
        </w:tc>
      </w:tr>
      <w:tr>
        <w:trPr>
          <w:trHeight w:val="211"/>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(28,190)</w:t>
            </w:r>
          </w:p>
        </w:tc>
      </w:tr>
      <w:tr>
        <w:trPr>
          <w:trHeight w:val="224"/>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7"/>
        </w:trPr>
        <w:tc>
          <w:tcPr>
            <w:tcW w:w="5900" w:type="dxa"/>
            <w:vAlign w:val="bottom"/>
          </w:tcPr>
          <w:p>
            <w:pPr>
              <w:ind w:left="180"/>
              <w:spacing w:after="0"/>
              <w:rPr>
                <w:sz w:val="20"/>
                <w:szCs w:val="20"/>
                <w:color w:val="auto"/>
              </w:rPr>
            </w:pPr>
            <w:r>
              <w:rPr>
                <w:rFonts w:ascii="Arial" w:cs="Arial" w:eastAsia="Arial" w:hAnsi="Arial"/>
                <w:sz w:val="16"/>
                <w:szCs w:val="16"/>
                <w:color w:val="auto"/>
              </w:rPr>
              <w:t>Related party 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2,248</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11,702</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Change in fair value of warrant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15,806</w:t>
            </w:r>
          </w:p>
        </w:tc>
      </w:tr>
      <w:tr>
        <w:trPr>
          <w:trHeight w:val="216"/>
        </w:trPr>
        <w:tc>
          <w:tcPr>
            <w:tcW w:w="590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29,756</w:t>
            </w:r>
          </w:p>
        </w:tc>
      </w:tr>
      <w:tr>
        <w:trPr>
          <w:trHeight w:val="225"/>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(23,929)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(68,876)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1,566</w:t>
            </w:r>
          </w:p>
        </w:tc>
      </w:tr>
      <w:tr>
        <w:trPr>
          <w:trHeight w:val="210"/>
        </w:trPr>
        <w:tc>
          <w:tcPr>
            <w:tcW w:w="590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(191)</w:t>
            </w:r>
          </w:p>
        </w:tc>
        <w:tc>
          <w:tcPr>
            <w:tcW w:w="80" w:type="dxa"/>
            <w:vAlign w:val="bottom"/>
            <w:tcBorders>
              <w:bottom w:val="single" w:sz="8" w:color="B6B6B6"/>
            </w:tcBorders>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4,570</w:t>
            </w:r>
          </w:p>
        </w:tc>
        <w:tc>
          <w:tcPr>
            <w:tcW w:w="80" w:type="dxa"/>
            <w:vAlign w:val="bottom"/>
            <w:tcBorders>
              <w:bottom w:val="single" w:sz="8" w:color="B6B6B6"/>
            </w:tcBorders>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552</w:t>
            </w:r>
          </w:p>
        </w:tc>
        <w:tc>
          <w:tcPr>
            <w:tcW w:w="80" w:type="dxa"/>
            <w:vAlign w:val="bottom"/>
            <w:tcBorders>
              <w:bottom w:val="single" w:sz="8" w:color="B6B6B6"/>
            </w:tcBorders>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10,707</w:t>
            </w:r>
          </w:p>
        </w:tc>
      </w:tr>
      <w:tr>
        <w:trPr>
          <w:trHeight w:val="208"/>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(69,428)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(9,141)</w:t>
            </w:r>
          </w:p>
        </w:tc>
      </w:tr>
      <w:tr>
        <w:trPr>
          <w:trHeight w:val="221"/>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(62,615)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(28,440)</w:t>
            </w:r>
          </w:p>
        </w:tc>
      </w:tr>
      <w:tr>
        <w:trPr>
          <w:trHeight w:val="216"/>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(2,049)</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1,140</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(6,813)</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19,299</w:t>
            </w:r>
          </w:p>
        </w:tc>
      </w:tr>
      <w:tr>
        <w:trPr>
          <w:trHeight w:val="216"/>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4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r>
      <w:tr>
        <w:trPr>
          <w:trHeight w:val="210"/>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0.03</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0.44</w:t>
            </w:r>
          </w:p>
        </w:tc>
      </w:tr>
      <w:tr>
        <w:trPr>
          <w:trHeight w:val="216"/>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(0.27)</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(0.19)</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(0.84)</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(0.19)</w:t>
            </w:r>
          </w:p>
        </w:tc>
      </w:tr>
      <w:tr>
        <w:trPr>
          <w:trHeight w:val="222"/>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9"/>
                <w:szCs w:val="19"/>
                <w:color w:val="auto"/>
              </w:rPr>
            </w:pPr>
          </w:p>
        </w:tc>
        <w:tc>
          <w:tcPr>
            <w:tcW w:w="120" w:type="dxa"/>
            <w:vAlign w:val="bottom"/>
            <w:shd w:val="clear" w:color="auto" w:fill="E3E1E9"/>
          </w:tcPr>
          <w:p>
            <w:pPr>
              <w:spacing w:after="0"/>
              <w:rPr>
                <w:sz w:val="19"/>
                <w:szCs w:val="19"/>
                <w:color w:val="auto"/>
              </w:rPr>
            </w:pPr>
          </w:p>
        </w:tc>
        <w:tc>
          <w:tcPr>
            <w:tcW w:w="1140" w:type="dxa"/>
            <w:vAlign w:val="bottom"/>
            <w:shd w:val="clear" w:color="auto" w:fill="E3E1E9"/>
          </w:tcPr>
          <w:p>
            <w:pPr>
              <w:spacing w:after="0"/>
              <w:rPr>
                <w:sz w:val="19"/>
                <w:szCs w:val="19"/>
                <w:color w:val="auto"/>
              </w:rPr>
            </w:pPr>
          </w:p>
        </w:tc>
        <w:tc>
          <w:tcPr>
            <w:tcW w:w="8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00" w:type="dxa"/>
            <w:vAlign w:val="bottom"/>
            <w:shd w:val="clear" w:color="auto" w:fill="E3E1E9"/>
          </w:tcPr>
          <w:p>
            <w:pPr>
              <w:spacing w:after="0"/>
              <w:rPr>
                <w:sz w:val="19"/>
                <w:szCs w:val="19"/>
                <w:color w:val="auto"/>
              </w:rPr>
            </w:pPr>
          </w:p>
        </w:tc>
        <w:tc>
          <w:tcPr>
            <w:tcW w:w="8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20" w:type="dxa"/>
            <w:vAlign w:val="bottom"/>
            <w:shd w:val="clear" w:color="auto" w:fill="E3E1E9"/>
          </w:tcPr>
          <w:p>
            <w:pPr>
              <w:spacing w:after="0"/>
              <w:rPr>
                <w:sz w:val="19"/>
                <w:szCs w:val="19"/>
                <w:color w:val="auto"/>
              </w:rPr>
            </w:pPr>
          </w:p>
        </w:tc>
        <w:tc>
          <w:tcPr>
            <w:tcW w:w="8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20" w:type="dxa"/>
            <w:vAlign w:val="bottom"/>
            <w:shd w:val="clear" w:color="auto" w:fill="E3E1E9"/>
          </w:tcPr>
          <w:p>
            <w:pPr>
              <w:spacing w:after="0"/>
              <w:rPr>
                <w:sz w:val="19"/>
                <w:szCs w:val="19"/>
                <w:color w:val="auto"/>
              </w:rPr>
            </w:pPr>
          </w:p>
        </w:tc>
      </w:tr>
      <w:tr>
        <w:trPr>
          <w:trHeight w:val="210"/>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43,123,465</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42,263,427</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42,731,252</w:t>
            </w:r>
          </w:p>
        </w:tc>
        <w:tc>
          <w:tcPr>
            <w:tcW w:w="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44,241,794</w:t>
            </w:r>
          </w:p>
        </w:tc>
      </w:tr>
      <w:tr>
        <w:trPr>
          <w:trHeight w:val="222"/>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9"/>
                <w:szCs w:val="19"/>
                <w:color w:val="auto"/>
              </w:rPr>
            </w:pPr>
          </w:p>
        </w:tc>
        <w:tc>
          <w:tcPr>
            <w:tcW w:w="120" w:type="dxa"/>
            <w:vAlign w:val="bottom"/>
            <w:shd w:val="clear" w:color="auto" w:fill="E3E1E9"/>
          </w:tcPr>
          <w:p>
            <w:pPr>
              <w:spacing w:after="0"/>
              <w:rPr>
                <w:sz w:val="19"/>
                <w:szCs w:val="19"/>
                <w:color w:val="auto"/>
              </w:rPr>
            </w:pPr>
          </w:p>
        </w:tc>
        <w:tc>
          <w:tcPr>
            <w:tcW w:w="11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86,647,697</w:t>
            </w:r>
          </w:p>
        </w:tc>
        <w:tc>
          <w:tcPr>
            <w:tcW w:w="8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87,745,776</w:t>
            </w:r>
          </w:p>
        </w:tc>
        <w:tc>
          <w:tcPr>
            <w:tcW w:w="8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86,593,581</w:t>
            </w:r>
          </w:p>
        </w:tc>
        <w:tc>
          <w:tcPr>
            <w:tcW w:w="8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90,535,232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8"/>
        <w:spacing w:after="0" w:line="257" w:lineRule="auto"/>
        <w:tabs>
          <w:tab w:leader="none" w:pos="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8" w:right="3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43"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2" w:lineRule="exact"/>
        <w:rPr>
          <w:sz w:val="20"/>
          <w:szCs w:val="20"/>
          <w:color w:val="auto"/>
        </w:rPr>
      </w:pPr>
    </w:p>
    <w:tbl>
      <w:tblPr>
        <w:tblLayout w:type="fixed"/>
        <w:tblInd w:w="332"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503C64"/>
              </w:rPr>
              <w:t>Three Months Ended</w:t>
            </w:r>
          </w:p>
        </w:tc>
        <w:tc>
          <w:tcPr>
            <w:tcW w:w="240" w:type="dxa"/>
            <w:vAlign w:val="bottom"/>
          </w:tcPr>
          <w:p>
            <w:pPr>
              <w:spacing w:after="0"/>
              <w:rPr>
                <w:sz w:val="16"/>
                <w:szCs w:val="16"/>
                <w:color w:val="auto"/>
              </w:rPr>
            </w:pPr>
          </w:p>
        </w:tc>
        <w:tc>
          <w:tcPr>
            <w:tcW w:w="2140" w:type="dxa"/>
            <w:vAlign w:val="bottom"/>
            <w:gridSpan w:val="3"/>
          </w:tcPr>
          <w:p>
            <w:pPr>
              <w:jc w:val="right"/>
              <w:ind w:right="368"/>
              <w:spacing w:after="0"/>
              <w:rPr>
                <w:sz w:val="20"/>
                <w:szCs w:val="20"/>
                <w:color w:val="auto"/>
              </w:rPr>
            </w:pPr>
            <w:r>
              <w:rPr>
                <w:rFonts w:ascii="Arial" w:cs="Arial" w:eastAsia="Arial" w:hAnsi="Arial"/>
                <w:sz w:val="16"/>
                <w:szCs w:val="16"/>
                <w:b w:val="1"/>
                <w:bCs w:val="1"/>
                <w:color w:val="503C64"/>
              </w:rPr>
              <w:t>Nine Months Ended</w:t>
            </w:r>
          </w:p>
        </w:tc>
      </w:tr>
      <w:tr>
        <w:trPr>
          <w:trHeight w:val="227"/>
        </w:trPr>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503C64"/>
              </w:rPr>
              <w:t>September 30,</w:t>
            </w:r>
          </w:p>
        </w:tc>
        <w:tc>
          <w:tcPr>
            <w:tcW w:w="240" w:type="dxa"/>
            <w:vAlign w:val="bottom"/>
          </w:tcPr>
          <w:p>
            <w:pPr>
              <w:spacing w:after="0"/>
              <w:rPr>
                <w:sz w:val="19"/>
                <w:szCs w:val="19"/>
                <w:color w:val="auto"/>
              </w:rPr>
            </w:pPr>
          </w:p>
        </w:tc>
        <w:tc>
          <w:tcPr>
            <w:tcW w:w="2140" w:type="dxa"/>
            <w:vAlign w:val="bottom"/>
            <w:gridSpan w:val="3"/>
          </w:tcPr>
          <w:p>
            <w:pPr>
              <w:jc w:val="right"/>
              <w:ind w:right="568"/>
              <w:spacing w:after="0"/>
              <w:rPr>
                <w:sz w:val="20"/>
                <w:szCs w:val="20"/>
                <w:color w:val="auto"/>
              </w:rPr>
            </w:pPr>
            <w:r>
              <w:rPr>
                <w:rFonts w:ascii="Arial" w:cs="Arial" w:eastAsia="Arial" w:hAnsi="Arial"/>
                <w:sz w:val="16"/>
                <w:szCs w:val="16"/>
                <w:b w:val="1"/>
                <w:bCs w:val="1"/>
                <w:color w:val="503C64"/>
              </w:rPr>
              <w:t>September 30,</w:t>
            </w:r>
          </w:p>
        </w:tc>
      </w:tr>
      <w:tr>
        <w:trPr>
          <w:trHeight w:val="21"/>
        </w:trPr>
        <w:tc>
          <w:tcPr>
            <w:tcW w:w="57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r>
      <w:tr>
        <w:trPr>
          <w:trHeight w:val="195"/>
        </w:trPr>
        <w:tc>
          <w:tcPr>
            <w:tcW w:w="5700" w:type="dxa"/>
            <w:vAlign w:val="bottom"/>
            <w:tcBorders>
              <w:bottom w:val="single" w:sz="8" w:color="B6B6B6"/>
            </w:tcBorders>
          </w:tcPr>
          <w:p>
            <w:pPr>
              <w:spacing w:after="0"/>
              <w:rPr>
                <w:sz w:val="16"/>
                <w:szCs w:val="16"/>
                <w:color w:val="auto"/>
              </w:rPr>
            </w:pPr>
          </w:p>
        </w:tc>
        <w:tc>
          <w:tcPr>
            <w:tcW w:w="24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B6B6B6"/>
            </w:tcBorders>
          </w:tcPr>
          <w:p>
            <w:pPr>
              <w:spacing w:after="0"/>
              <w:rPr>
                <w:sz w:val="16"/>
                <w:szCs w:val="16"/>
                <w:color w:val="auto"/>
              </w:rPr>
            </w:pPr>
          </w:p>
        </w:tc>
        <w:tc>
          <w:tcPr>
            <w:tcW w:w="24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503C64"/>
              </w:rPr>
              <w:t>2023</w:t>
            </w:r>
          </w:p>
        </w:tc>
        <w:tc>
          <w:tcPr>
            <w:tcW w:w="320" w:type="dxa"/>
            <w:vAlign w:val="bottom"/>
            <w:tcBorders>
              <w:bottom w:val="single" w:sz="8" w:color="B6B6B6"/>
            </w:tcBorders>
          </w:tcPr>
          <w:p>
            <w:pPr>
              <w:spacing w:after="0"/>
              <w:rPr>
                <w:sz w:val="16"/>
                <w:szCs w:val="16"/>
                <w:color w:val="auto"/>
              </w:rPr>
            </w:pPr>
          </w:p>
        </w:tc>
        <w:tc>
          <w:tcPr>
            <w:tcW w:w="88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503C64"/>
              </w:rPr>
              <w:t>2022</w:t>
            </w:r>
          </w:p>
        </w:tc>
      </w:tr>
      <w:tr>
        <w:trPr>
          <w:trHeight w:val="19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127,764</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123,259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393,826</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378,408</w:t>
            </w:r>
          </w:p>
        </w:tc>
      </w:tr>
      <w:tr>
        <w:trPr>
          <w:trHeight w:val="208"/>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(16,045)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(54,648)</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(55,983)</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(12,350)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(35,733)</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(35,420)</w:t>
            </w:r>
          </w:p>
        </w:tc>
      </w:tr>
      <w:tr>
        <w:trPr>
          <w:trHeight w:val="199"/>
        </w:trPr>
        <w:tc>
          <w:tcPr>
            <w:tcW w:w="5700" w:type="dxa"/>
            <w:vAlign w:val="bottom"/>
            <w:tcBorders>
              <w:bottom w:val="single" w:sz="8" w:color="B6B6B6"/>
            </w:tcBorders>
          </w:tcPr>
          <w:p>
            <w:pPr>
              <w:ind w:left="20"/>
              <w:spacing w:after="0" w:line="199"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(6,392)</w:t>
            </w:r>
          </w:p>
        </w:tc>
        <w:tc>
          <w:tcPr>
            <w:tcW w:w="3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(11,497)</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92,977</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93,041</w:t>
            </w:r>
          </w:p>
        </w:tc>
        <w:tc>
          <w:tcPr>
            <w:tcW w:w="100" w:type="dxa"/>
            <w:vAlign w:val="bottom"/>
            <w:shd w:val="clear" w:color="auto" w:fill="E3E1E9"/>
          </w:tcPr>
          <w:p>
            <w:pPr>
              <w:spacing w:after="0"/>
              <w:rPr>
                <w:sz w:val="17"/>
                <w:szCs w:val="17"/>
                <w:color w:val="auto"/>
              </w:rPr>
            </w:pP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291,948</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287,005</w:t>
            </w:r>
          </w:p>
        </w:tc>
      </w:tr>
      <w:tr>
        <w:trPr>
          <w:trHeight w:val="254"/>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37,931</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30,938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113,282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98,141</w:t>
            </w:r>
          </w:p>
        </w:tc>
      </w:tr>
      <w:tr>
        <w:trPr>
          <w:trHeight w:val="208"/>
        </w:trPr>
        <w:tc>
          <w:tcPr>
            <w:tcW w:w="570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(4,935)</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(4,935)</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(1,210)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(2,375)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r>
      <w:tr>
        <w:trPr>
          <w:trHeight w:val="199"/>
        </w:trPr>
        <w:tc>
          <w:tcPr>
            <w:tcW w:w="5700" w:type="dxa"/>
            <w:vAlign w:val="bottom"/>
            <w:tcBorders>
              <w:bottom w:val="single" w:sz="8" w:color="B6B6B6"/>
            </w:tcBorders>
          </w:tcPr>
          <w:p>
            <w:pPr>
              <w:ind w:left="20"/>
              <w:spacing w:after="0" w:line="199"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(7)</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(809)</w:t>
            </w:r>
          </w:p>
        </w:tc>
        <w:tc>
          <w:tcPr>
            <w:tcW w:w="3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(809)</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70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(8)</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34,267</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27,786</w:t>
            </w:r>
          </w:p>
        </w:tc>
        <w:tc>
          <w:tcPr>
            <w:tcW w:w="100" w:type="dxa"/>
            <w:vAlign w:val="bottom"/>
            <w:shd w:val="clear" w:color="auto" w:fill="E3E1E9"/>
          </w:tcPr>
          <w:p>
            <w:pPr>
              <w:spacing w:after="0"/>
              <w:rPr>
                <w:sz w:val="17"/>
                <w:szCs w:val="17"/>
                <w:color w:val="auto"/>
              </w:rPr>
            </w:pP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105,163</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90,985</w:t>
            </w:r>
          </w:p>
        </w:tc>
      </w:tr>
      <w:tr>
        <w:trPr>
          <w:trHeight w:val="254"/>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(26,692)</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(8,818)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(71,134)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(28,190)</w:t>
            </w:r>
          </w:p>
        </w:tc>
      </w:tr>
      <w:tr>
        <w:trPr>
          <w:trHeight w:val="208"/>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16,045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54,648</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55,983</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12,350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35,733</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35,420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6,392</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11,497</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4,935</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1,210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2,375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r>
      <w:tr>
        <w:trPr>
          <w:trHeight w:val="199"/>
        </w:trPr>
        <w:tc>
          <w:tcPr>
            <w:tcW w:w="5700" w:type="dxa"/>
            <w:vAlign w:val="bottom"/>
            <w:tcBorders>
              <w:bottom w:val="single" w:sz="8" w:color="B6B6B6"/>
            </w:tcBorders>
          </w:tcPr>
          <w:p>
            <w:pPr>
              <w:ind w:left="20"/>
              <w:spacing w:after="0" w:line="199"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(7)</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color w:val="auto"/>
              </w:rPr>
              <w:t>809</w:t>
            </w:r>
          </w:p>
        </w:tc>
        <w:tc>
          <w:tcPr>
            <w:tcW w:w="30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809</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 (loss)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11,759</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24,552</w:t>
            </w:r>
          </w:p>
        </w:tc>
        <w:tc>
          <w:tcPr>
            <w:tcW w:w="100" w:type="dxa"/>
            <w:vAlign w:val="bottom"/>
            <w:shd w:val="clear" w:color="auto" w:fill="E3E1E9"/>
          </w:tcPr>
          <w:p>
            <w:pPr>
              <w:spacing w:after="0"/>
              <w:rPr>
                <w:sz w:val="17"/>
                <w:szCs w:val="17"/>
                <w:color w:val="auto"/>
              </w:rPr>
            </w:pP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38,863</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70,369</w:t>
            </w:r>
          </w:p>
        </w:tc>
      </w:tr>
      <w:tr>
        <w:trPr>
          <w:trHeight w:val="25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(23,929)</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(8,289)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(68,876)</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1,566</w:t>
            </w:r>
          </w:p>
        </w:tc>
      </w:tr>
      <w:tr>
        <w:trPr>
          <w:trHeight w:val="208"/>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16,045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54,648</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55,983</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12,350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35,733</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35,420</w:t>
            </w: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6,392</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11,497</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4,935</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1,210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2,375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(7)</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809</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809</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700" w:type="dxa"/>
            <w:vAlign w:val="bottom"/>
            <w:tcBorders>
              <w:bottom w:val="single" w:sz="8" w:color="B6B6B6"/>
            </w:tcBorders>
          </w:tcPr>
          <w:p>
            <w:pPr>
              <w:ind w:left="20"/>
              <w:spacing w:after="0" w:line="199"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(9)</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color w:val="auto"/>
              </w:rPr>
              <w:t>1,287</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6,331</w:t>
            </w:r>
          </w:p>
        </w:tc>
        <w:tc>
          <w:tcPr>
            <w:tcW w:w="100" w:type="dxa"/>
            <w:vAlign w:val="bottom"/>
            <w:tcBorders>
              <w:bottom w:val="single" w:sz="8" w:color="B6B6B6"/>
            </w:tcBorders>
          </w:tcPr>
          <w:p>
            <w:pPr>
              <w:spacing w:after="0"/>
              <w:rPr>
                <w:sz w:val="17"/>
                <w:szCs w:val="17"/>
                <w:color w:val="auto"/>
              </w:rPr>
            </w:pP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2,725</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(15,695)</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(loss) before income taxes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15,809</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31,412</w:t>
            </w:r>
          </w:p>
        </w:tc>
        <w:tc>
          <w:tcPr>
            <w:tcW w:w="100" w:type="dxa"/>
            <w:vAlign w:val="bottom"/>
            <w:shd w:val="clear" w:color="auto" w:fill="E3E1E9"/>
          </w:tcPr>
          <w:p>
            <w:pPr>
              <w:spacing w:after="0"/>
              <w:rPr>
                <w:sz w:val="17"/>
                <w:szCs w:val="17"/>
                <w:color w:val="auto"/>
              </w:rPr>
            </w:pP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43,846</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84,430</w:t>
            </w:r>
          </w:p>
        </w:tc>
      </w:tr>
      <w:tr>
        <w:trPr>
          <w:trHeight w:val="25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4,570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552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10,707</w:t>
            </w:r>
          </w:p>
        </w:tc>
      </w:tr>
      <w:tr>
        <w:trPr>
          <w:trHeight w:val="204"/>
        </w:trPr>
        <w:tc>
          <w:tcPr>
            <w:tcW w:w="570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(10)</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48"/>
              <w:spacing w:after="0"/>
              <w:rPr>
                <w:sz w:val="20"/>
                <w:szCs w:val="20"/>
                <w:color w:val="auto"/>
              </w:rPr>
            </w:pPr>
            <w:r>
              <w:rPr>
                <w:rFonts w:ascii="Arial" w:cs="Arial" w:eastAsia="Arial" w:hAnsi="Arial"/>
                <w:sz w:val="14"/>
                <w:szCs w:val="14"/>
                <w:color w:val="auto"/>
              </w:rPr>
              <w:t>3,381</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Borders>
              <w:bottom w:val="single" w:sz="8" w:color="B6B6B6"/>
            </w:tcBorders>
          </w:tcPr>
          <w:p>
            <w:pPr>
              <w:spacing w:after="0"/>
              <w:rPr>
                <w:sz w:val="17"/>
                <w:szCs w:val="17"/>
                <w:color w:val="auto"/>
              </w:rPr>
            </w:pP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5,265</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4,146</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 (benefit)</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3,190</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5,463</w:t>
            </w:r>
          </w:p>
        </w:tc>
        <w:tc>
          <w:tcPr>
            <w:tcW w:w="100" w:type="dxa"/>
            <w:vAlign w:val="bottom"/>
            <w:shd w:val="clear" w:color="auto" w:fill="E3E1E9"/>
          </w:tcPr>
          <w:p>
            <w:pPr>
              <w:spacing w:after="0"/>
              <w:rPr>
                <w:sz w:val="17"/>
                <w:szCs w:val="17"/>
                <w:color w:val="auto"/>
              </w:rPr>
            </w:pP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5,817</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14,853</w:t>
            </w:r>
          </w:p>
        </w:tc>
      </w:tr>
      <w:tr>
        <w:trPr>
          <w:trHeight w:val="25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(23,738)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(12,859)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(69,428)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(9,141)</w:t>
            </w:r>
          </w:p>
        </w:tc>
      </w:tr>
      <w:tr>
        <w:trPr>
          <w:trHeight w:val="208"/>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16,045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54,648</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55,983</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12,350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35,733</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35,420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6,392</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11,497</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4,935</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1,210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2,375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(7)</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809</w:t>
            </w: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809</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(9)</w:t>
            </w:r>
          </w:p>
        </w:tc>
        <w:tc>
          <w:tcPr>
            <w:tcW w:w="24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1,287</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2,725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(15,695)</w:t>
            </w:r>
          </w:p>
        </w:tc>
      </w:tr>
      <w:tr>
        <w:trPr>
          <w:trHeight w:val="199"/>
        </w:trPr>
        <w:tc>
          <w:tcPr>
            <w:tcW w:w="5700" w:type="dxa"/>
            <w:vAlign w:val="bottom"/>
            <w:tcBorders>
              <w:bottom w:val="single" w:sz="8" w:color="B6B6B6"/>
            </w:tcBorders>
          </w:tcPr>
          <w:p>
            <w:pPr>
              <w:ind w:left="20"/>
              <w:spacing w:after="0" w:line="199"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(10)</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(3,381)</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Borders>
              <w:bottom w:val="single" w:sz="8" w:color="B6B6B6"/>
            </w:tcBorders>
          </w:tcPr>
          <w:p>
            <w:pPr>
              <w:spacing w:after="0"/>
              <w:rPr>
                <w:sz w:val="17"/>
                <w:szCs w:val="17"/>
                <w:color w:val="auto"/>
              </w:rPr>
            </w:pP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(5,265)</w:t>
            </w:r>
          </w:p>
        </w:tc>
        <w:tc>
          <w:tcPr>
            <w:tcW w:w="32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(4,146)</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12,619</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25,949</w:t>
            </w:r>
          </w:p>
        </w:tc>
        <w:tc>
          <w:tcPr>
            <w:tcW w:w="100" w:type="dxa"/>
            <w:vAlign w:val="bottom"/>
            <w:shd w:val="clear" w:color="auto" w:fill="E3E1E9"/>
          </w:tcPr>
          <w:p>
            <w:pPr>
              <w:spacing w:after="0"/>
              <w:rPr>
                <w:sz w:val="17"/>
                <w:szCs w:val="17"/>
                <w:color w:val="auto"/>
              </w:rPr>
            </w:pP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38,029</w:t>
            </w:r>
          </w:p>
        </w:tc>
        <w:tc>
          <w:tcPr>
            <w:tcW w:w="3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E3E1E9"/>
          </w:tcPr>
          <w:p>
            <w:pPr>
              <w:jc w:val="right"/>
              <w:spacing w:after="0"/>
              <w:rPr>
                <w:sz w:val="20"/>
                <w:szCs w:val="20"/>
                <w:color w:val="auto"/>
              </w:rPr>
            </w:pPr>
            <w:r>
              <w:rPr>
                <w:rFonts w:ascii="Arial" w:cs="Arial" w:eastAsia="Arial" w:hAnsi="Arial"/>
                <w:sz w:val="14"/>
                <w:szCs w:val="14"/>
                <w:color w:val="auto"/>
              </w:rPr>
              <w:t>69,577</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8" w:firstLine="8"/>
        <w:spacing w:after="0" w:line="257" w:lineRule="auto"/>
        <w:tabs>
          <w:tab w:leader="none" w:pos="88"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503C64"/>
              </w:rPr>
              <w:t>Three Months Ended</w:t>
            </w:r>
          </w:p>
        </w:tc>
        <w:tc>
          <w:tcPr>
            <w:tcW w:w="220" w:type="dxa"/>
            <w:vAlign w:val="bottom"/>
          </w:tcPr>
          <w:p>
            <w:pPr>
              <w:spacing w:after="0"/>
              <w:rPr>
                <w:sz w:val="16"/>
                <w:szCs w:val="16"/>
                <w:color w:val="auto"/>
              </w:rPr>
            </w:pPr>
          </w:p>
        </w:tc>
        <w:tc>
          <w:tcPr>
            <w:tcW w:w="2360" w:type="dxa"/>
            <w:vAlign w:val="bottom"/>
            <w:gridSpan w:val="3"/>
          </w:tcPr>
          <w:p>
            <w:pPr>
              <w:jc w:val="right"/>
              <w:ind w:right="468"/>
              <w:spacing w:after="0"/>
              <w:rPr>
                <w:sz w:val="20"/>
                <w:szCs w:val="20"/>
                <w:color w:val="auto"/>
              </w:rPr>
            </w:pPr>
            <w:r>
              <w:rPr>
                <w:rFonts w:ascii="Arial" w:cs="Arial" w:eastAsia="Arial" w:hAnsi="Arial"/>
                <w:sz w:val="16"/>
                <w:szCs w:val="16"/>
                <w:b w:val="1"/>
                <w:bCs w:val="1"/>
                <w:color w:val="503C64"/>
              </w:rPr>
              <w:t>Nine Months Ended</w:t>
            </w:r>
          </w:p>
        </w:tc>
      </w:tr>
      <w:tr>
        <w:trPr>
          <w:trHeight w:val="227"/>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503C64"/>
              </w:rPr>
              <w:t>September 30,</w:t>
            </w:r>
          </w:p>
        </w:tc>
        <w:tc>
          <w:tcPr>
            <w:tcW w:w="220" w:type="dxa"/>
            <w:vAlign w:val="bottom"/>
          </w:tcPr>
          <w:p>
            <w:pPr>
              <w:spacing w:after="0"/>
              <w:rPr>
                <w:sz w:val="19"/>
                <w:szCs w:val="19"/>
                <w:color w:val="auto"/>
              </w:rPr>
            </w:pPr>
          </w:p>
        </w:tc>
        <w:tc>
          <w:tcPr>
            <w:tcW w:w="2360" w:type="dxa"/>
            <w:vAlign w:val="bottom"/>
            <w:gridSpan w:val="3"/>
          </w:tcPr>
          <w:p>
            <w:pPr>
              <w:jc w:val="right"/>
              <w:ind w:right="668"/>
              <w:spacing w:after="0"/>
              <w:rPr>
                <w:sz w:val="20"/>
                <w:szCs w:val="20"/>
                <w:color w:val="auto"/>
              </w:rPr>
            </w:pPr>
            <w:r>
              <w:rPr>
                <w:rFonts w:ascii="Arial" w:cs="Arial" w:eastAsia="Arial" w:hAnsi="Arial"/>
                <w:sz w:val="16"/>
                <w:szCs w:val="16"/>
                <w:b w:val="1"/>
                <w:bCs w:val="1"/>
                <w:color w:val="503C64"/>
              </w:rPr>
              <w:t>September 30,</w:t>
            </w: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r>
      <w:tr>
        <w:trPr>
          <w:trHeight w:val="195"/>
        </w:trPr>
        <w:tc>
          <w:tcPr>
            <w:tcW w:w="532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42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447"/>
              <w:spacing w:after="0"/>
              <w:rPr>
                <w:sz w:val="20"/>
                <w:szCs w:val="20"/>
                <w:color w:val="auto"/>
              </w:rPr>
            </w:pPr>
            <w:r>
              <w:rPr>
                <w:rFonts w:ascii="Arial" w:cs="Arial" w:eastAsia="Arial" w:hAnsi="Arial"/>
                <w:sz w:val="14"/>
                <w:szCs w:val="14"/>
                <w:b w:val="1"/>
                <w:bCs w:val="1"/>
                <w:color w:val="503C64"/>
              </w:rPr>
              <w:t>2023</w:t>
            </w:r>
          </w:p>
        </w:tc>
        <w:tc>
          <w:tcPr>
            <w:tcW w:w="26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503C64"/>
              </w:rPr>
              <w:t>2022</w:t>
            </w:r>
          </w:p>
        </w:tc>
      </w:tr>
      <w:tr>
        <w:trPr>
          <w:trHeight w:val="197"/>
        </w:trPr>
        <w:tc>
          <w:tcPr>
            <w:tcW w:w="532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20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12,619</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25,949</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38,029</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69,577</w:t>
            </w:r>
          </w:p>
        </w:tc>
      </w:tr>
      <w:tr>
        <w:trPr>
          <w:trHeight w:val="190"/>
        </w:trPr>
        <w:tc>
          <w:tcPr>
            <w:tcW w:w="5320" w:type="dxa"/>
            <w:vAlign w:val="bottom"/>
          </w:tcPr>
          <w:p>
            <w:pPr>
              <w:ind w:left="20"/>
              <w:spacing w:after="0"/>
              <w:rPr>
                <w:sz w:val="20"/>
                <w:szCs w:val="20"/>
                <w:color w:val="auto"/>
              </w:rPr>
            </w:pPr>
            <w:r>
              <w:rPr>
                <w:rFonts w:ascii="Arial" w:cs="Arial" w:eastAsia="Arial" w:hAnsi="Arial"/>
                <w:sz w:val="14"/>
                <w:szCs w:val="14"/>
                <w:color w:val="auto"/>
              </w:rPr>
              <w:t>Less: Adjusted income tax expense (benefit)</w:t>
            </w:r>
          </w:p>
        </w:tc>
        <w:tc>
          <w:tcPr>
            <w:tcW w:w="200" w:type="dxa"/>
            <w:vAlign w:val="bottom"/>
          </w:tcPr>
          <w:p>
            <w:pPr>
              <w:spacing w:after="0"/>
              <w:rPr>
                <w:sz w:val="16"/>
                <w:szCs w:val="16"/>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(3,190)</w:t>
            </w:r>
          </w:p>
        </w:tc>
        <w:tc>
          <w:tcPr>
            <w:tcW w:w="26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(5,463)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27"/>
              <w:spacing w:after="0"/>
              <w:rPr>
                <w:sz w:val="20"/>
                <w:szCs w:val="20"/>
                <w:color w:val="auto"/>
              </w:rPr>
            </w:pPr>
            <w:r>
              <w:rPr>
                <w:rFonts w:ascii="Arial" w:cs="Arial" w:eastAsia="Arial" w:hAnsi="Arial"/>
                <w:sz w:val="14"/>
                <w:szCs w:val="14"/>
                <w:color w:val="auto"/>
              </w:rPr>
              <w:t>(5,817)</w:t>
            </w:r>
          </w:p>
        </w:tc>
        <w:tc>
          <w:tcPr>
            <w:tcW w:w="26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(14,853)</w:t>
            </w:r>
          </w:p>
        </w:tc>
      </w:tr>
      <w:tr>
        <w:trPr>
          <w:trHeight w:val="215"/>
        </w:trPr>
        <w:tc>
          <w:tcPr>
            <w:tcW w:w="532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Add: If-converted tax impact</w:t>
            </w:r>
            <w:r>
              <w:rPr>
                <w:rFonts w:ascii="Arial" w:cs="Arial" w:eastAsia="Arial" w:hAnsi="Arial"/>
                <w:sz w:val="18"/>
                <w:szCs w:val="18"/>
                <w:color w:val="auto"/>
                <w:vertAlign w:val="superscript"/>
              </w:rPr>
              <w:t>(11)</w:t>
            </w:r>
          </w:p>
        </w:tc>
        <w:tc>
          <w:tcPr>
            <w:tcW w:w="20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5,183</w:t>
            </w:r>
          </w:p>
        </w:tc>
        <w:tc>
          <w:tcPr>
            <w:tcW w:w="26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8,591</w:t>
            </w:r>
          </w:p>
        </w:tc>
        <w:tc>
          <w:tcPr>
            <w:tcW w:w="100" w:type="dxa"/>
            <w:vAlign w:val="bottom"/>
            <w:tcBorders>
              <w:bottom w:val="single" w:sz="8" w:color="B6B6B6"/>
            </w:tcBorders>
          </w:tcPr>
          <w:p>
            <w:pPr>
              <w:spacing w:after="0"/>
              <w:rPr>
                <w:sz w:val="18"/>
                <w:szCs w:val="18"/>
                <w:color w:val="auto"/>
              </w:rPr>
            </w:pPr>
          </w:p>
        </w:tc>
        <w:tc>
          <w:tcPr>
            <w:tcW w:w="2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11,451</w:t>
            </w:r>
          </w:p>
        </w:tc>
        <w:tc>
          <w:tcPr>
            <w:tcW w:w="26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24,152</w:t>
            </w:r>
          </w:p>
        </w:tc>
      </w:tr>
      <w:tr>
        <w:trPr>
          <w:trHeight w:val="196"/>
        </w:trPr>
        <w:tc>
          <w:tcPr>
            <w:tcW w:w="532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 (loss)</w:t>
            </w:r>
          </w:p>
        </w:tc>
        <w:tc>
          <w:tcPr>
            <w:tcW w:w="20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10,626</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22,821</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32,395</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60,278</w:t>
            </w:r>
          </w:p>
        </w:tc>
      </w:tr>
      <w:tr>
        <w:trPr>
          <w:trHeight w:val="352"/>
        </w:trPr>
        <w:tc>
          <w:tcPr>
            <w:tcW w:w="532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200" w:type="dxa"/>
            <w:vAlign w:val="bottom"/>
          </w:tcPr>
          <w:p>
            <w:pPr>
              <w:spacing w:after="0"/>
              <w:rPr>
                <w:sz w:val="24"/>
                <w:szCs w:val="24"/>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color w:val="auto"/>
              </w:rPr>
              <w:t>86,647,697</w:t>
            </w:r>
          </w:p>
        </w:tc>
        <w:tc>
          <w:tcPr>
            <w:tcW w:w="26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87,745,776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67"/>
              <w:spacing w:after="0"/>
              <w:rPr>
                <w:sz w:val="20"/>
                <w:szCs w:val="20"/>
                <w:color w:val="auto"/>
              </w:rPr>
            </w:pPr>
            <w:r>
              <w:rPr>
                <w:rFonts w:ascii="Arial" w:cs="Arial" w:eastAsia="Arial" w:hAnsi="Arial"/>
                <w:sz w:val="14"/>
                <w:szCs w:val="14"/>
                <w:color w:val="auto"/>
              </w:rPr>
              <w:t>86,593,581</w:t>
            </w:r>
          </w:p>
        </w:tc>
        <w:tc>
          <w:tcPr>
            <w:tcW w:w="26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90,535,232</w:t>
            </w:r>
          </w:p>
        </w:tc>
      </w:tr>
      <w:tr>
        <w:trPr>
          <w:trHeight w:val="164"/>
        </w:trPr>
        <w:tc>
          <w:tcPr>
            <w:tcW w:w="5320" w:type="dxa"/>
            <w:vAlign w:val="bottom"/>
          </w:tcPr>
          <w:p>
            <w:pPr>
              <w:ind w:left="20"/>
              <w:spacing w:after="0"/>
              <w:rPr>
                <w:sz w:val="20"/>
                <w:szCs w:val="20"/>
                <w:color w:val="auto"/>
              </w:rPr>
            </w:pPr>
            <w:r>
              <w:rPr>
                <w:rFonts w:ascii="Arial" w:cs="Arial" w:eastAsia="Arial" w:hAnsi="Arial"/>
                <w:sz w:val="14"/>
                <w:szCs w:val="14"/>
                <w:color w:val="auto"/>
              </w:rPr>
              <w:t>Weighted average number of incremental shares from assumed vesting of RSUs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9"/>
        </w:trPr>
        <w:tc>
          <w:tcPr>
            <w:tcW w:w="5320" w:type="dxa"/>
            <w:vAlign w:val="bottom"/>
            <w:tcBorders>
              <w:bottom w:val="single" w:sz="8" w:color="B6B6B6"/>
            </w:tcBorders>
          </w:tcPr>
          <w:p>
            <w:pPr>
              <w:ind w:left="20"/>
              <w:spacing w:after="0" w:line="199" w:lineRule="exact"/>
              <w:rPr>
                <w:sz w:val="20"/>
                <w:szCs w:val="20"/>
                <w:color w:val="auto"/>
              </w:rPr>
            </w:pPr>
            <w:r>
              <w:rPr>
                <w:rFonts w:ascii="Arial" w:cs="Arial" w:eastAsia="Arial" w:hAnsi="Arial"/>
                <w:sz w:val="14"/>
                <w:szCs w:val="14"/>
                <w:color w:val="auto"/>
              </w:rPr>
              <w:t>and PSUs</w:t>
            </w:r>
            <w:r>
              <w:rPr>
                <w:rFonts w:ascii="Arial" w:cs="Arial" w:eastAsia="Arial" w:hAnsi="Arial"/>
                <w:sz w:val="18"/>
                <w:szCs w:val="18"/>
                <w:color w:val="auto"/>
                <w:vertAlign w:val="superscript"/>
              </w:rPr>
              <w:t>(12)</w:t>
            </w:r>
          </w:p>
        </w:tc>
        <w:tc>
          <w:tcPr>
            <w:tcW w:w="20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2,682,303</w:t>
            </w:r>
          </w:p>
        </w:tc>
        <w:tc>
          <w:tcPr>
            <w:tcW w:w="26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129,712</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1080" w:type="dxa"/>
            <w:vAlign w:val="bottom"/>
            <w:tcBorders>
              <w:bottom w:val="single" w:sz="8" w:color="B6B6B6"/>
            </w:tcBorders>
          </w:tcPr>
          <w:p>
            <w:pPr>
              <w:jc w:val="right"/>
              <w:ind w:right="167"/>
              <w:spacing w:after="0"/>
              <w:rPr>
                <w:sz w:val="20"/>
                <w:szCs w:val="20"/>
                <w:color w:val="auto"/>
              </w:rPr>
            </w:pPr>
            <w:r>
              <w:rPr>
                <w:rFonts w:ascii="Arial" w:cs="Arial" w:eastAsia="Arial" w:hAnsi="Arial"/>
                <w:sz w:val="14"/>
                <w:szCs w:val="14"/>
                <w:color w:val="auto"/>
              </w:rPr>
              <w:t>1,561,627</w:t>
            </w:r>
          </w:p>
        </w:tc>
        <w:tc>
          <w:tcPr>
            <w:tcW w:w="26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155,527</w:t>
            </w:r>
          </w:p>
        </w:tc>
      </w:tr>
      <w:tr>
        <w:trPr>
          <w:trHeight w:val="196"/>
        </w:trPr>
        <w:tc>
          <w:tcPr>
            <w:tcW w:w="532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200" w:type="dxa"/>
            <w:vAlign w:val="bottom"/>
            <w:shd w:val="clear" w:color="auto" w:fill="E3E1E9"/>
          </w:tcPr>
          <w:p>
            <w:pPr>
              <w:spacing w:after="0"/>
              <w:rPr>
                <w:sz w:val="17"/>
                <w:szCs w:val="17"/>
                <w:color w:val="auto"/>
              </w:rPr>
            </w:pP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89,330,000</w:t>
            </w:r>
          </w:p>
        </w:tc>
        <w:tc>
          <w:tcPr>
            <w:tcW w:w="260" w:type="dxa"/>
            <w:vAlign w:val="bottom"/>
            <w:shd w:val="clear" w:color="auto" w:fill="E3E1E9"/>
          </w:tcPr>
          <w:p>
            <w:pPr>
              <w:spacing w:after="0"/>
              <w:rPr>
                <w:sz w:val="17"/>
                <w:szCs w:val="17"/>
                <w:color w:val="auto"/>
              </w:rPr>
            </w:pP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87,875,488</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spacing w:after="0"/>
              <w:rPr>
                <w:sz w:val="17"/>
                <w:szCs w:val="17"/>
                <w:color w:val="auto"/>
              </w:rPr>
            </w:pP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88,155,208</w:t>
            </w:r>
          </w:p>
        </w:tc>
        <w:tc>
          <w:tcPr>
            <w:tcW w:w="260" w:type="dxa"/>
            <w:vAlign w:val="bottom"/>
            <w:shd w:val="clear" w:color="auto" w:fill="E3E1E9"/>
          </w:tcPr>
          <w:p>
            <w:pPr>
              <w:spacing w:after="0"/>
              <w:rPr>
                <w:sz w:val="17"/>
                <w:szCs w:val="17"/>
                <w:color w:val="auto"/>
              </w:rPr>
            </w:pP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90,690,759</w:t>
            </w:r>
          </w:p>
        </w:tc>
      </w:tr>
      <w:tr>
        <w:trPr>
          <w:trHeight w:val="162"/>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532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 per Class A share—diluted, if—converted</w:t>
            </w:r>
          </w:p>
        </w:tc>
        <w:tc>
          <w:tcPr>
            <w:tcW w:w="20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0.12</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3E1E9"/>
          </w:tcPr>
          <w:p>
            <w:pPr>
              <w:jc w:val="right"/>
              <w:ind w:right="167"/>
              <w:spacing w:after="0"/>
              <w:rPr>
                <w:sz w:val="20"/>
                <w:szCs w:val="20"/>
                <w:color w:val="auto"/>
              </w:rPr>
            </w:pPr>
            <w:r>
              <w:rPr>
                <w:rFonts w:ascii="Arial" w:cs="Arial" w:eastAsia="Arial" w:hAnsi="Arial"/>
                <w:sz w:val="14"/>
                <w:szCs w:val="14"/>
                <w:color w:val="auto"/>
              </w:rPr>
              <w:t>0.37</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0.66</w:t>
            </w:r>
          </w:p>
        </w:tc>
      </w:tr>
      <w:tr>
        <w:trPr>
          <w:trHeight w:val="373"/>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(13)</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2"/>
        </w:trPr>
        <w:tc>
          <w:tcPr>
            <w:tcW w:w="532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(16.3)%</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3"/>
        </w:trPr>
        <w:tc>
          <w:tcPr>
            <w:tcW w:w="5320" w:type="dxa"/>
            <w:vAlign w:val="bottom"/>
          </w:tcPr>
          <w:p>
            <w:pPr>
              <w:ind w:left="20"/>
              <w:spacing w:after="0"/>
              <w:rPr>
                <w:sz w:val="20"/>
                <w:szCs w:val="20"/>
                <w:color w:val="auto"/>
              </w:rPr>
            </w:pPr>
            <w:r>
              <w:rPr>
                <w:rFonts w:ascii="Arial" w:cs="Arial" w:eastAsia="Arial" w:hAnsi="Arial"/>
                <w:sz w:val="14"/>
                <w:szCs w:val="14"/>
                <w:color w:val="auto"/>
              </w:rPr>
              <w:t>Adjusted operating income (loss) margin</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8.9 %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15.7 %</w:t>
            </w:r>
          </w:p>
        </w:tc>
      </w:tr>
      <w:tr>
        <w:trPr>
          <w:trHeight w:val="202"/>
        </w:trPr>
        <w:tc>
          <w:tcPr>
            <w:tcW w:w="532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90 %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84 %</w:t>
            </w:r>
          </w:p>
        </w:tc>
      </w:tr>
      <w:tr>
        <w:trPr>
          <w:trHeight w:val="203"/>
        </w:trPr>
        <w:tc>
          <w:tcPr>
            <w:tcW w:w="532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67 %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64 %</w:t>
            </w:r>
          </w:p>
        </w:tc>
      </w:tr>
      <w:tr>
        <w:trPr>
          <w:trHeight w:val="203"/>
        </w:trPr>
        <w:tc>
          <w:tcPr>
            <w:tcW w:w="532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684 %</w:t>
            </w:r>
          </w:p>
        </w:tc>
      </w:tr>
      <w:tr>
        <w:trPr>
          <w:trHeight w:val="203"/>
        </w:trPr>
        <w:tc>
          <w:tcPr>
            <w:tcW w:w="532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
              <w:spacing w:after="0"/>
              <w:rPr>
                <w:sz w:val="20"/>
                <w:szCs w:val="20"/>
                <w:color w:val="auto"/>
              </w:rPr>
            </w:pPr>
            <w:r>
              <w:rPr>
                <w:rFonts w:ascii="Arial" w:cs="Arial" w:eastAsia="Arial" w:hAnsi="Arial"/>
                <w:sz w:val="14"/>
                <w:szCs w:val="14"/>
                <w:color w:val="auto"/>
              </w:rPr>
              <w:t>26 %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U.S. GAAP Reconciliation of Adjusted Results:</w:t>
      </w:r>
    </w:p>
    <w:p>
      <w:pPr>
        <w:spacing w:after="0" w:line="293" w:lineRule="exact"/>
        <w:rPr>
          <w:sz w:val="20"/>
          <w:szCs w:val="20"/>
          <w:color w:val="auto"/>
        </w:rPr>
      </w:pPr>
    </w:p>
    <w:p>
      <w:pPr>
        <w:jc w:val="both"/>
        <w:ind w:left="500" w:hanging="492"/>
        <w:spacing w:after="0" w:line="315"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Holdings LP (“PWP OpCo”) includes amortization of legacy awards granted to certain partners prior to the business combination that closed on June 24, 2021 (the “Business Combination”) and PWP Professional Partners LP (“Professional Partners”) alignment capital units and value capital units awards. The vesting of these awards does not dilute PWP shareholders relative to Professional Partners as Professional Partners’ interest in PWP OpCo does not change as a result of granting those equity awards to its working partners.</w:t>
      </w:r>
    </w:p>
    <w:p>
      <w:pPr>
        <w:spacing w:after="0" w:line="124" w:lineRule="exact"/>
        <w:rPr>
          <w:rFonts w:ascii="Arial" w:cs="Arial" w:eastAsia="Arial" w:hAnsi="Arial"/>
          <w:sz w:val="20"/>
          <w:szCs w:val="20"/>
          <w:color w:val="auto"/>
        </w:rPr>
      </w:pPr>
    </w:p>
    <w:p>
      <w:pPr>
        <w:jc w:val="both"/>
        <w:ind w:left="500" w:right="120" w:hanging="492"/>
        <w:spacing w:after="0" w:line="320"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200" w:lineRule="exact"/>
        <w:rPr>
          <w:sz w:val="20"/>
          <w:szCs w:val="20"/>
          <w:color w:val="auto"/>
        </w:rPr>
      </w:pPr>
    </w:p>
    <w:p>
      <w:pPr>
        <w:spacing w:after="0" w:line="323" w:lineRule="exact"/>
        <w:rPr>
          <w:sz w:val="20"/>
          <w:szCs w:val="20"/>
          <w:color w:val="auto"/>
        </w:rPr>
      </w:pPr>
    </w:p>
    <w:p>
      <w:pPr>
        <w:jc w:val="both"/>
        <w:ind w:firstLine="8"/>
        <w:spacing w:after="0" w:line="257" w:lineRule="auto"/>
        <w:tabs>
          <w:tab w:leader="none" w:pos="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8" w:right="339" w:bottom="1440" w:gutter="0" w:footer="0" w:header="0"/>
        </w:sectPr>
      </w:pPr>
    </w:p>
    <w:bookmarkStart w:id="13" w:name="page14"/>
    <w:bookmarkEnd w:id="13"/>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ind w:left="500" w:hanging="492"/>
        <w:spacing w:after="0" w:line="312"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is resulting in employee reductions in order to improve compensation alignment and to provide greater flexibility to advance strategic opportunities. Costs include separation and transition benefits and the accelerated amortization (net of forfeitures) of certain equity-based awards. For the three and nine months ended September 30, 2023, such amortization includes $1.8 million and $1.9 million, respectively, for certain Professional Partners Awards and $0.3 million and $0.8 million, respectively, for certain transaction-related RSUs, which are excluded from Equity-based compensation not dilutive to investors in PWP or PWP OpCo and Public company transaction related incentives. Currently, we are estimating $30 million of total business realignment costs, including cash benefits and non-cash accelerated amortization of equity-based awards, with approximately $18 million expected to be incurred during the remainder of 2023.</w:t>
      </w:r>
    </w:p>
    <w:p>
      <w:pPr>
        <w:spacing w:after="0" w:line="130" w:lineRule="exact"/>
        <w:rPr>
          <w:rFonts w:ascii="Arial" w:cs="Arial" w:eastAsia="Arial" w:hAnsi="Arial"/>
          <w:sz w:val="20"/>
          <w:szCs w:val="20"/>
          <w:color w:val="auto"/>
        </w:rPr>
      </w:pPr>
    </w:p>
    <w:p>
      <w:pPr>
        <w:jc w:val="both"/>
        <w:ind w:left="500" w:right="100" w:hanging="492"/>
        <w:spacing w:after="0" w:line="320"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106" w:lineRule="exact"/>
        <w:rPr>
          <w:rFonts w:ascii="Arial" w:cs="Arial" w:eastAsia="Arial" w:hAnsi="Arial"/>
          <w:sz w:val="20"/>
          <w:szCs w:val="20"/>
          <w:color w:val="auto"/>
        </w:rPr>
      </w:pPr>
    </w:p>
    <w:p>
      <w:pPr>
        <w:jc w:val="both"/>
        <w:ind w:left="500" w:right="120" w:hanging="492"/>
        <w:spacing w:after="0" w:line="317"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Business Combination, including (i) equity-based vesting for transaction-related RSUs issued to non-employees and (ii) costs incurred in 2023 related to a potential future partnership restructuring that was contemplated during the implementation of the up-C structure at the time of the Business Combination.</w:t>
      </w:r>
    </w:p>
    <w:p>
      <w:pPr>
        <w:spacing w:after="0" w:line="121" w:lineRule="exact"/>
        <w:rPr>
          <w:rFonts w:ascii="Arial" w:cs="Arial" w:eastAsia="Arial" w:hAnsi="Arial"/>
          <w:sz w:val="20"/>
          <w:szCs w:val="20"/>
          <w:color w:val="auto"/>
        </w:rPr>
      </w:pPr>
    </w:p>
    <w:p>
      <w:pPr>
        <w:ind w:left="500" w:hanging="492"/>
        <w:spacing w:after="0" w:line="331"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exchange offer and solicitation relating to the Company’s outstanding warrants, which the Company commenced on July 22, 2022 (the “Warrant Exchange”).</w:t>
      </w:r>
    </w:p>
    <w:p>
      <w:pPr>
        <w:spacing w:after="0" w:line="108" w:lineRule="exact"/>
        <w:rPr>
          <w:rFonts w:ascii="Arial" w:cs="Arial" w:eastAsia="Arial" w:hAnsi="Arial"/>
          <w:sz w:val="20"/>
          <w:szCs w:val="20"/>
          <w:color w:val="auto"/>
        </w:rPr>
      </w:pPr>
    </w:p>
    <w:p>
      <w:pPr>
        <w:ind w:left="500" w:hanging="492"/>
        <w:spacing w:after="0"/>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Certain expenses incurred related to the Settlement.</w:t>
      </w:r>
    </w:p>
    <w:p>
      <w:pPr>
        <w:spacing w:after="0" w:line="202" w:lineRule="exact"/>
        <w:rPr>
          <w:rFonts w:ascii="Arial" w:cs="Arial" w:eastAsia="Arial" w:hAnsi="Arial"/>
          <w:sz w:val="20"/>
          <w:szCs w:val="20"/>
          <w:color w:val="auto"/>
        </w:rPr>
      </w:pPr>
    </w:p>
    <w:p>
      <w:pPr>
        <w:ind w:left="500" w:hanging="492"/>
        <w:spacing w:after="0" w:line="331"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108" w:lineRule="exact"/>
        <w:rPr>
          <w:rFonts w:ascii="Arial" w:cs="Arial" w:eastAsia="Arial" w:hAnsi="Arial"/>
          <w:sz w:val="20"/>
          <w:szCs w:val="20"/>
          <w:color w:val="auto"/>
        </w:rPr>
      </w:pPr>
    </w:p>
    <w:p>
      <w:pPr>
        <w:jc w:val="both"/>
        <w:ind w:left="500" w:right="100" w:hanging="492"/>
        <w:spacing w:after="0" w:line="314"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For the three and nine months ended September 30, 2022, this adjustment includes a loss of $6.3 million and a gain of $15.8 million, respectively, on the change in fair value of warrant liabilities, which is non-cash and we believe not indicative of our core performance. A minimal adjustment for the amortization of debt discounts and issuance costs is also included for all periods as well as the $1.25 million charge related to the Settlement for the three and nine months ended September 30, 2023 and a non-operating loss on investment of $1.4 million for the nine months ended September 30, 2023.</w:t>
      </w:r>
    </w:p>
    <w:p>
      <w:pPr>
        <w:spacing w:after="0" w:line="125" w:lineRule="exact"/>
        <w:rPr>
          <w:rFonts w:ascii="Arial" w:cs="Arial" w:eastAsia="Arial" w:hAnsi="Arial"/>
          <w:sz w:val="20"/>
          <w:szCs w:val="20"/>
          <w:color w:val="auto"/>
        </w:rPr>
      </w:pPr>
    </w:p>
    <w:p>
      <w:pPr>
        <w:jc w:val="both"/>
        <w:ind w:left="500" w:right="120" w:hanging="492"/>
        <w:spacing w:after="0" w:line="320" w:lineRule="auto"/>
        <w:tabs>
          <w:tab w:leader="none" w:pos="4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non-GAAP tax expense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spacing w:after="0" w:line="200" w:lineRule="exact"/>
        <w:rPr>
          <w:sz w:val="20"/>
          <w:szCs w:val="20"/>
          <w:color w:val="auto"/>
        </w:rPr>
      </w:pPr>
    </w:p>
    <w:p>
      <w:pPr>
        <w:spacing w:after="0" w:line="323" w:lineRule="exact"/>
        <w:rPr>
          <w:sz w:val="20"/>
          <w:szCs w:val="20"/>
          <w:color w:val="auto"/>
        </w:rPr>
      </w:pPr>
    </w:p>
    <w:p>
      <w:pPr>
        <w:jc w:val="both"/>
        <w:ind w:firstLine="8"/>
        <w:spacing w:after="0" w:line="257" w:lineRule="auto"/>
        <w:tabs>
          <w:tab w:leader="none" w:pos="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ind w:left="500" w:hanging="492"/>
        <w:spacing w:after="0" w:line="320" w:lineRule="auto"/>
        <w:tabs>
          <w:tab w:leader="none" w:pos="482"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if-converted tax expense represents the Company's calculated tax expense on adjusted non-GAAP income assuming the exchange of all partnership units for PWP Class A common stock, resulting in all of the Company’s income being subject to corporate-level tax.</w:t>
      </w:r>
    </w:p>
    <w:p>
      <w:pPr>
        <w:spacing w:after="0" w:line="119" w:lineRule="exact"/>
        <w:rPr>
          <w:rFonts w:ascii="Arial" w:cs="Arial" w:eastAsia="Arial" w:hAnsi="Arial"/>
          <w:sz w:val="20"/>
          <w:szCs w:val="20"/>
          <w:color w:val="auto"/>
        </w:rPr>
      </w:pPr>
    </w:p>
    <w:p>
      <w:pPr>
        <w:ind w:left="500" w:hanging="492"/>
        <w:spacing w:after="0" w:line="331" w:lineRule="auto"/>
        <w:tabs>
          <w:tab w:leader="none" w:pos="497"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Assumed vesting of RSUs and performance restricted stock units (“PSUs”) as calculated using the treasury stock method and to the extent dilutive to Adjusted net income (loss) per Class A share—diluted, if-converted.</w:t>
      </w:r>
    </w:p>
    <w:p>
      <w:pPr>
        <w:spacing w:after="0" w:line="94" w:lineRule="exact"/>
        <w:rPr>
          <w:rFonts w:ascii="Arial" w:cs="Arial" w:eastAsia="Arial" w:hAnsi="Arial"/>
          <w:sz w:val="20"/>
          <w:szCs w:val="20"/>
          <w:color w:val="auto"/>
        </w:rPr>
      </w:pPr>
    </w:p>
    <w:p>
      <w:pPr>
        <w:ind w:left="500" w:hanging="492"/>
        <w:spacing w:after="0" w:line="331" w:lineRule="auto"/>
        <w:tabs>
          <w:tab w:leader="none" w:pos="497"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Reconciliations of key metrics from U.S.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8"/>
        <w:spacing w:after="0" w:line="257" w:lineRule="auto"/>
        <w:tabs>
          <w:tab w:leader="none" w:pos="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201"/>
        </w:trPr>
        <w:tc>
          <w:tcPr>
            <w:tcW w:w="496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3980" w:type="dxa"/>
            <w:vAlign w:val="bottom"/>
            <w:tcBorders>
              <w:bottom w:val="single" w:sz="8" w:color="B6B6B6"/>
            </w:tcBorders>
            <w:gridSpan w:val="4"/>
          </w:tcPr>
          <w:p>
            <w:pPr>
              <w:jc w:val="center"/>
              <w:ind w:left="868"/>
              <w:spacing w:after="0"/>
              <w:rPr>
                <w:sz w:val="20"/>
                <w:szCs w:val="20"/>
                <w:color w:val="auto"/>
              </w:rPr>
            </w:pPr>
            <w:r>
              <w:rPr>
                <w:rFonts w:ascii="Arial" w:cs="Arial" w:eastAsia="Arial" w:hAnsi="Arial"/>
                <w:sz w:val="14"/>
                <w:szCs w:val="14"/>
                <w:b w:val="1"/>
                <w:bCs w:val="1"/>
                <w:color w:val="503C64"/>
              </w:rPr>
              <w:t>Three Months Ended September 30, 2023</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48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503C64"/>
              </w:rPr>
              <w:t>U.S. GAAP</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5"/>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10,256</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(2,019) </w:t>
            </w:r>
            <w:r>
              <w:rPr>
                <w:rFonts w:ascii="Arial" w:cs="Arial" w:eastAsia="Arial" w:hAnsi="Arial"/>
                <w:sz w:val="12"/>
                <w:szCs w:val="12"/>
                <w:color w:val="auto"/>
              </w:rPr>
              <w:t>(1)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8,237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8,045</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8,045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6,766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6,766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4,134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4,134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5,036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5,036</w:t>
            </w:r>
          </w:p>
        </w:tc>
      </w:tr>
      <w:tr>
        <w:trPr>
          <w:trHeight w:val="236"/>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B6B6B6"/>
            </w:tcBorders>
          </w:tcPr>
          <w:p>
            <w:pPr>
              <w:spacing w:after="0"/>
              <w:rPr>
                <w:sz w:val="20"/>
                <w:szCs w:val="20"/>
                <w:color w:val="auto"/>
              </w:rPr>
            </w:pPr>
          </w:p>
        </w:tc>
        <w:tc>
          <w:tcPr>
            <w:tcW w:w="14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3,694</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20"/>
                <w:szCs w:val="20"/>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2,049</w:t>
            </w:r>
          </w:p>
        </w:tc>
      </w:tr>
      <w:tr>
        <w:trPr>
          <w:trHeight w:val="200"/>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37,931</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(3,664)</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34,267</w:t>
            </w:r>
          </w:p>
        </w:tc>
      </w:tr>
    </w:tbl>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1"/>
        </w:trPr>
        <w:tc>
          <w:tcPr>
            <w:tcW w:w="496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3980" w:type="dxa"/>
            <w:vAlign w:val="bottom"/>
            <w:tcBorders>
              <w:bottom w:val="single" w:sz="8" w:color="B6B6B6"/>
            </w:tcBorders>
            <w:gridSpan w:val="4"/>
          </w:tcPr>
          <w:p>
            <w:pPr>
              <w:jc w:val="center"/>
              <w:ind w:left="868"/>
              <w:spacing w:after="0"/>
              <w:rPr>
                <w:sz w:val="20"/>
                <w:szCs w:val="20"/>
                <w:color w:val="auto"/>
              </w:rPr>
            </w:pPr>
            <w:r>
              <w:rPr>
                <w:rFonts w:ascii="Arial" w:cs="Arial" w:eastAsia="Arial" w:hAnsi="Arial"/>
                <w:sz w:val="14"/>
                <w:szCs w:val="14"/>
                <w:b w:val="1"/>
                <w:bCs w:val="1"/>
                <w:color w:val="503C64"/>
              </w:rPr>
              <w:t>Three Months Ended September 30, 2022</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48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503C64"/>
              </w:rPr>
              <w:t>U.S. GAAP</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5"/>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8,180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(1,507) </w:t>
            </w:r>
            <w:r>
              <w:rPr>
                <w:rFonts w:ascii="Arial" w:cs="Arial" w:eastAsia="Arial" w:hAnsi="Arial"/>
                <w:sz w:val="12"/>
                <w:szCs w:val="12"/>
                <w:color w:val="auto"/>
              </w:rPr>
              <w:t>(3)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6,673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7,337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7,337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6,404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6,404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2,912</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2,912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3,648</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3,648</w:t>
            </w:r>
          </w:p>
        </w:tc>
      </w:tr>
      <w:tr>
        <w:trPr>
          <w:trHeight w:val="208"/>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B6B6B6"/>
            </w:tcBorders>
          </w:tcPr>
          <w:p>
            <w:pPr>
              <w:spacing w:after="0"/>
              <w:rPr>
                <w:sz w:val="18"/>
                <w:szCs w:val="18"/>
                <w:color w:val="auto"/>
              </w:rPr>
            </w:pPr>
          </w:p>
        </w:tc>
        <w:tc>
          <w:tcPr>
            <w:tcW w:w="14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2,457</w:t>
            </w:r>
          </w:p>
        </w:tc>
        <w:tc>
          <w:tcPr>
            <w:tcW w:w="420" w:type="dxa"/>
            <w:vAlign w:val="bottom"/>
            <w:tcBorders>
              <w:bottom w:val="single" w:sz="8" w:color="B6B6B6"/>
            </w:tcBorders>
          </w:tcPr>
          <w:p>
            <w:pPr>
              <w:spacing w:after="0"/>
              <w:rPr>
                <w:sz w:val="18"/>
                <w:szCs w:val="18"/>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18"/>
                <w:szCs w:val="18"/>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812</w:t>
            </w:r>
          </w:p>
        </w:tc>
      </w:tr>
      <w:tr>
        <w:trPr>
          <w:trHeight w:val="200"/>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30,938</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(3,152)</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27,786</w:t>
            </w:r>
          </w:p>
        </w:tc>
      </w:tr>
    </w:tbl>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1"/>
        </w:trPr>
        <w:tc>
          <w:tcPr>
            <w:tcW w:w="496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3960" w:type="dxa"/>
            <w:vAlign w:val="bottom"/>
            <w:tcBorders>
              <w:bottom w:val="single" w:sz="8" w:color="B6B6B6"/>
            </w:tcBorders>
            <w:gridSpan w:val="4"/>
          </w:tcPr>
          <w:p>
            <w:pPr>
              <w:jc w:val="right"/>
              <w:ind w:right="68"/>
              <w:spacing w:after="0"/>
              <w:rPr>
                <w:sz w:val="20"/>
                <w:szCs w:val="20"/>
                <w:color w:val="auto"/>
              </w:rPr>
            </w:pPr>
            <w:r>
              <w:rPr>
                <w:rFonts w:ascii="Arial" w:cs="Arial" w:eastAsia="Arial" w:hAnsi="Arial"/>
                <w:sz w:val="14"/>
                <w:szCs w:val="14"/>
                <w:b w:val="1"/>
                <w:bCs w:val="1"/>
                <w:color w:val="503C64"/>
              </w:rPr>
              <w:t>Nine Months Ended September 30, 2023</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48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503C64"/>
              </w:rPr>
              <w:t>U.S. GAAP</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5"/>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26,546</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(3,184) </w:t>
            </w:r>
            <w:r>
              <w:rPr>
                <w:rFonts w:ascii="Arial" w:cs="Arial" w:eastAsia="Arial" w:hAnsi="Arial"/>
                <w:sz w:val="12"/>
                <w:szCs w:val="12"/>
                <w:color w:val="auto"/>
              </w:rPr>
              <w:t>(1)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23,362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25,850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25,850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20,858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20,858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13,634</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13,634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16,226</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16,226</w:t>
            </w:r>
          </w:p>
        </w:tc>
      </w:tr>
      <w:tr>
        <w:trPr>
          <w:trHeight w:val="235"/>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B6B6B6"/>
            </w:tcBorders>
          </w:tcPr>
          <w:p>
            <w:pPr>
              <w:spacing w:after="0"/>
              <w:rPr>
                <w:sz w:val="20"/>
                <w:szCs w:val="20"/>
                <w:color w:val="auto"/>
              </w:rPr>
            </w:pPr>
          </w:p>
        </w:tc>
        <w:tc>
          <w:tcPr>
            <w:tcW w:w="14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10,168</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(4,935)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20"/>
                <w:szCs w:val="20"/>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5,233</w:t>
            </w:r>
          </w:p>
        </w:tc>
      </w:tr>
      <w:tr>
        <w:trPr>
          <w:trHeight w:val="200"/>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113,282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(8,119)</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105,163</w:t>
            </w:r>
          </w:p>
        </w:tc>
      </w:tr>
    </w:tbl>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1"/>
        </w:trPr>
        <w:tc>
          <w:tcPr>
            <w:tcW w:w="496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3960" w:type="dxa"/>
            <w:vAlign w:val="bottom"/>
            <w:tcBorders>
              <w:bottom w:val="single" w:sz="8" w:color="B6B6B6"/>
            </w:tcBorders>
            <w:gridSpan w:val="4"/>
          </w:tcPr>
          <w:p>
            <w:pPr>
              <w:jc w:val="center"/>
              <w:ind w:left="888"/>
              <w:spacing w:after="0"/>
              <w:rPr>
                <w:sz w:val="20"/>
                <w:szCs w:val="20"/>
                <w:color w:val="auto"/>
              </w:rPr>
            </w:pPr>
            <w:r>
              <w:rPr>
                <w:rFonts w:ascii="Arial" w:cs="Arial" w:eastAsia="Arial" w:hAnsi="Arial"/>
                <w:sz w:val="14"/>
                <w:szCs w:val="14"/>
                <w:b w:val="1"/>
                <w:bCs w:val="1"/>
                <w:color w:val="503C64"/>
              </w:rPr>
              <w:t>Nine Months Ended September 30, 2022</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48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503C64"/>
              </w:rPr>
              <w:t>U.S. GAAP</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5"/>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25,902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(2,221) </w:t>
            </w:r>
            <w:r>
              <w:rPr>
                <w:rFonts w:ascii="Arial" w:cs="Arial" w:eastAsia="Arial" w:hAnsi="Arial"/>
                <w:sz w:val="12"/>
                <w:szCs w:val="12"/>
                <w:color w:val="auto"/>
              </w:rPr>
              <w:t>(3)</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23,681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22,414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22,414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17,511</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17,511</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8,847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8,847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60" w:type="dxa"/>
            <w:vAlign w:val="bottom"/>
          </w:tcPr>
          <w:p>
            <w:pPr>
              <w:spacing w:after="0"/>
              <w:rPr>
                <w:sz w:val="17"/>
                <w:szCs w:val="17"/>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15,414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15,414</w:t>
            </w:r>
          </w:p>
        </w:tc>
      </w:tr>
      <w:tr>
        <w:trPr>
          <w:trHeight w:val="209"/>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B6B6B6"/>
            </w:tcBorders>
          </w:tcPr>
          <w:p>
            <w:pPr>
              <w:spacing w:after="0"/>
              <w:rPr>
                <w:sz w:val="18"/>
                <w:szCs w:val="18"/>
                <w:color w:val="auto"/>
              </w:rPr>
            </w:pPr>
          </w:p>
        </w:tc>
        <w:tc>
          <w:tcPr>
            <w:tcW w:w="14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8,053</w:t>
            </w:r>
          </w:p>
        </w:tc>
        <w:tc>
          <w:tcPr>
            <w:tcW w:w="420" w:type="dxa"/>
            <w:vAlign w:val="bottom"/>
            <w:tcBorders>
              <w:bottom w:val="single" w:sz="8" w:color="B6B6B6"/>
            </w:tcBorders>
          </w:tcPr>
          <w:p>
            <w:pPr>
              <w:spacing w:after="0"/>
              <w:rPr>
                <w:sz w:val="18"/>
                <w:szCs w:val="18"/>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(4,935)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18"/>
                <w:szCs w:val="18"/>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3,118</w:t>
            </w:r>
          </w:p>
        </w:tc>
      </w:tr>
      <w:tr>
        <w:trPr>
          <w:trHeight w:val="200"/>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98,141</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(7,156)</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90,985</w:t>
            </w:r>
          </w:p>
        </w:tc>
      </w:tr>
    </w:tbl>
    <w:p>
      <w:pPr>
        <w:spacing w:after="0" w:line="200" w:lineRule="exact"/>
        <w:rPr>
          <w:sz w:val="20"/>
          <w:szCs w:val="20"/>
          <w:color w:val="auto"/>
        </w:rPr>
      </w:pPr>
    </w:p>
    <w:p>
      <w:pPr>
        <w:spacing w:after="0" w:line="242" w:lineRule="exact"/>
        <w:rPr>
          <w:sz w:val="20"/>
          <w:szCs w:val="20"/>
          <w:color w:val="auto"/>
        </w:rPr>
      </w:pPr>
    </w:p>
    <w:p>
      <w:pPr>
        <w:ind w:left="880" w:hanging="382"/>
        <w:spacing w:after="0"/>
        <w:tabs>
          <w:tab w:leader="none" w:pos="8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 and certain expenses related to the Settlement.</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 and the Warrant Exchange.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4" w:lineRule="exact"/>
        <w:rPr>
          <w:rFonts w:ascii="Arial" w:cs="Arial" w:eastAsia="Arial" w:hAnsi="Arial"/>
          <w:sz w:val="14"/>
          <w:szCs w:val="14"/>
          <w:color w:val="auto"/>
        </w:rPr>
      </w:pPr>
    </w:p>
    <w:p>
      <w:pPr>
        <w:jc w:val="both"/>
        <w:spacing w:after="0" w:line="257"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800"/>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3"/>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2023-11-07T06:49:56Z</dcterms:created>
  <dcterms:modified xsi:type="dcterms:W3CDTF">2023-11-07T06:49:56Z</dcterms:modified>
</cp:coreProperties>
</file>