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18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68" w:before="0" w:after="18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288" w:before="0" w:after="18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180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Proxy Statement Pursuant to Section 14(a) of the Securities Exchange Act of 1934 </w:t>
      </w:r>
    </w:p>
    <w:p>
      <w:pPr>
        <w:pStyle w:val="TextBody"/>
        <w:bidi w:val="0"/>
        <w:spacing w:lineRule="auto" w:line="268" w:before="0" w:after="180"/>
        <w:jc w:val="center"/>
        <w:rPr/>
      </w:pPr>
      <w:r>
        <w:rPr>
          <w:rFonts w:ascii="Times New Roman;sans-serif" w:hAnsi="Times New Roman;sans-serif"/>
          <w:b/>
          <w:color w:val="000000"/>
          <w:sz w:val="32"/>
        </w:rPr>
        <w:t>(Amendment No.</w:t>
      </w:r>
      <w:r>
        <w:rPr>
          <w:color w:val="000000"/>
        </w:rPr>
        <w:t xml:space="preserve"> </w:t>
      </w:r>
      <w:r>
        <w:rPr>
          <w:rFonts w:ascii="Times New Roman;sans-serif" w:hAnsi="Times New Roman;sans-serif"/>
          <w:b/>
          <w:color w:val="000000"/>
          <w:sz w:val="32"/>
        </w:rPr>
        <w:t>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4"/>
        </w:rPr>
        <w:t xml:space="preserve">Filed by the Registrant </w:t>
      </w:r>
      <w:r>
        <w:rPr>
          <w:color w:val="000000"/>
        </w:rPr>
        <w:t xml:space="preserve">☒ 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4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180"/>
        <w:jc w:val="left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Check the appropriate box: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Preliminary Proxy Statement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/>
          <w:color w:val="000000"/>
          <w:sz w:val="24"/>
        </w:rPr>
        <w:t>Confidential, for Use of the Commission Only (as permitted by Rule 14a-6(e)(2))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Definitive Proxy Statement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☒ </w:t>
      </w:r>
      <w:r>
        <w:rPr>
          <w:rFonts w:ascii="Times New Roman;sans-serif" w:hAnsi="Times New Roman;sans-serif"/>
          <w:b w:val="false"/>
          <w:color w:val="000000"/>
          <w:sz w:val="24"/>
        </w:rPr>
        <w:t>Definitive Additional Materials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Soliciting Material under §240.14a-12</w:t>
      </w:r>
    </w:p>
    <w:p>
      <w:pPr>
        <w:pStyle w:val="TextBody"/>
        <w:bidi w:val="0"/>
        <w:spacing w:lineRule="auto" w:line="240" w:before="400" w:after="283"/>
        <w:jc w:val="center"/>
        <w:rPr>
          <w:rFonts w:ascii="Times New Roman;sans-serif" w:hAnsi="Times New Roman;sans-serif"/>
          <w:b/>
          <w:color w:val="000000"/>
          <w:sz w:val="48"/>
        </w:rPr>
      </w:pPr>
      <w:r>
        <w:rPr>
          <w:rFonts w:ascii="Times New Roman;sans-serif" w:hAnsi="Times New Roman;sans-serif"/>
          <w:b/>
          <w:color w:val="000000"/>
          <w:sz w:val="48"/>
        </w:rPr>
        <w:t>PERELLA WEINBERG PARTNERS</w:t>
      </w:r>
    </w:p>
    <w:p>
      <w:pPr>
        <w:pStyle w:val="TextBody"/>
        <w:bidi w:val="0"/>
        <w:spacing w:lineRule="auto" w:line="288" w:before="400" w:after="283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>(Name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180"/>
        <w:jc w:val="left"/>
        <w:rPr>
          <w:rFonts w:ascii="Times New Roman;sans-serif" w:hAnsi="Times New Roman;sans-serif"/>
          <w:b w:val="false"/>
          <w:color w:val="000000"/>
          <w:sz w:val="24"/>
        </w:rPr>
      </w:pPr>
      <w:r>
        <w:rPr>
          <w:rFonts w:ascii="Times New Roman;sans-serif" w:hAnsi="Times New Roman;sans-serif"/>
          <w:b w:val="false"/>
          <w:color w:val="000000"/>
          <w:sz w:val="24"/>
        </w:rPr>
        <w:t>Payment of Filing Fee (Check all boxes that apply):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☒ </w:t>
      </w:r>
      <w:r>
        <w:rPr>
          <w:rFonts w:ascii="Times New Roman;sans-serif" w:hAnsi="Times New Roman;sans-serif"/>
          <w:b w:val="false"/>
          <w:color w:val="000000"/>
          <w:sz w:val="24"/>
        </w:rPr>
        <w:t>No fee required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Fee paid previously with preliminary materials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4"/>
        </w:rPr>
        <w:t>Fee computed on table in exhibit required by Item 25(b) per Exchange Act Rules 14a-6(i)(1) and 0-11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6353175" cy="82296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6353175" cy="82296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124</Words>
  <Characters>668</Characters>
  <CharactersWithSpaces>774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