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September 23,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David Link</w:t>
      </w:r>
    </w:p>
    <w:p>
      <w:pPr>
        <w:spacing w:after="0" w:line="211" w:lineRule="exact"/>
        <w:rPr>
          <w:sz w:val="24"/>
          <w:szCs w:val="24"/>
          <w:color w:val="auto"/>
        </w:rPr>
      </w:pPr>
    </w:p>
    <w:p>
      <w:pPr>
        <w:ind w:left="480"/>
        <w:spacing w:after="0"/>
        <w:rPr>
          <w:sz w:val="20"/>
          <w:szCs w:val="20"/>
          <w:color w:val="auto"/>
        </w:rPr>
      </w:pPr>
      <w:r>
        <w:rPr>
          <w:rFonts w:ascii="Arial" w:cs="Arial" w:eastAsia="Arial" w:hAnsi="Arial"/>
          <w:sz w:val="18"/>
          <w:szCs w:val="18"/>
          <w:color w:val="auto"/>
        </w:rPr>
        <w:t>Re: FinTech Acquisition Corp IV.</w:t>
      </w:r>
    </w:p>
    <w:p>
      <w:pPr>
        <w:spacing w:after="0" w:line="2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Filed September 8, 2020, as amended</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File No. 333-248664</w:t>
      </w:r>
    </w:p>
    <w:p>
      <w:pPr>
        <w:spacing w:after="0" w:line="319" w:lineRule="exact"/>
        <w:rPr>
          <w:sz w:val="24"/>
          <w:szCs w:val="24"/>
          <w:color w:val="auto"/>
        </w:rPr>
      </w:pPr>
    </w:p>
    <w:p>
      <w:pPr>
        <w:ind w:left="20"/>
        <w:spacing w:after="0"/>
        <w:rPr>
          <w:sz w:val="20"/>
          <w:szCs w:val="20"/>
          <w:color w:val="auto"/>
        </w:rPr>
      </w:pPr>
      <w:r>
        <w:rPr>
          <w:rFonts w:ascii="Arial" w:cs="Arial" w:eastAsia="Arial" w:hAnsi="Arial"/>
          <w:sz w:val="18"/>
          <w:szCs w:val="18"/>
          <w:color w:val="auto"/>
        </w:rPr>
        <w:t>Dear Mr. Link,</w:t>
      </w:r>
    </w:p>
    <w:p>
      <w:pPr>
        <w:spacing w:after="0" w:line="22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Pursuant to Rule 461 under the Securities Act of 1933, as amended (the “Act”), the undersigned hereby joins in the request of FinTech Acquisition Corp IV. that the effective date of the above-referenced Registration Statement be accelerated so as to permit it to become effective at 4:00 p.m. ET on Thursday, September 24, 2020, or as soon as thereafter practicable.</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Pursuant to Rule 460 of the General Rules and Regulations under the Act, the undersigned advises that as of the date hereof, 300 copies of the Preliminary Prospectuses dated September 8, 2020, September 11, 2020, September 16, 2020, and September 23, 2020 have been distributed to prospective dealers, institutional investors, retail investors and others.</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undersigned advises that it has complied and will continue to comply with the requirements of Rule 15c2-8 under the Securities and Exchange Act of 1934, as amended.</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Bala Murty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074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Bala Murty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Chief Operating Officer,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0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2021-08-15T19:58:12Z</dcterms:created>
  <dcterms:modified xsi:type="dcterms:W3CDTF">2021-08-15T19:58:12Z</dcterms:modified>
</cp:coreProperties>
</file>