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820" w:right="940" w:hanging="2872"/>
        <w:spacing w:after="0" w:line="476" w:lineRule="auto"/>
        <w:tabs>
          <w:tab w:leader="none" w:pos="116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right"/>
        <w:ind w:right="4380"/>
        <w:spacing w:after="0"/>
        <w:tabs>
          <w:tab w:leader="none" w:pos="4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right"/>
        <w:ind w:right="4400"/>
        <w:spacing w:after="0"/>
        <w:rPr>
          <w:sz w:val="20"/>
          <w:szCs w:val="20"/>
          <w:color w:val="auto"/>
        </w:rPr>
      </w:pPr>
      <w:r>
        <w:rPr>
          <w:rFonts w:ascii="Arial" w:cs="Arial" w:eastAsia="Arial" w:hAnsi="Arial"/>
          <w:sz w:val="18"/>
          <w:szCs w:val="18"/>
          <w:b w:val="1"/>
          <w:bCs w:val="1"/>
          <w:color w:val="auto"/>
        </w:rPr>
        <w:t>Commission File No. 001-39558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FINTECH ACQUISITION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85-1770732</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2929 Arch Street, Suite 1703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701-9555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2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Class A common</w:t>
            </w:r>
          </w:p>
        </w:tc>
        <w:tc>
          <w:tcPr>
            <w:tcW w:w="2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FTIVU</w:t>
            </w:r>
          </w:p>
        </w:tc>
        <w:tc>
          <w:tcPr>
            <w:tcW w:w="2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NASDAQ Capital Market</w:t>
            </w:r>
          </w:p>
        </w:tc>
      </w:tr>
      <w:tr>
        <w:trPr>
          <w:trHeight w:val="230"/>
        </w:trPr>
        <w:tc>
          <w:tcPr>
            <w:tcW w:w="45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stock and one-third of one redeemable warrant</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Class A common stock, par value $0.0001 per share</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rPr>
              <w:t>FTIV</w:t>
            </w: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r>
        <w:trPr>
          <w:trHeight w:val="202"/>
        </w:trPr>
        <w:tc>
          <w:tcPr>
            <w:tcW w:w="45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Warrants, each whole warrant exercisable for one share of</w:t>
            </w:r>
          </w:p>
        </w:tc>
        <w:tc>
          <w:tcPr>
            <w:tcW w:w="24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9"/>
              </w:rPr>
              <w:t>FTIVW</w:t>
            </w:r>
          </w:p>
        </w:tc>
        <w:tc>
          <w:tcPr>
            <w:tcW w:w="4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NASDAQ Capital Market</w:t>
            </w:r>
          </w:p>
        </w:tc>
      </w:tr>
      <w:tr>
        <w:trPr>
          <w:trHeight w:val="230"/>
        </w:trPr>
        <w:tc>
          <w:tcPr>
            <w:tcW w:w="4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Class A common stock</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240"/>
              <w:spacing w:after="0"/>
              <w:rPr>
                <w:sz w:val="20"/>
                <w:szCs w:val="20"/>
                <w:color w:val="auto"/>
              </w:rPr>
            </w:pPr>
            <w:r>
              <w:rPr>
                <w:rFonts w:ascii="Arial" w:cs="Arial" w:eastAsia="Arial" w:hAnsi="Arial"/>
                <w:sz w:val="18"/>
                <w:szCs w:val="18"/>
                <w:color w:val="auto"/>
              </w:rPr>
              <w:t>Large accelerated filer</w:t>
            </w:r>
          </w:p>
        </w:tc>
        <w:tc>
          <w:tcPr>
            <w:tcW w:w="224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ind w:left="240"/>
              <w:spacing w:after="0"/>
              <w:rPr>
                <w:sz w:val="20"/>
                <w:szCs w:val="20"/>
                <w:color w:val="auto"/>
              </w:rPr>
            </w:pPr>
            <w:r>
              <w:rPr>
                <w:rFonts w:ascii="Arial" w:cs="Arial" w:eastAsia="Arial" w:hAnsi="Arial"/>
                <w:sz w:val="18"/>
                <w:szCs w:val="18"/>
                <w:color w:val="auto"/>
              </w:rPr>
              <w:t>Accelerated filer</w:t>
            </w:r>
          </w:p>
        </w:tc>
      </w:tr>
      <w:tr>
        <w:trPr>
          <w:trHeight w:val="216"/>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240"/>
              <w:spacing w:after="0"/>
              <w:rPr>
                <w:sz w:val="20"/>
                <w:szCs w:val="20"/>
                <w:color w:val="auto"/>
              </w:rPr>
            </w:pPr>
            <w:r>
              <w:rPr>
                <w:rFonts w:ascii="Arial" w:cs="Arial" w:eastAsia="Arial" w:hAnsi="Arial"/>
                <w:sz w:val="18"/>
                <w:szCs w:val="18"/>
                <w:color w:val="auto"/>
              </w:rPr>
              <w:t>Non-accelerated filer</w:t>
            </w:r>
          </w:p>
        </w:tc>
        <w:tc>
          <w:tcPr>
            <w:tcW w:w="224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ind w:left="240"/>
              <w:spacing w:after="0"/>
              <w:rPr>
                <w:sz w:val="20"/>
                <w:szCs w:val="20"/>
                <w:color w:val="auto"/>
              </w:rPr>
            </w:pPr>
            <w:r>
              <w:rPr>
                <w:rFonts w:ascii="Arial" w:cs="Arial" w:eastAsia="Arial" w:hAnsi="Arial"/>
                <w:sz w:val="18"/>
                <w:szCs w:val="18"/>
                <w:color w:val="auto"/>
                <w:w w:val="91"/>
              </w:rPr>
              <w:t>Smaller reporting company</w:t>
            </w:r>
          </w:p>
        </w:tc>
      </w:tr>
      <w:tr>
        <w:trPr>
          <w:trHeight w:val="283"/>
        </w:trPr>
        <w:tc>
          <w:tcPr>
            <w:tcW w:w="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4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ind w:left="240"/>
              <w:spacing w:after="0"/>
              <w:rPr>
                <w:sz w:val="20"/>
                <w:szCs w:val="20"/>
                <w:color w:val="auto"/>
              </w:rPr>
            </w:pPr>
            <w:r>
              <w:rPr>
                <w:rFonts w:ascii="Arial" w:cs="Arial" w:eastAsia="Arial" w:hAnsi="Arial"/>
                <w:sz w:val="18"/>
                <w:szCs w:val="18"/>
                <w:color w:val="auto"/>
                <w:w w:val="91"/>
              </w:rPr>
              <w:t>Emerging growth company</w:t>
            </w: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As of May 24, 2021, there were 23,610,000 shares of Class A common stock and 7,870,000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96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96"/>
        </w:trPr>
        <w:tc>
          <w:tcPr>
            <w:tcW w:w="10240" w:type="dxa"/>
            <w:vAlign w:val="bottom"/>
            <w:gridSpan w:val="25"/>
            <w:shd w:val="clear" w:color="auto" w:fill="CCEEFF"/>
          </w:tcPr>
          <w:p>
            <w:pPr>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PART 1 – FINANCIAL INFORMATION</w:t>
              </w:r>
            </w:hyperlink>
          </w:p>
        </w:tc>
        <w:tc>
          <w:tcPr>
            <w:tcW w:w="1000" w:type="dxa"/>
            <w:vAlign w:val="bottom"/>
            <w:shd w:val="clear" w:color="auto" w:fill="CCEEFF"/>
          </w:tcPr>
          <w:p>
            <w:pPr>
              <w:spacing w:after="0"/>
              <w:rPr>
                <w:sz w:val="17"/>
                <w:szCs w:val="17"/>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2021 (unaudited)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Operations for the Three Months Ended March 31, 2021 and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100" w:type="dxa"/>
            <w:vAlign w:val="bottom"/>
            <w:gridSpan w:val="21"/>
            <w:shd w:val="clear" w:color="auto" w:fill="CCEEFF"/>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Statements of Changes in Stockholders’ Equity for the Three Months Ended March 31, 2021 and</w:t>
              </w:r>
            </w:hyperlink>
          </w:p>
        </w:tc>
        <w:tc>
          <w:tcPr>
            <w:tcW w:w="1000" w:type="dxa"/>
            <w:vAlign w:val="bottom"/>
            <w:shd w:val="clear" w:color="auto" w:fill="CCEEFF"/>
          </w:tcPr>
          <w:p>
            <w:pPr>
              <w:spacing w:after="0"/>
              <w:rPr>
                <w:sz w:val="15"/>
                <w:szCs w:val="15"/>
                <w:color w:val="auto"/>
              </w:rPr>
            </w:pPr>
          </w:p>
        </w:tc>
      </w:tr>
      <w:tr>
        <w:trPr>
          <w:trHeight w:val="217"/>
        </w:trPr>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0000EE"/>
            </w:tcBorders>
            <w:gridSpan w:val="2"/>
            <w:shd w:val="clear" w:color="auto" w:fill="CCEEFF"/>
          </w:tcPr>
          <w:p>
            <w:pPr>
              <w:ind w:left="16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8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13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8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9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48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 for the Three Months Ended March 31, 2021 and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620" w:type="dxa"/>
            <w:vAlign w:val="bottom"/>
            <w:gridSpan w:val="3"/>
            <w:shd w:val="clear" w:color="auto" w:fill="CCEEFF"/>
          </w:tcPr>
          <w:p>
            <w:pPr>
              <w:spacing w:after="0"/>
              <w:rPr>
                <w:sz w:val="17"/>
                <w:szCs w:val="17"/>
                <w:color w:val="auto"/>
              </w:rPr>
            </w:pPr>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PART II – OTHER INFORMATION</w:t>
              </w:r>
            </w:hyperlink>
          </w:p>
        </w:tc>
        <w:tc>
          <w:tcPr>
            <w:tcW w:w="1000" w:type="dxa"/>
            <w:vAlign w:val="bottom"/>
            <w:shd w:val="clear" w:color="auto" w:fill="CCEEFF"/>
          </w:tcPr>
          <w:p>
            <w:pPr>
              <w:spacing w:after="0"/>
              <w:rPr>
                <w:sz w:val="17"/>
                <w:szCs w:val="17"/>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9100" w:type="dxa"/>
            <w:vAlign w:val="bottom"/>
            <w:gridSpan w:val="2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SIGNATURES</w:t>
              </w:r>
            </w:hyperlink>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547"/>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760" w:type="dxa"/>
            <w:vAlign w:val="bottom"/>
            <w:tcBorders>
              <w:top w:val="single" w:sz="8" w:color="CCEEFF"/>
              <w:bottom w:val="single" w:sz="8" w:color="auto"/>
            </w:tcBorders>
            <w:gridSpan w:val="6"/>
          </w:tcPr>
          <w:p>
            <w:pPr>
              <w:ind w:left="120"/>
              <w:spacing w:after="0"/>
              <w:rPr>
                <w:sz w:val="20"/>
                <w:szCs w:val="20"/>
                <w:color w:val="auto"/>
              </w:rPr>
            </w:pPr>
            <w:r>
              <w:rPr>
                <w:rFonts w:ascii="Arial" w:cs="Arial" w:eastAsia="Arial" w:hAnsi="Arial"/>
                <w:sz w:val="18"/>
                <w:szCs w:val="18"/>
                <w:color w:val="auto"/>
              </w:rPr>
              <w:t>i</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CONDENSED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FINTECH ACQUISITION CORP. IV</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824,082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1,158,934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277,772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275,824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1,666,308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1,434,758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230,011,533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230,005,861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231,113,387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231,440,619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792,983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Accrued offering costs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1,318,971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11,608,733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17,365,433</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9,800,000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22,727,704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27,958,416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Class A common stock subject to possible redemption, 20,338,568 and 19,848,220 shares as of March 31, 2021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 respectively (at $10.00 per share)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203,385,680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198,482,200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shares issued and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Class A common stock, $0.0001 par value; 100,000,000 shares authorized; 3,271,432 and 3,761,780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1"/>
              </w:rPr>
              <w:t>outstanding (excluding 20,338,568 and 19,848,220 shares subject to possible redemption) as of March 31, 2021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7,870,000 shares issued and outstanding as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March 31, 2021 and December 31, 2020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5,202,308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10,105,739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(203,419)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(5,106,899)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231,113,387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231,440,619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Formation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320"/>
        <w:spacing w:after="0" w:line="257" w:lineRule="auto"/>
        <w:rPr>
          <w:sz w:val="20"/>
          <w:szCs w:val="20"/>
          <w:color w:val="auto"/>
        </w:rPr>
      </w:pPr>
      <w:r>
        <w:rPr>
          <w:rFonts w:ascii="Arial" w:cs="Arial" w:eastAsia="Arial" w:hAnsi="Arial"/>
          <w:sz w:val="18"/>
          <w:szCs w:val="18"/>
          <w:color w:val="auto"/>
        </w:rPr>
        <w:t>Interest earned on marketable securities held in Trust Account Change in fair value of warrant liabilities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40" w:lineRule="exact"/>
        <w:rPr>
          <w:sz w:val="20"/>
          <w:szCs w:val="20"/>
          <w:color w:val="auto"/>
        </w:rPr>
      </w:pPr>
    </w:p>
    <w:p>
      <w:pPr>
        <w:spacing w:after="0"/>
        <w:tabs>
          <w:tab w:leader="none" w:pos="520" w:val="left"/>
          <w:tab w:leader="none" w:pos="132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858,892</w:t>
        <w:tab/>
        <w:t>$</w:t>
      </w:r>
      <w:r>
        <w:rPr>
          <w:sz w:val="20"/>
          <w:szCs w:val="20"/>
          <w:color w:val="auto"/>
        </w:rPr>
        <w:tab/>
      </w:r>
      <w:r>
        <w:rPr>
          <w:rFonts w:ascii="Arial" w:cs="Arial" w:eastAsia="Arial" w:hAnsi="Arial"/>
          <w:sz w:val="16"/>
          <w:szCs w:val="16"/>
          <w:color w:val="auto"/>
        </w:rPr>
        <w:t>993</w:t>
      </w:r>
    </w:p>
    <w:p>
      <w:pPr>
        <w:spacing w:after="0" w:line="32" w:lineRule="exact"/>
        <w:rPr>
          <w:sz w:val="20"/>
          <w:szCs w:val="20"/>
          <w:color w:val="auto"/>
        </w:rPr>
      </w:pPr>
    </w:p>
    <w:p>
      <w:pPr>
        <w:jc w:val="both"/>
        <w:ind w:left="480"/>
        <w:spacing w:after="0"/>
        <w:tabs>
          <w:tab w:leader="none" w:pos="2100" w:val="left"/>
        </w:tabs>
        <w:rPr>
          <w:sz w:val="20"/>
          <w:szCs w:val="20"/>
          <w:color w:val="auto"/>
        </w:rPr>
      </w:pPr>
      <w:r>
        <w:rPr>
          <w:rFonts w:ascii="Arial" w:cs="Arial" w:eastAsia="Arial" w:hAnsi="Arial"/>
          <w:sz w:val="18"/>
          <w:szCs w:val="18"/>
          <w:b w:val="1"/>
          <w:bCs w:val="1"/>
          <w:color w:val="auto"/>
        </w:rPr>
        <w:t>(858,892)</w:t>
      </w:r>
      <w:r>
        <w:rPr>
          <w:sz w:val="20"/>
          <w:szCs w:val="20"/>
          <w:color w:val="auto"/>
        </w:rPr>
        <w:tab/>
      </w:r>
      <w:r>
        <w:rPr>
          <w:rFonts w:ascii="Arial" w:cs="Arial" w:eastAsia="Arial" w:hAnsi="Arial"/>
          <w:sz w:val="18"/>
          <w:szCs w:val="18"/>
          <w:b w:val="1"/>
          <w:bCs w:val="1"/>
          <w:color w:val="auto"/>
        </w:rPr>
        <w:t>(993)</w:t>
      </w:r>
    </w:p>
    <w:p>
      <w:pPr>
        <w:spacing w:after="0" w:line="200" w:lineRule="exact"/>
        <w:rPr>
          <w:sz w:val="20"/>
          <w:szCs w:val="20"/>
          <w:color w:val="auto"/>
        </w:rPr>
      </w:pPr>
    </w:p>
    <w:p>
      <w:pPr>
        <w:spacing w:after="0" w:line="245" w:lineRule="exact"/>
        <w:rPr>
          <w:sz w:val="20"/>
          <w:szCs w:val="20"/>
          <w:color w:val="auto"/>
        </w:rPr>
      </w:pPr>
    </w:p>
    <w:p>
      <w:pPr>
        <w:ind w:left="720"/>
        <w:spacing w:after="0"/>
        <w:tabs>
          <w:tab w:leader="none" w:pos="2260" w:val="left"/>
        </w:tabs>
        <w:rPr>
          <w:sz w:val="20"/>
          <w:szCs w:val="20"/>
          <w:color w:val="auto"/>
        </w:rPr>
      </w:pPr>
      <w:r>
        <w:rPr>
          <w:rFonts w:ascii="Arial" w:cs="Arial" w:eastAsia="Arial" w:hAnsi="Arial"/>
          <w:sz w:val="18"/>
          <w:szCs w:val="18"/>
          <w:color w:val="auto"/>
        </w:rPr>
        <w:t>5,672</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00"/>
        <w:spacing w:after="0"/>
        <w:tabs>
          <w:tab w:leader="none" w:pos="2260" w:val="left"/>
        </w:tabs>
        <w:rPr>
          <w:sz w:val="20"/>
          <w:szCs w:val="20"/>
          <w:color w:val="auto"/>
        </w:rPr>
      </w:pPr>
      <w:r>
        <w:rPr>
          <w:rFonts w:ascii="Arial" w:cs="Arial" w:eastAsia="Arial" w:hAnsi="Arial"/>
          <w:sz w:val="18"/>
          <w:szCs w:val="18"/>
          <w:color w:val="auto"/>
        </w:rPr>
        <w:t>5,756,700</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5,762,372</w:t>
      </w:r>
    </w:p>
    <w:p>
      <w:pPr>
        <w:spacing w:after="0" w:line="225" w:lineRule="exact"/>
        <w:rPr>
          <w:sz w:val="20"/>
          <w:szCs w:val="20"/>
          <w:color w:val="auto"/>
        </w:rPr>
      </w:pPr>
    </w:p>
    <w:p>
      <w:pPr>
        <w:jc w:val="both"/>
        <w:ind w:left="400"/>
        <w:spacing w:after="0"/>
        <w:tabs>
          <w:tab w:leader="none" w:pos="2100" w:val="left"/>
        </w:tabs>
        <w:rPr>
          <w:sz w:val="20"/>
          <w:szCs w:val="20"/>
          <w:color w:val="auto"/>
        </w:rPr>
      </w:pPr>
      <w:r>
        <w:rPr>
          <w:rFonts w:ascii="Arial" w:cs="Arial" w:eastAsia="Arial" w:hAnsi="Arial"/>
          <w:sz w:val="18"/>
          <w:szCs w:val="18"/>
          <w:color w:val="auto"/>
        </w:rPr>
        <w:t>4,903,480</w:t>
      </w:r>
      <w:r>
        <w:rPr>
          <w:sz w:val="20"/>
          <w:szCs w:val="20"/>
          <w:color w:val="auto"/>
        </w:rPr>
        <w:tab/>
      </w:r>
      <w:r>
        <w:rPr>
          <w:rFonts w:ascii="Arial" w:cs="Arial" w:eastAsia="Arial" w:hAnsi="Arial"/>
          <w:sz w:val="18"/>
          <w:szCs w:val="18"/>
          <w:color w:val="auto"/>
        </w:rPr>
        <w:t>(993)</w:t>
      </w:r>
    </w:p>
    <w:p>
      <w:pPr>
        <w:spacing w:after="0" w:line="23" w:lineRule="exact"/>
        <w:rPr>
          <w:sz w:val="20"/>
          <w:szCs w:val="20"/>
          <w:color w:val="auto"/>
        </w:rPr>
      </w:pPr>
    </w:p>
    <w:p>
      <w:pPr>
        <w:ind w:left="940"/>
        <w:spacing w:after="0"/>
        <w:tabs>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7960" w:space="720"/>
            <w:col w:w="256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80" w:type="dxa"/>
            <w:vAlign w:val="bottom"/>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4,903,480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(993)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23,000,000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Class A and B non-redeemable common stock</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8,480,000</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6,870,000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income (loss) per share, Class A and Class B non-redeemable common stock</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THREE MONTHS ENDED MARCH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rPr>
              <w:t>Class A</w:t>
            </w:r>
          </w:p>
        </w:tc>
        <w:tc>
          <w:tcPr>
            <w:tcW w:w="20" w:type="dxa"/>
            <w:vAlign w:val="bottom"/>
          </w:tcPr>
          <w:p>
            <w:pPr>
              <w:spacing w:after="0"/>
              <w:rPr>
                <w:sz w:val="18"/>
                <w:szCs w:val="18"/>
                <w:color w:val="auto"/>
              </w:rPr>
            </w:pPr>
          </w:p>
        </w:tc>
        <w:tc>
          <w:tcPr>
            <w:tcW w:w="2140" w:type="dxa"/>
            <w:vAlign w:val="bottom"/>
            <w:gridSpan w:val="9"/>
          </w:tcPr>
          <w:p>
            <w:pPr>
              <w:jc w:val="right"/>
              <w:ind w:right="880"/>
              <w:spacing w:after="0"/>
              <w:rPr>
                <w:sz w:val="20"/>
                <w:szCs w:val="20"/>
                <w:color w:val="auto"/>
              </w:rPr>
            </w:pPr>
            <w:r>
              <w:rPr>
                <w:rFonts w:ascii="Arial" w:cs="Arial" w:eastAsia="Arial" w:hAnsi="Arial"/>
                <w:sz w:val="18"/>
                <w:szCs w:val="18"/>
                <w:b w:val="1"/>
                <w:bCs w:val="1"/>
                <w:color w:val="auto"/>
              </w:rPr>
              <w:t>Class B</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20"/>
                <w:szCs w:val="20"/>
                <w:color w:val="auto"/>
              </w:rPr>
            </w:pPr>
          </w:p>
        </w:tc>
        <w:tc>
          <w:tcPr>
            <w:tcW w:w="214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3,761,780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7,870,000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$ 10,105,739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(5,106,899)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value of common stock subject</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possible redemption</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(490,348)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(4,903,431)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(4,903,480)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4,903,480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4,903,480</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3,271,432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327</w:t>
            </w:r>
          </w:p>
        </w:tc>
        <w:tc>
          <w:tcPr>
            <w:tcW w:w="1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7,870,000</w:t>
            </w:r>
          </w:p>
        </w:tc>
        <w:tc>
          <w:tcPr>
            <w:tcW w:w="10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787</w:t>
            </w:r>
          </w:p>
        </w:tc>
        <w:tc>
          <w:tcPr>
            <w:tcW w:w="14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5,202,308</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(203,419)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5,000,003</w:t>
            </w:r>
          </w:p>
        </w:tc>
        <w:tc>
          <w:tcPr>
            <w:tcW w:w="0" w:type="dxa"/>
            <w:vAlign w:val="bottom"/>
          </w:tcPr>
          <w:p>
            <w:pPr>
              <w:spacing w:after="0"/>
              <w:rPr>
                <w:sz w:val="1"/>
                <w:szCs w:val="1"/>
                <w:color w:val="auto"/>
              </w:rPr>
            </w:pPr>
          </w:p>
        </w:tc>
      </w:tr>
      <w:tr>
        <w:trPr>
          <w:trHeight w:val="21"/>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8"/>
          </w:tcPr>
          <w:p>
            <w:pPr>
              <w:jc w:val="center"/>
              <w:ind w:left="170"/>
              <w:spacing w:after="0"/>
              <w:rPr>
                <w:sz w:val="20"/>
                <w:szCs w:val="20"/>
                <w:color w:val="auto"/>
              </w:rPr>
            </w:pPr>
            <w:r>
              <w:rPr>
                <w:rFonts w:ascii="Arial" w:cs="Arial" w:eastAsia="Arial" w:hAnsi="Arial"/>
                <w:sz w:val="18"/>
                <w:szCs w:val="18"/>
                <w:b w:val="1"/>
                <w:bCs w:val="1"/>
                <w:color w:val="auto"/>
                <w:w w:val="99"/>
              </w:rPr>
              <w:t>FOR THREE MONTHS ENDED MARCH 31, 2020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8"/>
            <w:vMerge w:val="restart"/>
          </w:tcPr>
          <w:p>
            <w:pPr>
              <w:jc w:val="right"/>
              <w:ind w:right="900"/>
              <w:spacing w:after="0"/>
              <w:rPr>
                <w:sz w:val="20"/>
                <w:szCs w:val="20"/>
                <w:color w:val="auto"/>
              </w:rPr>
            </w:pPr>
            <w:r>
              <w:rPr>
                <w:rFonts w:ascii="Arial" w:cs="Arial" w:eastAsia="Arial" w:hAnsi="Arial"/>
                <w:sz w:val="18"/>
                <w:szCs w:val="18"/>
                <w:b w:val="1"/>
                <w:bCs w:val="1"/>
                <w:color w:val="auto"/>
              </w:rPr>
              <w:t>Class A</w:t>
            </w:r>
          </w:p>
        </w:tc>
        <w:tc>
          <w:tcPr>
            <w:tcW w:w="20" w:type="dxa"/>
            <w:vAlign w:val="bottom"/>
          </w:tcPr>
          <w:p>
            <w:pPr>
              <w:spacing w:after="0"/>
              <w:rPr>
                <w:sz w:val="24"/>
                <w:szCs w:val="24"/>
                <w:color w:val="auto"/>
              </w:rPr>
            </w:pPr>
          </w:p>
        </w:tc>
        <w:tc>
          <w:tcPr>
            <w:tcW w:w="2140" w:type="dxa"/>
            <w:vAlign w:val="bottom"/>
            <w:gridSpan w:val="9"/>
            <w:vMerge w:val="restart"/>
          </w:tcPr>
          <w:p>
            <w:pPr>
              <w:jc w:val="right"/>
              <w:ind w:right="840"/>
              <w:spacing w:after="0"/>
              <w:rPr>
                <w:sz w:val="20"/>
                <w:szCs w:val="20"/>
                <w:color w:val="auto"/>
              </w:rPr>
            </w:pPr>
            <w:r>
              <w:rPr>
                <w:rFonts w:ascii="Arial" w:cs="Arial" w:eastAsia="Arial" w:hAnsi="Arial"/>
                <w:sz w:val="18"/>
                <w:szCs w:val="18"/>
                <w:b w:val="1"/>
                <w:bCs w:val="1"/>
                <w:color w:val="auto"/>
              </w:rPr>
              <w:t>Class B</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gridSpan w:val="8"/>
            <w:vMerge w:val="continue"/>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9"/>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20"/>
                <w:szCs w:val="20"/>
                <w:color w:val="auto"/>
              </w:rPr>
            </w:pPr>
          </w:p>
        </w:tc>
        <w:tc>
          <w:tcPr>
            <w:tcW w:w="214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7,870,000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7,870,000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787</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24,213</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(3,289)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21,711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3"/>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CEEFF"/>
            </w:tcBorders>
            <w:gridSpan w:val="3"/>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040" w:type="dxa"/>
            <w:vAlign w:val="bottom"/>
            <w:gridSpan w:val="27"/>
          </w:tcPr>
          <w:p>
            <w:pPr>
              <w:jc w:val="center"/>
              <w:ind w:left="2130"/>
              <w:spacing w:after="0"/>
              <w:rPr>
                <w:sz w:val="20"/>
                <w:szCs w:val="20"/>
                <w:color w:val="auto"/>
              </w:rPr>
            </w:pPr>
            <w:r>
              <w:rPr>
                <w:rFonts w:ascii="Arial" w:cs="Arial" w:eastAsia="Arial" w:hAnsi="Arial"/>
                <w:sz w:val="18"/>
                <w:szCs w:val="18"/>
                <w:color w:val="auto"/>
                <w:w w:val="89"/>
              </w:rPr>
              <w:t>The accompanying notes are an integral part of the unaudited condensed financial statements.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570"/>
              <w:spacing w:after="0"/>
              <w:rPr>
                <w:sz w:val="20"/>
                <w:szCs w:val="20"/>
                <w:color w:val="auto"/>
              </w:rPr>
            </w:pPr>
            <w:r>
              <w:rPr>
                <w:rFonts w:ascii="Arial" w:cs="Arial" w:eastAsia="Arial" w:hAnsi="Arial"/>
                <w:sz w:val="18"/>
                <w:szCs w:val="18"/>
                <w:color w:val="auto"/>
                <w:w w:val="79"/>
              </w:rPr>
              <w:t>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jc w:val="both"/>
        <w:ind w:left="9060"/>
        <w:spacing w:after="0"/>
        <w:tabs>
          <w:tab w:leader="none" w:pos="10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ectPr>
          <w:pgSz w:w="11900" w:h="16838" w:orient="portrait"/>
          <w:cols w:equalWidth="0" w:num="1">
            <w:col w:w="11200"/>
          </w:cols>
          <w:pgMar w:left="320" w:top="796" w:right="37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fair value of warrant liabilities</w:t>
      </w:r>
    </w:p>
    <w:p>
      <w:pPr>
        <w:spacing w:after="0" w:line="9" w:lineRule="exact"/>
        <w:rPr>
          <w:sz w:val="20"/>
          <w:szCs w:val="20"/>
          <w:color w:val="auto"/>
        </w:rPr>
      </w:pPr>
    </w:p>
    <w:p>
      <w:pPr>
        <w:ind w:left="180" w:right="3320"/>
        <w:spacing w:after="0" w:line="250" w:lineRule="auto"/>
        <w:rPr>
          <w:sz w:val="20"/>
          <w:szCs w:val="20"/>
          <w:color w:val="auto"/>
        </w:rPr>
      </w:pPr>
      <w:r>
        <w:rPr>
          <w:rFonts w:ascii="Arial" w:cs="Arial" w:eastAsia="Arial" w:hAnsi="Arial"/>
          <w:sz w:val="18"/>
          <w:szCs w:val="18"/>
          <w:color w:val="auto"/>
        </w:rPr>
        <w:t>Interest earned on marketable securities held in Trust Account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4,903,480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(993)</w:t>
            </w:r>
          </w:p>
        </w:tc>
      </w:tr>
      <w:tr>
        <w:trPr>
          <w:trHeight w:val="417"/>
        </w:trPr>
        <w:tc>
          <w:tcPr>
            <w:tcW w:w="22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(5,756,700)</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30"/>
        </w:trPr>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(5,672)</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31"/>
        </w:trPr>
        <w:tc>
          <w:tcPr>
            <w:tcW w:w="22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(1,948)</w:t>
            </w: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525,988</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20"/>
                <w:szCs w:val="20"/>
                <w:color w:val="auto"/>
              </w:rPr>
            </w:pP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(334,852</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668"/>
        </w:trPr>
        <w:tc>
          <w:tcPr>
            <w:tcW w:w="22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(770)</w:t>
            </w: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431"/>
        </w:trPr>
        <w:tc>
          <w:tcPr>
            <w:tcW w:w="22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(334,852)</w:t>
            </w: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(1,636)</w:t>
            </w:r>
          </w:p>
        </w:tc>
      </w:tr>
      <w:tr>
        <w:trPr>
          <w:trHeight w:val="230"/>
        </w:trPr>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1,158,934</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10,762</w:t>
            </w:r>
          </w:p>
        </w:tc>
        <w:tc>
          <w:tcPr>
            <w:tcW w:w="60" w:type="dxa"/>
            <w:vAlign w:val="bottom"/>
          </w:tcPr>
          <w:p>
            <w:pPr>
              <w:spacing w:after="0"/>
              <w:rPr>
                <w:sz w:val="20"/>
                <w:szCs w:val="20"/>
                <w:color w:val="auto"/>
              </w:rPr>
            </w:pP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824,082</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9,126</w:t>
            </w:r>
          </w:p>
        </w:tc>
        <w:tc>
          <w:tcPr>
            <w:tcW w:w="60" w:type="dxa"/>
            <w:vAlign w:val="bottom"/>
          </w:tcPr>
          <w:p>
            <w:pPr>
              <w:spacing w:after="0"/>
              <w:rPr>
                <w:sz w:val="21"/>
                <w:szCs w:val="21"/>
                <w:color w:val="auto"/>
              </w:rPr>
            </w:pPr>
          </w:p>
        </w:tc>
      </w:tr>
      <w:tr>
        <w:trPr>
          <w:trHeight w:val="21"/>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20"/>
          </w:cols>
          <w:pgMar w:left="320" w:top="796" w:right="37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71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4,903,480</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2021, the Company had not yet commenced operations. All activity through March 31, 2021 relates to the Company’s formation, the Initial Public Offering (as defined below), and, subsequent to the Initial Public Offering, identifying a target company for a Business Combination and activities in connection with the proposed acquisition of PWP Holdings LP, a Delaware limited partnership (“PWP”) (see Note 6).</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24, 2020. On September 29, 2020, the Company consummated the Initial Public Offering of 23,000,000 units (the “Units” and, with respect to the shares of Class A common stock included in the Units sold, the “Public Shares”), which includes the full exercise by the underwriters of their over-allotment option in the amount of 3,000,000 Units, at $10.00 per Unit, generating gross proceeds of $230,000,000 which is described in Note 3.</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4. The manager of each entity of the Sponsor is Cohen Sponsor Interests IV, LLC.</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Transaction costs amounted to $14,255,791, consisting of $4,000,000 of underwriting fees, $9,800,000 of deferred underwriting fees and $455,791 of other offering costs.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 the Company’s tax obligations, if the Company is unable to complete an initial Business Combination within the Combination Period or upon any earlier liquidation of the Company.</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6). There will be no redemption rights upon the completion of a Business Combination with respect to the Company’s warrants.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5), the shares of Class A common stock included in the Private Placement Units (the “Private Placement Shares”) and any Public Shares held by them in favor of approving a Business Combination.</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will have until the expiration of the Combination Period to consummate its initial Business Combination. If the Company is unable to consummate a Business Combination within the Combination Period, the Company will (i) cease all operations except for the purposes of winding up of its affairs; (ii) distribute the aggregate amount then on deposit in the Trust Account, including any amounts representing interest earned on the Trust Account not previously released to the Company to pay its franchise and income taxes and up to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6).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$5,000,001. The Insiders have agreed to vote any Founder Shares, Private Placement Shares and any Public Shares held by them in favor of any such amendment.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representatives have agreed to waive their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 assets remaining available for distribution (including Trust Account assets) will be less than the initial 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accompanying unaudited condensed financial statements should be read in conjunction with the audited financial statements and the notes thereto included in the Company’s Annual Report on Form 10-K/A as filed with the SEC on May 4, 2021. The interim results for the three ended March 31, 2021 are not necessarily indicative of the results to be expected for the year ending December 31, 2021 or for any future interim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One of the more significant accounting estimates included in these unaudited condensed financial statements is the determination of the value of the warrant liability. Such estimates may be subject to change as more current information becomes available and accordingly, the actual results could differ significantly from those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2021 and December 31, 2020, substantially all of the assets held in the Trust Account were held in U.S. Treasury Securities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March 31, 2021 and December 31, 2020, 20,338,568 and 21,584,763 shares of Class A common stock subject to possible redemption is presented as temporary equity, outside of the stockholders’ equity section of the Company’s condensed balance sheets,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Offering costs consist of underwriting, legal, accounting and other expenses that were directly related to the Initial Public Offering. Offering costs were allocated on a relative fair value basis between stockholders’ equity and expense. The portion of offering costs allocated to the public shares has been charged to stockholders’ equity. Offering costs totaled $14,255,791 (consisting of $4,000,000 of underwriting fees, $9,800,000 of deferred underwriting fees and $455,791 of other offering costs), of which $849,893 was charged to expense and $13,405,898 was charged to stockholders’ equity upon completion of the Initial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a non-cash gain or loss on the statements of operations. The fair value of the Public Warrants was initially measured using a binomial / lattice model with subsequent periods measured at the trading price, whereas the Private Placement Warrants were initially and subsequently measured using the Black-Scholes Option Pricing Model. (see Note 9).</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The Company is currently not aware of any issues under review that could result in significant payments, accruals or material deviation from its position.</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per common share is computed by dividing net income by the weighted average number of common shares outstanding for the period. The Company has not considered the effect of warrants sold in the Initial Public Offering and private placement to purchase 7,870,000 shares of Class A common stock in the calculation of diluted income per share, since the exercise of the warrants are contingent upon the occurrence of future events and the inclusion of such warrants would be anti-dilutive.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statements of operations includes a presentation of income per share for common shares subject to possible redemption in a manner similar to the two-class method of income per share. Net income per common share, basic and diluted, for Class A redeemable common stock is calculated by dividing the interest income earned on the Trust Account, by the weighted average number of Class A redeemable common stock outstanding since original issuance. Net income per share, basic and diluted, for Class A and Class B non-redeemable common stock is calculated by dividing the net income, adjusted for income attributable to Class A redeemable common stock, net of applicable franchise and income taxes, by 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calculation of basic and diluted net income per common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vMerge w:val="restart"/>
          </w:tcPr>
          <w:p>
            <w:pPr>
              <w:spacing w:after="0"/>
              <w:rPr>
                <w:sz w:val="20"/>
                <w:szCs w:val="20"/>
                <w:color w:val="auto"/>
              </w:rPr>
            </w:pPr>
            <w:r>
              <w:rPr>
                <w:rFonts w:ascii="Arial" w:cs="Arial" w:eastAsia="Arial" w:hAnsi="Arial"/>
                <w:sz w:val="18"/>
                <w:szCs w:val="18"/>
                <w:color w:val="auto"/>
              </w:rPr>
              <w:t>Redeemable Class A Common Stock</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Numerator: Earnings allocable to Redeemable Class A Common Stock</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Income and Franchise Tax</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(5,672)</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Earnings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Denominator: Weighted Average Redeemable Class A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Class A Common Stock, Basic and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23,000,000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Earnings/Basic and Diluted Redeemable Class A Common Stock</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Non-Redeemable Class A and B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Income minus Redeemable Net Earnings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4,903,480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Net Earnings (Loss)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Arial" w:cs="Arial" w:eastAsia="Arial" w:hAnsi="Arial"/>
                <w:sz w:val="18"/>
                <w:szCs w:val="18"/>
                <w:color w:val="auto"/>
              </w:rPr>
              <w:t>Non-Redeemable Net Earnings (Loss)</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4,903,480</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tcPr>
          <w:p>
            <w:pPr>
              <w:ind w:left="340"/>
              <w:spacing w:after="0" w:line="256" w:lineRule="exact"/>
              <w:rPr>
                <w:sz w:val="20"/>
                <w:szCs w:val="20"/>
                <w:color w:val="auto"/>
              </w:rPr>
            </w:pPr>
            <w:r>
              <w:rPr>
                <w:rFonts w:ascii="Arial" w:cs="Arial" w:eastAsia="Arial" w:hAnsi="Arial"/>
                <w:sz w:val="18"/>
                <w:szCs w:val="18"/>
                <w:color w:val="auto"/>
              </w:rPr>
              <w:t xml:space="preserve">Non-Redeemable Class A and B Common Stock, Basic and Diluted </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8,480,000</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6,870,000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Earnings/Basic and Diluted Non-Redeemable Class A and B 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As of March 31, 2021 and 2020, basic and diluted common shares are the same as there are no non-redeemable securities that are dilutive to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0712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99"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weighted average non-redeemable common stock for the three months ended March 31, 2021 includes the effect of 610,000 Private Placement Units, which were issued in conjunction with the initial public offering on September 24,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March 31, 2021, the carrying values of cash, accounts payable and accrued expenses approximate their fair values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2020, the FASB issued ASU No. 2020-06, Debt – Debt with Conversion and Other Options (Subtopic 470-20) and Derivatives and Hedging-Contracts in Entity’s Own Equity (Subtopic: 815-40) and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one-third of one warrant (“Public Warrant”). Each whole Public Warrant entitles the holder to purchase one share of Class A common stock at an exercise price of $11.50,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7. Additionally, on June 13, 2019, the Company completed an approximate 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 (iv) 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entered into an agreement, commencing on September 25, 2020 through the earlier of the Company’s consummation of a Business Combination and its liquidation, to pay the Sponsor or an affiliate of the Sponsor $20,000 per month for office space, administrative and shared personnel support services. For the three months ended March 31, 2021, the Company incurred and paid $60,000 in fees for these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June 12, 2019, as amended on August 5, 2020, the Company issued a promissory note to the Sponsor, pursuant to which the Sponsor agreed to loan the Company up to an aggregate of $500,000 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March 31, 2021 and December 31, 2020, there were no amounts outstanding under the Working Capital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Management continues to evaluate the impact of the COVID-19 pandemic and has concluded that while it is reasonably possible that the virus could have a negative effect on the Company’s financial position and/or search for a target company, the specific impact is not readily determinable as of the date of these financial statements. The financial statements do not include any adjustments that might result from the outcome of this uncertainty.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2021, the underwriters and the Company entered into an agreement that modified the existing September 24, 2020 Underwriting Agreement by and among the Company and its underwriters. The agreement specifies that, upon the successful completion of the Business Combination Agreement, the deferred underwriter’s commission owed to Cantor Fitzgerald &amp; Co. will be reduced by $2,000,000 and that the deferred underwriter’s commission owed to Wells Fargo Securities, LLC will be reduced by $1,000,000.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70" w:lineRule="exact"/>
        <w:rPr>
          <w:sz w:val="20"/>
          <w:szCs w:val="20"/>
          <w:color w:val="auto"/>
        </w:rPr>
      </w:pPr>
    </w:p>
    <w:p>
      <w:pPr>
        <w:jc w:val="both"/>
        <w:ind w:left="1040" w:hanging="384"/>
        <w:spacing w:after="0" w:line="25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252" w:lineRule="exact"/>
        <w:rPr>
          <w:rFonts w:ascii="Arial" w:cs="Arial" w:eastAsia="Arial" w:hAnsi="Arial"/>
          <w:sz w:val="18"/>
          <w:szCs w:val="18"/>
          <w:color w:val="auto"/>
        </w:rPr>
      </w:pPr>
    </w:p>
    <w:p>
      <w:pPr>
        <w:jc w:val="both"/>
        <w:ind w:left="1040" w:hanging="384"/>
        <w:spacing w:after="0" w:line="25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 (B)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219" w:lineRule="exact"/>
        <w:rPr>
          <w:rFonts w:ascii="Arial" w:cs="Arial" w:eastAsia="Arial" w:hAnsi="Arial"/>
          <w:sz w:val="18"/>
          <w:szCs w:val="18"/>
          <w:color w:val="auto"/>
        </w:rPr>
      </w:pPr>
    </w:p>
    <w:p>
      <w:pPr>
        <w:jc w:val="both"/>
        <w:ind w:left="1040" w:hanging="384"/>
        <w:spacing w:after="0" w:line="27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Subscription Agreements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rights and preferences as may be determined from time to time by the Company’s Board of Directors. At March 31, 2021 and December 31, 2020, there were no shares of preferred stock issued or outstanding.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Class A common stock are entitled to one vote for each share. At March 31, 2021 and December 31, 2020, there were 3,271,432 and 3,761,780 shares of Class A common stock issued and outstanding, excluding 20,338,568 and 21,584,763 shares of Class A common stock subject to possible redemption.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the Company’s Class B common stock are entitled to one vote for each common share. At March 31, 2021 and December 31, 2020, there were 7,870,000 shares of Class B common stock issued and outstanding.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 and equity-linked securities issued or deemed issued in connection with a Business Combination (excluding any shares or equity-linked securities issued, or to be issued, to any seller in a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Redemption of Warrants for Cash. </w:t>
      </w: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5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three business days prior to the date on which the Company sends the notice of redemption to the warrant holders.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620" w:hanging="971"/>
        <w:spacing w:after="0" w:line="342"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1" w:lineRule="exact"/>
        <w:rPr>
          <w:sz w:val="20"/>
          <w:szCs w:val="20"/>
          <w:color w:val="auto"/>
        </w:rPr>
      </w:pPr>
    </w:p>
    <w:p>
      <w:pPr>
        <w:ind w:left="1620" w:right="20" w:hanging="971"/>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2021 and December 31, 2020, assets held in the Trust Account were comprised of $230,011,533 and $230,005,861 in money market funds, which are invested in U.S. Treasury Securities, respectively. During the three months ended March 31, 2021 and the year ended December 31, 2020, the Company did not withdraw any interest income from the Trust Account.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March 31, 2021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230,011,533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230,005,861</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Warrant liabilities – Public Warrants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11,116,667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16,790,001</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 – Placement Warrants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492,066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575,432</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March 31, 2021 and the year-ended December 31, 2020 other than, with respect to the year ended December 31, 2020, the transfer of Public Warrants from Level 3 to Level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Measurement – Public Warrants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initial fair value for the Warrants on September 29, 2020, the date of the Company’s Initial Public Offering, using a binomial / lattice model for the Public Warrants. The Company allocated the proceeds received from (i) the sale of Units (which is inclusive of one share of Class A common stock and one-third of one Public Warrant) and (ii) the sale of Private Placement Warrants, first to the Warrants based on their fair values as determined at initial measurement, with the remaining proceeds allocated to Class A common shares subject to possible redemption and Class A common shares based on their relative fair values at the initial measurement date. The Warrants were classified as Level 3 at the initial measurement date due to the use of unobservable inputs.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29, 2020, the Public Warrants were determined to be $1.79 per warrant for aggregate value of $13.7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Measurement – Public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Public Warrants are measured at fair value on a recurring basis. The subsequent measurement of the Public Warrants as of March 31, 2021 and December 31, 2020 is classified as Level 1 due to the use of an observable market quote in an active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and December 31, 2020, the aggregate value of the Public Warrants was $11.1 million and $16.8 million,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and Subsequent Measurement– Private Placement Warrants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fair value of the Private Placement Warrants was estimated using a Black-Scholes option pricing model. The underlying assumptions in the Black-Scholes option pricing model include the underlying share price, risk-free interest rate, estimated volatility and the expected term. The underlying share price is based on the trading common share price or implied from the unit price (before the common shares are trading separately), which consists of one common share and one-third public warrant. The expected stock price volatility is based on (i) the observed volatility of a group of comparable publicly traded companies observed over a historical period equal to the expected remaining life of the warrants and (ii) the implied volatility of the Public Warrants calculated using publicly observable prices. The risk-free interest rate is based on the U.S. Treasury yield curve in effect on the date of valuation equal to the remaining expected life of the warrants. The dividend yield percentage is zero because the Company does not currently pay dividends, nor does it intend to do so during the expected term of the warrants. The expected life of the warrants is assumed to be equivalent to their remaining contractual term. Inputs are re-evaluated each quarterly reporting period to estimate the fair market value of the Private Placement Warrants as of the reporting period.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Private Placement Warrants was estimated at March 31, 2021 and December 31, 2020 using the Black-Scholes option pricing model with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Input</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Asset price</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11.30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11.18</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and December 31, 2020, the aggregate value of the Private Warrants was determined to be $0.5 million and $0.6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Private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Placement</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Liabilities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575,432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16,790,001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(83,366)</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(5,673,334)</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(5,756,700)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492,066</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11,116,667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11,608,733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March 31, 2021.</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References in this report (the “Quarterly Report”) to “we,” “us” or the “Company” refer to FinTech Acquisition Corp. IV. References to our “management” or our “management team” refer to our officers and directors, references to the “Sponsor” refer to FinTech Investor Holdings IV, LLC and FinTech Masala Advisors IV, LLC.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Annual Report on Form 10-K/A filed with the SEC on May 4,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incorporated on November 20, 2018 as a Delaware corporation and formed for the purpose of effecting a merger, capital stock exchange, asset acquisition, stock purchase, reorganization or similar Business Combination with one or more businesses. We intend to effectuate our initial Business Combination using cash from the proceeds of our Initial Public Offering and the private placement of the Private Placement Units, the proceeds of the sale of our shares in connection with our initial Business Combination, shares issued to the owners of the target, debt issued to bank or other lenders or the owners of the target, or a combination of the foregoing.</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to continue to incur significant costs in the pursuit of our initial Business Combination. We cannot assure you that our plans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29, 2020, we entered into a Business Combination Agreement (the “Business Combination Agreement”), dated as of December 29, 2020,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70" w:lineRule="exact"/>
        <w:rPr>
          <w:sz w:val="20"/>
          <w:szCs w:val="20"/>
          <w:color w:val="auto"/>
        </w:rPr>
      </w:pPr>
    </w:p>
    <w:p>
      <w:pPr>
        <w:jc w:val="both"/>
        <w:ind w:left="1040" w:hanging="384"/>
        <w:spacing w:after="0" w:line="25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187"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225" w:lineRule="exact"/>
        <w:rPr>
          <w:rFonts w:ascii="Arial" w:cs="Arial" w:eastAsia="Arial" w:hAnsi="Arial"/>
          <w:sz w:val="18"/>
          <w:szCs w:val="18"/>
          <w:color w:val="auto"/>
        </w:rPr>
      </w:pPr>
    </w:p>
    <w:p>
      <w:pPr>
        <w:jc w:val="both"/>
        <w:ind w:left="1040" w:hanging="384"/>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 (B)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92" w:lineRule="exact"/>
        <w:rPr>
          <w:rFonts w:ascii="Arial" w:cs="Arial" w:eastAsia="Arial" w:hAnsi="Arial"/>
          <w:sz w:val="18"/>
          <w:szCs w:val="18"/>
          <w:color w:val="auto"/>
        </w:rPr>
      </w:pPr>
    </w:p>
    <w:p>
      <w:pPr>
        <w:jc w:val="both"/>
        <w:ind w:left="1040" w:hanging="384"/>
        <w:spacing w:after="0" w:line="279"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29, 2020, concurrently with the execution of the Business Combination Agreement, we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Sponsor. The PIPE Investment will be consummated substantially concurrently with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from inception through March 31, 2021 were organizational activities, those necessary to prepare for our Initial Public Offering, described below, and, after our Initial Public Offering, identifying a target company for an initial Business Combination and activities in connection with the proposed acquisition of PWP.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2021, we had net income of $4,903,480 which consists of $5,756,700 from change in fair value of warrant liabilities, interest income of $5,672, partially offset by operating expenses of $858,892.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Until the consummation of the Initial Public Offering, the Company’s only source of liquidity was an initial purchase of shares of Class B common stock by our Sponsor and loans from our Sponsor.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29, 2020, we consummated our Initial Public Offering of 23,000,000 Units at a price of $10.00 per Unit, generating gross proceeds of $230,000,000. Simultaneously with the closing of our Initial Public Offering, we consummated the sale of 610,000 Private Placement Units to the Sponsor at a price of $10.00 per Unit, generating gross proceeds of $6,100,000.</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jc w:val="both"/>
        <w:ind w:firstLine="648"/>
        <w:spacing w:after="0" w:line="342" w:lineRule="auto"/>
        <w:rPr>
          <w:sz w:val="20"/>
          <w:szCs w:val="20"/>
          <w:color w:val="auto"/>
        </w:rPr>
      </w:pPr>
      <w:r>
        <w:rPr>
          <w:rFonts w:ascii="Arial" w:cs="Arial" w:eastAsia="Arial" w:hAnsi="Arial"/>
          <w:sz w:val="16"/>
          <w:szCs w:val="16"/>
          <w:color w:val="auto"/>
        </w:rPr>
        <w:t>Following our Initial Public Offering and the sale of the Private Placement Units, a total of $230,000,000 was placed in the Trust Account. We incurred $14,255,791 in transaction costs, including $4,000,000 of underwriting fees, $9,800,000 of deferred underwriting fees and $455,791 of other costs.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2021, cash used in operating activities was $334,852. Net income of $4,903,480 was reduced by an increase in fair value of warrant liabilities of $5,756,705, interest earned on marketable securities held in the Trust Account of $5,672 and changes in operating assets and liabilities of $524,040.</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2021, we had cash and marketable securities of $230,011,533 held in the Trust Account. We intend to use substantially all of the funds held in the Trust Account, including any amounts representing interest earned on the Trust Account (less taxes paid and deferred underwriting commissions) to complete our initial Business Combination. We may withdraw interest to pay taxes. During the three months ended March 31, 2021, we did not withdraw any interest earned on the Trust Account.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we had cash of $824,082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Private Placement Units, at a price of $10.00 per unit at the option of the lender.</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or an affiliate of the Sponsor a monthly fee up to $20,000 for office space, utilities and shared personnel support services. We began incurring these fees on September 25, 2020 and will continue to incur these fees monthly until the earlier of the completion of the Business Combination and our liquidation.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jc w:val="both"/>
        <w:ind w:firstLine="648"/>
        <w:spacing w:after="0" w:line="271" w:lineRule="auto"/>
        <w:rPr>
          <w:sz w:val="20"/>
          <w:szCs w:val="20"/>
          <w:color w:val="auto"/>
        </w:rPr>
      </w:pPr>
      <w:r>
        <w:rPr>
          <w:rFonts w:ascii="Arial" w:cs="Arial" w:eastAsia="Arial" w:hAnsi="Arial"/>
          <w:sz w:val="17"/>
          <w:szCs w:val="17"/>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us to register such securities for resale (in the case of the Founder Shares, only after conversion to Class A common stock). The holders of these securities will be entitled to make up to three demands, excluding short form demands, that we register such securities. In addition, the holders will have certain “piggy-back” registration rights with respect to registration statements filed subsequent to the completion of a Business Combination and rights to require us to register for resale such securities pursuant to Rule 415 under the Securities Act. We will bear the expenses incurred in connection with the filing of any such registration statements.</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preparation of unaudited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was estimated using a Monte Carlo simulation approach.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Class A common stock subject to possible redemption is presented as temporary equity, outside of the stockholders’ equity section of our unaudited condensed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periods.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periods presented.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(our “Certifying Officers”), the effectiveness of our disclosure controls and procedures as of March 31, 2021, pursuant to Rule 13a-15(b) under the Exchange Act. Based upon that evaluation and in light of the SEC Staff Statement, our Certifying Officers concluded that, solely due to the Company’s misapplication of the accounting for the Company’s warrants as liabilities, our disclosure controls and procedures were not effective as of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Previously Issued Financial Statements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25, 2021, we revised our prior position on accounting for warrants and concluded that our previously issued financial statements as of December 31, 2020 and for the year then ended should not be relied on because of a misapplication in the guidance on warrant accounting. However, the non-cash adjustments to the financial statements do not impact the amounts previously reported for our cash, cash and marketable securities held in trust account, total assets, revenue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 as the circumstances that led to the restatement of our financial statements described above had not yet been identified.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Factors that could cause our actual results to differ materially from those in this Quarterly Report include the risk factors described in our Annual Report filed on Form 10-K/A filed with the SEC on May 4, 2021. As of the date of this Quarterly Report, there have been no material changes to the risk factors disclosed in our Annual Report on Form 10-K/A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29, 2020, we consummated our Initial Public Offering of 23,000,000 Units. The Units were sold at an offering price of $10.00 per Unit, generating total gross proceeds of $230,000,000. Cantor Fitzgerald &amp; Co. and Wells Fargo Securities, LLC acted as joint book running managers of the offering. The securities sold in the offering were registered under the Securities Act on a registration statement on Form S-1 (No. 333-248664). The SEC declared the registration statement effective on September 24, 2020.</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Simultaneously with the consummation of the Initial Public Offering, we consummated a private placement of 610,000 Private Placement Units to our Sponsor at a price of $10.00 per Private Placement Unit, generating total proceeds of $6,100,000. Such securities were issued pursuant to the exemption from registration contained in Section 4(a)(2) of the Securities Act.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Of the gross proceeds received from the Initial Public Offering and the full exercise of the option to purchase additional Units, $230,000,000 was placed in the Trust Account.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paid a total of $4,000,000 in underwriting discounts and commissions and $455,791 for other offering costs and expenses related to the Initial Public Offering. In addition, the underwriters agreed to defer $9,800,000 in underwriting discounts and commissions.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Section 302 of the Sarbanes-Oxley 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0712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4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Daniel G. Cohen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6"/>
          <w:szCs w:val="16"/>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Douglas Listman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Financial Officer and Principal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Accounting Officer)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G. Cohen,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FinTech Acquisition Corp. IV;</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rPr>
          <w:rFonts w:ascii="Arial" w:cs="Arial" w:eastAsia="Arial" w:hAnsi="Arial"/>
          <w:sz w:val="17"/>
          <w:szCs w:val="17"/>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Listman,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FinTech Acquisition Corp. IV;</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rPr>
          <w:rFonts w:ascii="Arial" w:cs="Arial" w:eastAsia="Arial" w:hAnsi="Arial"/>
          <w:sz w:val="17"/>
          <w:szCs w:val="17"/>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Listman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i w:val="1"/>
          <w:iCs w:val="1"/>
          <w:color w:val="auto"/>
        </w:rPr>
        <w:t>(Principal Financial Officer and Principal Accounting</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FinTech Acquisition Corp. IV (the “Company”) on Form 10-Q for the quarterly period ended March 31, 2021, as filed with the Securities and Exchange Commission (the “Report”), I, Daniel G. Cohen, Chief Executive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FinTech Acquisition Corp. IV (the “Company”) on Form 10-Q for the quarterly period ended March 31, 2021, as filed with the Securities and Exchange Commission (the “Report”), I, Douglas Listman, Chief Financial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Listman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i w:val="1"/>
          <w:iCs w:val="1"/>
          <w:color w:val="auto"/>
        </w:rPr>
        <w:t>(Principal Financial Officer and Principal Accounting</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2021-05-24T06:03:07Z</dcterms:created>
  <dcterms:modified xsi:type="dcterms:W3CDTF">2021-05-24T06:03:07Z</dcterms:modified>
</cp:coreProperties>
</file>