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5541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54164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Weinberg Peter A</w:t>
              </w:r>
            </w:hyperlink>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Perella Weinberg Partners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PWP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2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6"/>
                <w:szCs w:val="6"/>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6"/>
                <w:szCs w:val="6"/>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40" w:type="dxa"/>
            <w:vAlign w:val="bottom"/>
            <w:vMerge w:val="restart"/>
          </w:tcPr>
          <w:p>
            <w:pPr>
              <w:ind w:left="160"/>
              <w:spacing w:after="0" w:line="124"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240"/>
              <w:spacing w:after="0" w:line="12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6"/>
          </w:tcPr>
          <w:p>
            <w:pPr>
              <w:ind w:left="20"/>
              <w:spacing w:after="0"/>
              <w:rPr>
                <w:sz w:val="20"/>
                <w:szCs w:val="20"/>
                <w:color w:val="auto"/>
              </w:rPr>
            </w:pPr>
            <w:r>
              <w:rPr>
                <w:rFonts w:ascii="Arial" w:cs="Arial" w:eastAsia="Arial" w:hAnsi="Arial"/>
                <w:sz w:val="16"/>
                <w:szCs w:val="16"/>
                <w:color w:val="0000FF"/>
              </w:rPr>
              <w:t>767 FIFTH AVENUE</w:t>
            </w:r>
          </w:p>
        </w:tc>
        <w:tc>
          <w:tcPr>
            <w:tcW w:w="1020" w:type="dxa"/>
            <w:vAlign w:val="bottom"/>
          </w:tcPr>
          <w:p>
            <w:pPr>
              <w:spacing w:after="0"/>
              <w:rPr>
                <w:sz w:val="21"/>
                <w:szCs w:val="21"/>
                <w:color w:val="auto"/>
              </w:rPr>
            </w:pPr>
          </w:p>
        </w:tc>
        <w:tc>
          <w:tcPr>
            <w:tcW w:w="1440" w:type="dxa"/>
            <w:vAlign w:val="bottom"/>
            <w:gridSpan w:val="5"/>
          </w:tcPr>
          <w:p>
            <w:pPr>
              <w:ind w:left="380"/>
              <w:spacing w:after="0"/>
              <w:rPr>
                <w:sz w:val="20"/>
                <w:szCs w:val="20"/>
                <w:color w:val="auto"/>
              </w:rPr>
            </w:pPr>
            <w:r>
              <w:rPr>
                <w:rFonts w:ascii="Arial" w:cs="Arial" w:eastAsia="Arial" w:hAnsi="Arial"/>
                <w:sz w:val="16"/>
                <w:szCs w:val="16"/>
                <w:color w:val="0000FF"/>
              </w:rPr>
              <w:t>06/24/2021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3"/>
            <w:vMerge w:val="restart"/>
          </w:tcPr>
          <w:p>
            <w:pPr>
              <w:ind w:left="40"/>
              <w:spacing w:after="0"/>
              <w:rPr>
                <w:sz w:val="20"/>
                <w:szCs w:val="20"/>
                <w:color w:val="auto"/>
              </w:rPr>
            </w:pPr>
            <w:r>
              <w:rPr>
                <w:rFonts w:ascii="Arial" w:cs="Arial" w:eastAsia="Arial" w:hAnsi="Arial"/>
                <w:sz w:val="16"/>
                <w:szCs w:val="16"/>
                <w:color w:val="0000FF"/>
              </w:rPr>
              <w:t>NY</w:t>
            </w:r>
          </w:p>
        </w:tc>
        <w:tc>
          <w:tcPr>
            <w:tcW w:w="1020" w:type="dxa"/>
            <w:vAlign w:val="bottom"/>
            <w:vMerge w:val="restart"/>
          </w:tcPr>
          <w:p>
            <w:pPr>
              <w:ind w:left="60"/>
              <w:spacing w:after="0"/>
              <w:rPr>
                <w:sz w:val="20"/>
                <w:szCs w:val="20"/>
                <w:color w:val="auto"/>
              </w:rPr>
            </w:pPr>
            <w:r>
              <w:rPr>
                <w:rFonts w:ascii="Arial" w:cs="Arial" w:eastAsia="Arial" w:hAnsi="Arial"/>
                <w:sz w:val="16"/>
                <w:szCs w:val="16"/>
                <w:color w:val="0000FF"/>
              </w:rPr>
              <w:t>10153</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6"/>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8"/>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4"/>
                <w:szCs w:val="14"/>
                <w:color w:val="auto"/>
              </w:rPr>
            </w:pPr>
          </w:p>
        </w:tc>
        <w:tc>
          <w:tcPr>
            <w:tcW w:w="208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8"/>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6"/>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7"/>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Ownership</w:t>
            </w:r>
          </w:p>
        </w:tc>
        <w:tc>
          <w:tcPr>
            <w:tcW w:w="82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26"/>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Class B-1</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Arial" w:cs="Arial" w:eastAsia="Arial" w:hAnsi="Arial"/>
                <w:sz w:val="12"/>
                <w:szCs w:val="12"/>
                <w:color w:val="0000FF"/>
              </w:rPr>
              <w:t>PWP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6"/>
                <w:szCs w:val="6"/>
                <w:color w:val="auto"/>
              </w:rPr>
            </w:pPr>
          </w:p>
        </w:tc>
        <w:tc>
          <w:tcPr>
            <w:tcW w:w="680" w:type="dxa"/>
            <w:vAlign w:val="bottom"/>
            <w:vMerge w:val="restart"/>
          </w:tcPr>
          <w:p>
            <w:pPr>
              <w:jc w:val="center"/>
              <w:ind w:right="26"/>
              <w:spacing w:after="0"/>
              <w:rPr>
                <w:sz w:val="20"/>
                <w:szCs w:val="20"/>
                <w:color w:val="auto"/>
              </w:rPr>
            </w:pPr>
            <w:r>
              <w:rPr>
                <w:rFonts w:ascii="Arial" w:cs="Arial" w:eastAsia="Arial" w:hAnsi="Arial"/>
                <w:sz w:val="10"/>
                <w:szCs w:val="10"/>
                <w:color w:val="008000"/>
                <w:w w:val="97"/>
              </w:rPr>
              <w:t>(1)</w:t>
            </w:r>
          </w:p>
        </w:tc>
        <w:tc>
          <w:tcPr>
            <w:tcW w:w="560" w:type="dxa"/>
            <w:vAlign w:val="bottom"/>
            <w:vMerge w:val="continue"/>
          </w:tcPr>
          <w:p>
            <w:pPr>
              <w:spacing w:after="0"/>
              <w:rPr>
                <w:sz w:val="6"/>
                <w:szCs w:val="6"/>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3,392.947</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color w:val="0000FF"/>
              </w:rPr>
              <w:t>Professional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06/24/2021</w:t>
            </w:r>
          </w:p>
        </w:tc>
        <w:tc>
          <w:tcPr>
            <w:tcW w:w="1020" w:type="dxa"/>
            <w:vAlign w:val="bottom"/>
          </w:tcPr>
          <w:p>
            <w:pPr>
              <w:spacing w:after="0"/>
              <w:rPr>
                <w:sz w:val="5"/>
                <w:szCs w:val="5"/>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3,392,947</w:t>
            </w:r>
          </w:p>
        </w:tc>
        <w:tc>
          <w:tcPr>
            <w:tcW w:w="3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3,392,947</w:t>
            </w:r>
          </w:p>
        </w:tc>
        <w:tc>
          <w:tcPr>
            <w:tcW w:w="6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3"/>
            <w:vMerge w:val="restart"/>
          </w:tcPr>
          <w:p>
            <w:pPr>
              <w:ind w:left="120"/>
              <w:spacing w:after="0" w:line="121" w:lineRule="exact"/>
              <w:rPr>
                <w:sz w:val="20"/>
                <w:szCs w:val="20"/>
                <w:color w:val="auto"/>
              </w:rPr>
            </w:pPr>
            <w:r>
              <w:rPr>
                <w:rFonts w:ascii="Arial" w:cs="Arial" w:eastAsia="Arial" w:hAnsi="Arial"/>
                <w:sz w:val="12"/>
                <w:szCs w:val="12"/>
                <w:color w:val="0000FF"/>
              </w:rPr>
              <w:t>Partners</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restart"/>
          </w:tcPr>
          <w:p>
            <w:pPr>
              <w:ind w:left="120"/>
              <w:spacing w:after="0" w:line="236"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B-2</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5"/>
                <w:szCs w:val="15"/>
                <w:color w:val="auto"/>
              </w:rPr>
            </w:pPr>
          </w:p>
        </w:tc>
        <w:tc>
          <w:tcPr>
            <w:tcW w:w="66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93"/>
              </w:rPr>
              <w:t>841.78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Arial" w:cs="Arial" w:eastAsia="Arial" w:hAnsi="Arial"/>
                <w:sz w:val="12"/>
                <w:szCs w:val="12"/>
                <w:color w:val="0000FF"/>
              </w:rPr>
              <w:t>Red Hook</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2"/>
                <w:szCs w:val="12"/>
                <w:color w:val="0000FF"/>
              </w:rPr>
              <w:t>Common</w:t>
            </w:r>
          </w:p>
        </w:tc>
        <w:tc>
          <w:tcPr>
            <w:tcW w:w="620" w:type="dxa"/>
            <w:vAlign w:val="bottom"/>
          </w:tcPr>
          <w:p>
            <w:pPr>
              <w:ind w:left="32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1020" w:type="dxa"/>
            <w:vAlign w:val="bottom"/>
          </w:tcPr>
          <w:p>
            <w:pPr>
              <w:spacing w:after="0"/>
              <w:rPr>
                <w:sz w:val="11"/>
                <w:szCs w:val="11"/>
                <w:color w:val="auto"/>
              </w:rPr>
            </w:pPr>
          </w:p>
        </w:tc>
        <w:tc>
          <w:tcPr>
            <w:tcW w:w="820" w:type="dxa"/>
            <w:vAlign w:val="bottom"/>
            <w:gridSpan w:val="4"/>
          </w:tcPr>
          <w:p>
            <w:pPr>
              <w:ind w:left="160"/>
              <w:spacing w:after="0" w:line="134" w:lineRule="exact"/>
              <w:rPr>
                <w:sz w:val="20"/>
                <w:szCs w:val="20"/>
                <w:color w:val="auto"/>
              </w:rPr>
            </w:pPr>
            <w:r>
              <w:rPr>
                <w:rFonts w:ascii="Arial" w:cs="Arial" w:eastAsia="Arial" w:hAnsi="Arial"/>
                <w:sz w:val="12"/>
                <w:szCs w:val="12"/>
                <w:color w:val="0000FF"/>
              </w:rPr>
              <w:t>A</w:t>
            </w:r>
          </w:p>
        </w:tc>
        <w:tc>
          <w:tcPr>
            <w:tcW w:w="620" w:type="dxa"/>
            <w:vAlign w:val="bottom"/>
          </w:tcPr>
          <w:p>
            <w:pPr>
              <w:jc w:val="center"/>
              <w:ind w:right="3"/>
              <w:spacing w:after="0" w:line="134" w:lineRule="exact"/>
              <w:rPr>
                <w:sz w:val="20"/>
                <w:szCs w:val="20"/>
                <w:color w:val="auto"/>
              </w:rPr>
            </w:pPr>
            <w:r>
              <w:rPr>
                <w:rFonts w:ascii="Arial" w:cs="Arial" w:eastAsia="Arial" w:hAnsi="Arial"/>
                <w:sz w:val="12"/>
                <w:szCs w:val="12"/>
                <w:color w:val="0000FF"/>
                <w:w w:val="92"/>
              </w:rPr>
              <w:t>841,780</w:t>
            </w:r>
          </w:p>
        </w:tc>
        <w:tc>
          <w:tcPr>
            <w:tcW w:w="320" w:type="dxa"/>
            <w:vAlign w:val="bottom"/>
          </w:tcPr>
          <w:p>
            <w:pPr>
              <w:spacing w:after="0"/>
              <w:rPr>
                <w:sz w:val="11"/>
                <w:szCs w:val="11"/>
                <w:color w:val="auto"/>
              </w:rPr>
            </w:pPr>
          </w:p>
        </w:tc>
        <w:tc>
          <w:tcPr>
            <w:tcW w:w="70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2"/>
              </w:rPr>
              <w:t>841,780</w:t>
            </w:r>
          </w:p>
        </w:tc>
        <w:tc>
          <w:tcPr>
            <w:tcW w:w="660" w:type="dxa"/>
            <w:vAlign w:val="bottom"/>
          </w:tcPr>
          <w:p>
            <w:pPr>
              <w:ind w:left="340"/>
              <w:spacing w:after="0" w:line="134" w:lineRule="exact"/>
              <w:rPr>
                <w:sz w:val="20"/>
                <w:szCs w:val="20"/>
                <w:color w:val="auto"/>
              </w:rPr>
            </w:pPr>
            <w:r>
              <w:rPr>
                <w:rFonts w:ascii="Arial" w:cs="Arial" w:eastAsia="Arial" w:hAnsi="Arial"/>
                <w:sz w:val="12"/>
                <w:szCs w:val="12"/>
                <w:color w:val="0000FF"/>
              </w:rPr>
              <w:t>I</w:t>
            </w:r>
          </w:p>
        </w:tc>
        <w:tc>
          <w:tcPr>
            <w:tcW w:w="820" w:type="dxa"/>
            <w:vAlign w:val="bottom"/>
            <w:gridSpan w:val="3"/>
          </w:tcPr>
          <w:p>
            <w:pPr>
              <w:ind w:left="120"/>
              <w:spacing w:after="0" w:line="134"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20"/>
              <w:spacing w:after="0" w:line="225"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PWP</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color w:val="0000FF"/>
              </w:rPr>
              <w:t>PWP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Holdings</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2"/>
            <w:vMerge w:val="restart"/>
          </w:tcPr>
          <w:p>
            <w:pPr>
              <w:ind w:left="260"/>
              <w:spacing w:after="0"/>
              <w:rPr>
                <w:sz w:val="20"/>
                <w:szCs w:val="20"/>
                <w:color w:val="auto"/>
              </w:rPr>
            </w:pPr>
            <w:r>
              <w:rPr>
                <w:rFonts w:ascii="Arial" w:cs="Arial" w:eastAsia="Arial" w:hAnsi="Arial"/>
                <w:sz w:val="10"/>
                <w:szCs w:val="10"/>
                <w:color w:val="008000"/>
              </w:rPr>
              <w:t>(4)</w:t>
            </w:r>
          </w:p>
        </w:tc>
        <w:tc>
          <w:tcPr>
            <w:tcW w:w="40" w:type="dxa"/>
            <w:vAlign w:val="bottom"/>
          </w:tcPr>
          <w:p>
            <w:pPr>
              <w:spacing w:after="0"/>
              <w:rPr>
                <w:sz w:val="7"/>
                <w:szCs w:val="7"/>
                <w:color w:val="auto"/>
              </w:rPr>
            </w:pPr>
          </w:p>
        </w:tc>
        <w:tc>
          <w:tcPr>
            <w:tcW w:w="680" w:type="dxa"/>
            <w:vAlign w:val="bottom"/>
            <w:vMerge w:val="restart"/>
          </w:tcPr>
          <w:p>
            <w:pPr>
              <w:jc w:val="center"/>
              <w:ind w:right="26"/>
              <w:spacing w:after="0"/>
              <w:rPr>
                <w:sz w:val="20"/>
                <w:szCs w:val="20"/>
                <w:color w:val="auto"/>
              </w:rPr>
            </w:pPr>
            <w:r>
              <w:rPr>
                <w:rFonts w:ascii="Arial" w:cs="Arial" w:eastAsia="Arial" w:hAnsi="Arial"/>
                <w:sz w:val="10"/>
                <w:szCs w:val="10"/>
                <w:color w:val="008000"/>
                <w:w w:val="97"/>
              </w:rPr>
              <w:t>(4)</w:t>
            </w:r>
          </w:p>
        </w:tc>
        <w:tc>
          <w:tcPr>
            <w:tcW w:w="560" w:type="dxa"/>
            <w:vAlign w:val="bottom"/>
            <w:vMerge w:val="continue"/>
          </w:tcPr>
          <w:p>
            <w:pPr>
              <w:spacing w:after="0"/>
              <w:rPr>
                <w:sz w:val="7"/>
                <w:szCs w:val="7"/>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3,392,947</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color w:val="0000FF"/>
              </w:rPr>
              <w:t>Professional</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LP</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06/24/2021</w:t>
            </w:r>
          </w:p>
        </w:tc>
        <w:tc>
          <w:tcPr>
            <w:tcW w:w="1020" w:type="dxa"/>
            <w:vAlign w:val="bottom"/>
          </w:tcPr>
          <w:p>
            <w:pPr>
              <w:spacing w:after="0"/>
              <w:rPr>
                <w:sz w:val="4"/>
                <w:szCs w:val="4"/>
                <w:color w:val="auto"/>
              </w:rPr>
            </w:pPr>
          </w:p>
        </w:tc>
        <w:tc>
          <w:tcPr>
            <w:tcW w:w="820" w:type="dxa"/>
            <w:vAlign w:val="bottom"/>
            <w:gridSpan w:val="4"/>
            <w:vMerge w:val="restart"/>
          </w:tcPr>
          <w:p>
            <w:pPr>
              <w:ind w:left="160"/>
              <w:spacing w:after="0" w:line="96" w:lineRule="exact"/>
              <w:rPr>
                <w:sz w:val="20"/>
                <w:szCs w:val="20"/>
                <w:color w:val="auto"/>
              </w:rPr>
            </w:pPr>
            <w:r>
              <w:rPr>
                <w:rFonts w:ascii="Arial" w:cs="Arial" w:eastAsia="Arial" w:hAnsi="Arial"/>
                <w:sz w:val="11"/>
                <w:szCs w:val="11"/>
                <w:color w:val="0000FF"/>
              </w:rPr>
              <w:t>A</w:t>
            </w:r>
          </w:p>
        </w:tc>
        <w:tc>
          <w:tcPr>
            <w:tcW w:w="62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3,392,947</w:t>
            </w:r>
          </w:p>
        </w:tc>
        <w:tc>
          <w:tcPr>
            <w:tcW w:w="3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restart"/>
          </w:tcPr>
          <w:p>
            <w:pPr>
              <w:ind w:left="14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w w:val="97"/>
              </w:rPr>
              <w:t>3,392,947</w:t>
            </w:r>
          </w:p>
        </w:tc>
        <w:tc>
          <w:tcPr>
            <w:tcW w:w="66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3"/>
          </w:tcPr>
          <w:p>
            <w:pPr>
              <w:ind w:left="120"/>
              <w:spacing w:after="0" w:line="47" w:lineRule="exact"/>
              <w:rPr>
                <w:sz w:val="20"/>
                <w:szCs w:val="20"/>
                <w:color w:val="auto"/>
              </w:rPr>
            </w:pPr>
            <w:r>
              <w:rPr>
                <w:rFonts w:ascii="Arial" w:cs="Arial" w:eastAsia="Arial" w:hAnsi="Arial"/>
                <w:sz w:val="5"/>
                <w:szCs w:val="5"/>
                <w:color w:val="0000FF"/>
              </w:rPr>
              <w:t>Partners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tcPr>
          <w:p>
            <w:pPr>
              <w:ind w:left="120"/>
              <w:spacing w:after="0" w:line="158" w:lineRule="exact"/>
              <w:rPr>
                <w:sz w:val="20"/>
                <w:szCs w:val="20"/>
                <w:color w:val="auto"/>
              </w:rPr>
            </w:pPr>
            <w:r>
              <w:rPr>
                <w:rFonts w:ascii="Arial" w:cs="Arial" w:eastAsia="Arial" w:hAnsi="Arial"/>
                <w:sz w:val="18"/>
                <w:szCs w:val="18"/>
                <w:color w:val="0000FF"/>
                <w:vertAlign w:val="subscript"/>
              </w:rPr>
              <w:t>LP</w:t>
            </w:r>
            <w:r>
              <w:rPr>
                <w:rFonts w:ascii="Arial" w:cs="Arial" w:eastAsia="Arial" w:hAnsi="Arial"/>
                <w:sz w:val="9"/>
                <w:szCs w:val="9"/>
                <w:color w:val="008000"/>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PWP</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color w:val="0000FF"/>
              </w:rPr>
              <w:t>Red Hook</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2"/>
                <w:szCs w:val="12"/>
                <w:color w:val="0000FF"/>
              </w:rPr>
              <w:t>Holdings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0"/>
                <w:szCs w:val="10"/>
                <w:color w:val="auto"/>
              </w:rPr>
            </w:pPr>
          </w:p>
        </w:tc>
        <w:tc>
          <w:tcPr>
            <w:tcW w:w="66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93"/>
              </w:rPr>
              <w:t>841,780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2"/>
                <w:szCs w:val="12"/>
                <w:color w:val="0000FF"/>
              </w:rPr>
              <w:t>LP</w:t>
            </w:r>
          </w:p>
        </w:tc>
        <w:tc>
          <w:tcPr>
            <w:tcW w:w="620" w:type="dxa"/>
            <w:vAlign w:val="bottom"/>
          </w:tcPr>
          <w:p>
            <w:pPr>
              <w:ind w:left="320"/>
              <w:spacing w:after="0"/>
              <w:rPr>
                <w:sz w:val="20"/>
                <w:szCs w:val="20"/>
                <w:color w:val="auto"/>
              </w:rPr>
            </w:pPr>
            <w:r>
              <w:rPr>
                <w:rFonts w:ascii="Arial" w:cs="Arial" w:eastAsia="Arial" w:hAnsi="Arial"/>
                <w:sz w:val="10"/>
                <w:szCs w:val="10"/>
                <w:color w:val="008000"/>
              </w:rPr>
              <w:t>(4)</w:t>
            </w:r>
          </w:p>
        </w:tc>
        <w:tc>
          <w:tcPr>
            <w:tcW w:w="1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1020" w:type="dxa"/>
            <w:vAlign w:val="bottom"/>
          </w:tcPr>
          <w:p>
            <w:pPr>
              <w:spacing w:after="0"/>
              <w:rPr>
                <w:sz w:val="11"/>
                <w:szCs w:val="11"/>
                <w:color w:val="auto"/>
              </w:rPr>
            </w:pPr>
          </w:p>
        </w:tc>
        <w:tc>
          <w:tcPr>
            <w:tcW w:w="820" w:type="dxa"/>
            <w:vAlign w:val="bottom"/>
            <w:gridSpan w:val="4"/>
          </w:tcPr>
          <w:p>
            <w:pPr>
              <w:ind w:left="160"/>
              <w:spacing w:after="0" w:line="134" w:lineRule="exact"/>
              <w:rPr>
                <w:sz w:val="20"/>
                <w:szCs w:val="20"/>
                <w:color w:val="auto"/>
              </w:rPr>
            </w:pPr>
            <w:r>
              <w:rPr>
                <w:rFonts w:ascii="Arial" w:cs="Arial" w:eastAsia="Arial" w:hAnsi="Arial"/>
                <w:sz w:val="12"/>
                <w:szCs w:val="12"/>
                <w:color w:val="0000FF"/>
              </w:rPr>
              <w:t>A</w:t>
            </w:r>
          </w:p>
        </w:tc>
        <w:tc>
          <w:tcPr>
            <w:tcW w:w="620" w:type="dxa"/>
            <w:vAlign w:val="bottom"/>
          </w:tcPr>
          <w:p>
            <w:pPr>
              <w:jc w:val="center"/>
              <w:ind w:right="3"/>
              <w:spacing w:after="0" w:line="134" w:lineRule="exact"/>
              <w:rPr>
                <w:sz w:val="20"/>
                <w:szCs w:val="20"/>
                <w:color w:val="auto"/>
              </w:rPr>
            </w:pPr>
            <w:r>
              <w:rPr>
                <w:rFonts w:ascii="Arial" w:cs="Arial" w:eastAsia="Arial" w:hAnsi="Arial"/>
                <w:sz w:val="12"/>
                <w:szCs w:val="12"/>
                <w:color w:val="0000FF"/>
                <w:w w:val="92"/>
              </w:rPr>
              <w:t>841,780</w:t>
            </w:r>
          </w:p>
        </w:tc>
        <w:tc>
          <w:tcPr>
            <w:tcW w:w="320" w:type="dxa"/>
            <w:vAlign w:val="bottom"/>
          </w:tcPr>
          <w:p>
            <w:pPr>
              <w:spacing w:after="0"/>
              <w:rPr>
                <w:sz w:val="11"/>
                <w:szCs w:val="11"/>
                <w:color w:val="auto"/>
              </w:rPr>
            </w:pPr>
          </w:p>
        </w:tc>
        <w:tc>
          <w:tcPr>
            <w:tcW w:w="700" w:type="dxa"/>
            <w:vAlign w:val="bottom"/>
            <w:gridSpan w:val="2"/>
          </w:tcPr>
          <w:p>
            <w:pPr>
              <w:ind w:left="260"/>
              <w:spacing w:after="0"/>
              <w:rPr>
                <w:sz w:val="20"/>
                <w:szCs w:val="20"/>
                <w:color w:val="auto"/>
              </w:rPr>
            </w:pPr>
            <w:r>
              <w:rPr>
                <w:rFonts w:ascii="Arial" w:cs="Arial" w:eastAsia="Arial" w:hAnsi="Arial"/>
                <w:sz w:val="10"/>
                <w:szCs w:val="10"/>
                <w:color w:val="008000"/>
              </w:rPr>
              <w:t>(4)</w:t>
            </w:r>
          </w:p>
        </w:tc>
        <w:tc>
          <w:tcPr>
            <w:tcW w:w="4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0"/>
                <w:szCs w:val="10"/>
                <w:color w:val="008000"/>
                <w:w w:val="97"/>
              </w:rPr>
              <w:t>(4)</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2"/>
              </w:rPr>
              <w:t>841,780</w:t>
            </w:r>
          </w:p>
        </w:tc>
        <w:tc>
          <w:tcPr>
            <w:tcW w:w="660" w:type="dxa"/>
            <w:vAlign w:val="bottom"/>
          </w:tcPr>
          <w:p>
            <w:pPr>
              <w:ind w:left="340"/>
              <w:spacing w:after="0" w:line="134" w:lineRule="exact"/>
              <w:rPr>
                <w:sz w:val="20"/>
                <w:szCs w:val="20"/>
                <w:color w:val="auto"/>
              </w:rPr>
            </w:pPr>
            <w:r>
              <w:rPr>
                <w:rFonts w:ascii="Arial" w:cs="Arial" w:eastAsia="Arial" w:hAnsi="Arial"/>
                <w:sz w:val="12"/>
                <w:szCs w:val="12"/>
                <w:color w:val="0000FF"/>
              </w:rPr>
              <w:t>I</w:t>
            </w:r>
          </w:p>
        </w:tc>
        <w:tc>
          <w:tcPr>
            <w:tcW w:w="820" w:type="dxa"/>
            <w:vAlign w:val="bottom"/>
            <w:gridSpan w:val="3"/>
          </w:tcPr>
          <w:p>
            <w:pPr>
              <w:ind w:left="120"/>
              <w:spacing w:after="0" w:line="134"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120"/>
              <w:spacing w:after="0" w:line="163" w:lineRule="exact"/>
              <w:rPr>
                <w:sz w:val="20"/>
                <w:szCs w:val="20"/>
                <w:color w:val="auto"/>
              </w:rPr>
            </w:pPr>
            <w:r>
              <w:rPr>
                <w:rFonts w:ascii="Arial" w:cs="Arial" w:eastAsia="Arial" w:hAnsi="Arial"/>
                <w:sz w:val="18"/>
                <w:szCs w:val="18"/>
                <w:color w:val="0000FF"/>
                <w:vertAlign w:val="subscript"/>
              </w:rPr>
              <w:t>LLC</w:t>
            </w:r>
            <w:r>
              <w:rPr>
                <w:rFonts w:ascii="Arial" w:cs="Arial" w:eastAsia="Arial" w:hAnsi="Arial"/>
                <w:sz w:val="9"/>
                <w:szCs w:val="9"/>
                <w:color w:val="008000"/>
              </w:rPr>
              <w:t>(3)</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Units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140" w:hanging="3"/>
        <w:spacing w:after="0" w:line="279"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or Class B-2 common stock ("Class B-2 Shares" and, together with Class B-1 Shares, "Class B Shares"), such Unitholder will be required to surrender to the Issuer a number of Class B Shares equal to the number of PWP OpCo Units exchanged, and such Class B Shares will be converted into Class A Shares or, at the option of the Issuer, for an equivalent amount of cash, which will be delivered to such Unitholder at a conversion rate of 0.001 Class A Share for one Class B Share.</w:t>
      </w:r>
    </w:p>
    <w:p>
      <w:pPr>
        <w:spacing w:after="0" w:line="10" w:lineRule="exact"/>
        <w:rPr>
          <w:rFonts w:ascii="Arial" w:cs="Arial" w:eastAsia="Arial" w:hAnsi="Arial"/>
          <w:sz w:val="11"/>
          <w:szCs w:val="11"/>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PWP Professional Partners LP, except to the extent of his pecuniary interest therein.</w:t>
      </w:r>
    </w:p>
    <w:p>
      <w:pPr>
        <w:spacing w:after="0" w:line="48" w:lineRule="exact"/>
        <w:rPr>
          <w:rFonts w:ascii="Arial" w:cs="Arial" w:eastAsia="Arial" w:hAnsi="Arial"/>
          <w:sz w:val="12"/>
          <w:szCs w:val="12"/>
          <w:color w:val="008000"/>
        </w:rPr>
      </w:pPr>
    </w:p>
    <w:p>
      <w:pPr>
        <w:ind w:left="40" w:right="24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shared voting and dispositive power over Red Hook Capital LLC ("Red Hook")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12" w:lineRule="exact"/>
        <w:rPr>
          <w:rFonts w:ascii="Arial" w:cs="Arial" w:eastAsia="Arial" w:hAnsi="Arial"/>
          <w:sz w:val="12"/>
          <w:szCs w:val="12"/>
          <w:color w:val="008000"/>
        </w:rPr>
      </w:pPr>
    </w:p>
    <w:p>
      <w:pPr>
        <w:ind w:left="40" w:right="48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certain lock-up periods, PWP OpCo Units, upon the surrender of an equal number of Class B Shares, may be exchanged for Class A Shares on a one-for-one basis or, at the option of the Issuer, for an equivalent amount of cash. PWP OpCo Units do not expire.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Chairman and Chief Executive Officer</w:t>
      </w:r>
    </w:p>
    <w:p>
      <w:pPr>
        <w:sectPr>
          <w:pgSz w:w="11900" w:h="16838" w:orient="portrait"/>
          <w:cols w:equalWidth="0" w:num="1">
            <w:col w:w="11080"/>
          </w:cols>
          <w:pgMar w:left="460" w:top="220" w:right="359" w:bottom="1440" w:gutter="0" w:footer="0" w:header="0"/>
          <w:type w:val="continuous"/>
        </w:sectPr>
      </w:pPr>
    </w:p>
    <w:p>
      <w:pPr>
        <w:spacing w:after="0" w:line="74"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Mark Polemeni,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6350</wp:posOffset>
            </wp:positionV>
            <wp:extent cx="13227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-12065</wp:posOffset>
            </wp:positionV>
            <wp:extent cx="291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47"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14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0000FF"/>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3" w:lineRule="exact"/>
        <w:rPr>
          <w:sz w:val="20"/>
          <w:szCs w:val="20"/>
          <w:color w:val="auto"/>
        </w:rPr>
      </w:pPr>
    </w:p>
    <w:p>
      <w:pPr>
        <w:sectPr>
          <w:pgSz w:w="11900" w:h="16838" w:orient="portrait"/>
          <w:cols w:equalWidth="0" w:num="2">
            <w:col w:w="8680" w:space="12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6779"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2021-06-28T20:24:43Z</dcterms:created>
  <dcterms:modified xsi:type="dcterms:W3CDTF">2021-06-28T20:24:43Z</dcterms:modified>
</cp:coreProperties>
</file>