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632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3232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COHEN BETSY Z</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2929 ARCH STREET, SUITE 1703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Perella Weinberg Partners</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PWP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1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10/26/2020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180" w:space="720"/>
            <w:col w:w="3103" w:space="720"/>
            <w:col w:w="3357"/>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PHILADELPHIA PA</w:t>
            </w:r>
          </w:p>
        </w:tc>
        <w:tc>
          <w:tcPr>
            <w:tcW w:w="1600" w:type="dxa"/>
            <w:vAlign w:val="bottom"/>
          </w:tcPr>
          <w:p>
            <w:pPr>
              <w:jc w:val="right"/>
              <w:ind w:right="666"/>
              <w:spacing w:after="0"/>
              <w:rPr>
                <w:sz w:val="20"/>
                <w:szCs w:val="20"/>
                <w:color w:val="auto"/>
              </w:rPr>
            </w:pPr>
            <w:r>
              <w:rPr>
                <w:rFonts w:ascii="Arial" w:cs="Arial" w:eastAsia="Arial" w:hAnsi="Arial"/>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6"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0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120"/>
              <w:spacing w:after="0"/>
              <w:rPr>
                <w:sz w:val="20"/>
                <w:szCs w:val="20"/>
                <w:color w:val="auto"/>
              </w:rPr>
            </w:pPr>
            <w:r>
              <w:rPr>
                <w:rFonts w:ascii="Arial" w:cs="Arial" w:eastAsia="Arial" w:hAnsi="Arial"/>
                <w:sz w:val="13"/>
                <w:szCs w:val="13"/>
                <w:color w:val="0000FF"/>
              </w:rPr>
              <w:t>Class A</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ind w:left="80"/>
              <w:spacing w:after="0"/>
              <w:rPr>
                <w:sz w:val="20"/>
                <w:szCs w:val="20"/>
                <w:color w:val="auto"/>
              </w:rPr>
            </w:pPr>
            <w:r>
              <w:rPr>
                <w:rFonts w:ascii="Arial" w:cs="Arial" w:eastAsia="Arial" w:hAnsi="Arial"/>
                <w:sz w:val="13"/>
                <w:szCs w:val="13"/>
                <w:color w:val="0000FF"/>
              </w:rPr>
              <w:t>By Cohen</w:t>
            </w: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restart"/>
          </w:tcPr>
          <w:p>
            <w:pPr>
              <w:ind w:left="120"/>
              <w:spacing w:after="0" w:line="26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800" w:type="dxa"/>
            <w:vAlign w:val="bottom"/>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6"/>
                <w:szCs w:val="6"/>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17,333</w:t>
            </w: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Sponsor</w:t>
            </w: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rPr>
                <w:sz w:val="20"/>
                <w:szCs w:val="20"/>
                <w:color w:val="auto"/>
              </w:rPr>
            </w:pPr>
            <w:r>
              <w:rPr>
                <w:rFonts w:ascii="Arial" w:cs="Arial" w:eastAsia="Arial" w:hAnsi="Arial"/>
                <w:sz w:val="13"/>
                <w:szCs w:val="13"/>
                <w:color w:val="0000FF"/>
              </w:rPr>
              <w:t>10/26/2020</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Arial" w:cs="Arial" w:eastAsia="Arial" w:hAnsi="Arial"/>
                <w:sz w:val="13"/>
                <w:szCs w:val="13"/>
                <w:color w:val="0000FF"/>
              </w:rPr>
              <w:t>17,333</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0.01</w:t>
            </w:r>
          </w:p>
        </w:tc>
        <w:tc>
          <w:tcPr>
            <w:tcW w:w="940" w:type="dxa"/>
            <w:vAlign w:val="bottom"/>
            <w:vMerge w:val="restart"/>
          </w:tcPr>
          <w:p>
            <w:pPr>
              <w:ind w:left="220"/>
              <w:spacing w:after="0"/>
              <w:rPr>
                <w:sz w:val="20"/>
                <w:szCs w:val="20"/>
                <w:color w:val="auto"/>
              </w:rPr>
            </w:pPr>
            <w:r>
              <w:rPr>
                <w:rFonts w:ascii="Arial" w:cs="Arial" w:eastAsia="Arial" w:hAnsi="Arial"/>
                <w:sz w:val="13"/>
                <w:szCs w:val="13"/>
                <w:color w:val="0000FF"/>
              </w:rPr>
              <w:t>1,192,667</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6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3"/>
                <w:szCs w:val="13"/>
                <w:color w:val="0000FF"/>
              </w:rPr>
              <w:t>Interests</w:t>
            </w: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2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FinTech Investor Holdings IV, LLC ("Holdings") and FinTech Masala Advisors IV, LLC ("Masala"), each of which is managed by Cohen Sponsor Interests IV, LLC ("Manager"). The reporting person indirectly owns one-third of Manager. The reporting person disclaims beneficial ownership of these securities, except to the extent of her pecuniary interest therein, and this report shall not be deemed an admission that the reporting person is the beneficial owner of such securities for any other purpose.</w:t>
      </w:r>
    </w:p>
    <w:p>
      <w:pPr>
        <w:sectPr>
          <w:pgSz w:w="11900" w:h="16838" w:orient="portrait"/>
          <w:cols w:equalWidth="0" w:num="1">
            <w:col w:w="11080"/>
          </w:cols>
          <w:pgMar w:left="460" w:top="221" w:right="359" w:bottom="1440" w:gutter="0" w:footer="0" w:header="0"/>
          <w:type w:val="continuous"/>
        </w:sectPr>
      </w:pP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2. Represents transfer of membership interests by Manager to other members of Masala.</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Amanda Abrams,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2540</wp:posOffset>
            </wp:positionV>
            <wp:extent cx="1320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01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4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11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5"/>
          <w:szCs w:val="15"/>
          <w:color w:val="0000FF"/>
        </w:rPr>
        <w:t>06/28/2021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48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03" w:lineRule="exact"/>
        <w:rPr>
          <w:sz w:val="24"/>
          <w:szCs w:val="24"/>
          <w:color w:val="auto"/>
        </w:rPr>
      </w:pPr>
    </w:p>
    <w:p>
      <w:pPr>
        <w:sectPr>
          <w:pgSz w:w="11900" w:h="16838" w:orient="portrait"/>
          <w:cols w:equalWidth="0" w:num="2">
            <w:col w:w="8680" w:space="12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68754"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2021-06-28T20:55:54Z</dcterms:created>
  <dcterms:modified xsi:type="dcterms:W3CDTF">2021-06-28T20:55:54Z</dcterms:modified>
</cp:coreProperties>
</file>