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35940111.xml.htm"/>
      <w:bookmarkStart w:id="1" w:name="kswkform4_173594011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Bednar Andrew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767 FIFTH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10153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Perella Weinberg Partners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PWP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12/31/2024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98"/>
        <w:gridCol w:w="903"/>
        <w:gridCol w:w="772"/>
        <w:gridCol w:w="600"/>
        <w:gridCol w:w="349"/>
        <w:gridCol w:w="1017"/>
        <w:gridCol w:w="456"/>
        <w:gridCol w:w="619"/>
        <w:gridCol w:w="1167"/>
        <w:gridCol w:w="1000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9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9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9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9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12/31/2024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137,358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6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731,365</w:t>
            </w:r>
          </w:p>
        </w:tc>
        <w:tc>
          <w:tcPr>
            <w:tcW w:w="10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318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715"/>
        <w:gridCol w:w="861"/>
        <w:gridCol w:w="891"/>
        <w:gridCol w:w="771"/>
        <w:gridCol w:w="591"/>
        <w:gridCol w:w="300"/>
        <w:gridCol w:w="276"/>
        <w:gridCol w:w="816"/>
        <w:gridCol w:w="906"/>
        <w:gridCol w:w="801"/>
        <w:gridCol w:w="891"/>
        <w:gridCol w:w="921"/>
        <w:gridCol w:w="801"/>
        <w:gridCol w:w="966"/>
        <w:gridCol w:w="831"/>
        <w:gridCol w:w="846"/>
      </w:tblGrid>
      <w:tr>
        <w:trPr>
          <w:tblHeader w:val="true"/>
        </w:trPr>
        <w:tc>
          <w:tcPr>
            <w:tcW w:w="1318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7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6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7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7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Performance-Based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12/31/2024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137,358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(2)(3)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137,358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1,381,036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performance-based restricted stock unit ("PSU") represents a contingent right to receive one share of Class A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PSUs granted on August 31, 2021 vest based on the achievement of (i) service-based vesting conditions that are satisfied in two equal installments on the third and fifth anniversaries of the grant date, subject to a 50% holdback after the first vesting date, and (ii) performance-based vesting conditions that are satisfied upon the achievement, as measured on the last calendar day of each month, of closing stock prices equal to $15, $20, $25 and $30 (subject to linear interpolation) for 20 out of any 30 consecutive trading days, in each case prior to the fifth anniversary of the grant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These PSUs vested on December 31, 2024, upon the achievement of certain service-based and performance-based vesting conditions.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Mark Polemeni,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01/03/2025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67860" TargetMode="External"/><Relationship Id="rId5" Type="http://schemas.openxmlformats.org/officeDocument/2006/relationships/hyperlink" Target="http://www.sec.gov/cgi-bin/browse-edgar?action=getcompany&amp;CIK=000177783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720</Words>
  <Characters>3885</Characters>
  <CharactersWithSpaces>4533</CharactersWithSpaces>
  <Paragraphs>111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