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tbl>
      <w:tblPr>
        <w:tblW w:w="387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68" w:before="0" w:after="18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UNITED STATES</w:t>
      </w:r>
    </w:p>
    <w:p>
      <w:pPr>
        <w:pStyle w:val="TextBody"/>
        <w:spacing w:lineRule="auto" w:line="268" w:before="0" w:after="18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SECURITIES AND EXCHANGE COMMISSION</w:t>
      </w:r>
    </w:p>
    <w:p>
      <w:pPr>
        <w:pStyle w:val="TextBody"/>
        <w:spacing w:lineRule="auto" w:line="288" w:before="0" w:after="18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Washington, D.C. 20549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SCHEDULE 14A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88" w:before="0" w:after="180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Proxy Statement Pursuant to Section 14(a) of the Securities Exchange Act of 1934 </w:t>
      </w:r>
    </w:p>
    <w:p>
      <w:pPr>
        <w:pStyle w:val="TextBody"/>
        <w:spacing w:lineRule="auto" w:line="268" w:before="0" w:after="180"/>
        <w:jc w:val="center"/>
        <w:rPr/>
      </w:pPr>
      <w:r>
        <w:rPr>
          <w:rFonts w:ascii="Times New Roman;sans-serif" w:hAnsi="Times New Roman;sans-serif"/>
          <w:b/>
          <w:color w:val="000000"/>
          <w:sz w:val="32"/>
        </w:rPr>
        <w:t>(Amendment No.</w:t>
      </w:r>
      <w:r>
        <w:rPr>
          <w:color w:val="000000"/>
        </w:rPr>
        <w:t xml:space="preserve"> </w:t>
      </w:r>
      <w:r>
        <w:rPr>
          <w:rFonts w:ascii="Times New Roman;sans-serif" w:hAnsi="Times New Roman;sans-serif"/>
          <w:b/>
          <w:color w:val="000000"/>
          <w:sz w:val="32"/>
        </w:rPr>
        <w:t>)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88" w:before="0" w:after="180"/>
        <w:rPr/>
      </w:pPr>
      <w:r>
        <w:rPr>
          <w:rFonts w:ascii="Times New Roman;sans-serif" w:hAnsi="Times New Roman;sans-serif"/>
          <w:b w:val="false"/>
          <w:color w:val="000000"/>
          <w:sz w:val="24"/>
        </w:rPr>
        <w:t xml:space="preserve">Filed by the Registrant </w:t>
      </w:r>
      <w:r>
        <w:rPr>
          <w:color w:val="000000"/>
        </w:rPr>
        <w:t xml:space="preserve">☒ </w:t>
      </w:r>
    </w:p>
    <w:p>
      <w:pPr>
        <w:pStyle w:val="TextBody"/>
        <w:spacing w:lineRule="auto" w:line="288" w:before="0" w:after="180"/>
        <w:rPr/>
      </w:pPr>
      <w:r>
        <w:rPr>
          <w:rFonts w:ascii="Times New Roman;sans-serif" w:hAnsi="Times New Roman;sans-serif"/>
          <w:b w:val="false"/>
          <w:color w:val="000000"/>
          <w:sz w:val="24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88" w:before="0" w:after="180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Check the appropriate box: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Preliminary Proxy Statement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/>
          <w:color w:val="000000"/>
          <w:sz w:val="24"/>
        </w:rPr>
        <w:t>Confidential, for Use of the Commission Only (as permitted by Rule 14a-6(e)(2))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Definitive Proxy Statement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☒ </w:t>
      </w:r>
      <w:r>
        <w:rPr>
          <w:rFonts w:ascii="Times New Roman;sans-serif" w:hAnsi="Times New Roman;sans-serif"/>
          <w:b w:val="false"/>
          <w:color w:val="000000"/>
          <w:sz w:val="24"/>
        </w:rPr>
        <w:t>Definitive Additional Materials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Soliciting Material under §240.14a-12</w:t>
      </w:r>
    </w:p>
    <w:p>
      <w:pPr>
        <w:pStyle w:val="TextBody"/>
        <w:spacing w:lineRule="auto" w:line="240" w:before="400" w:after="283"/>
        <w:jc w:val="center"/>
        <w:rPr>
          <w:rFonts w:ascii="Times New Roman;sans-serif" w:hAnsi="Times New Roman;sans-serif"/>
          <w:b/>
          <w:color w:val="000000"/>
          <w:sz w:val="48"/>
        </w:rPr>
      </w:pPr>
      <w:r>
        <w:rPr>
          <w:rFonts w:ascii="Times New Roman;sans-serif" w:hAnsi="Times New Roman;sans-serif"/>
          <w:b/>
          <w:color w:val="000000"/>
          <w:sz w:val="48"/>
        </w:rPr>
        <w:t>PERELLA WEINBERG PARTNERS</w:t>
      </w:r>
    </w:p>
    <w:p>
      <w:pPr>
        <w:pStyle w:val="TextBody"/>
        <w:spacing w:lineRule="auto" w:line="288" w:before="400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>(Name of Registrant as Specified In Its Charter)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40" w:before="0" w:after="180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Payment of Filing Fee (Check all boxes that apply):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☒ </w:t>
      </w:r>
      <w:r>
        <w:rPr>
          <w:rFonts w:ascii="Times New Roman;sans-serif" w:hAnsi="Times New Roman;sans-serif"/>
          <w:b w:val="false"/>
          <w:color w:val="000000"/>
          <w:sz w:val="24"/>
        </w:rPr>
        <w:t>No fee required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Fee paid previously with preliminary materials</w:t>
      </w:r>
    </w:p>
    <w:p>
      <w:pPr>
        <w:pStyle w:val="TextBody"/>
        <w:spacing w:lineRule="auto" w:line="288" w:before="0" w:after="180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Fee computed on table in exhibit required by Item 25(b) per Exchange Act Rules 14a-6(i)(1) and 0-11</w:t>
      </w:r>
      <w:r>
        <w:br w:type="page"/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rPr/>
      </w:pPr>
      <w:r>
        <w:rPr/>
        <w:drawing>
          <wp:inline distT="0" distB="63500" distL="0" distR="0">
            <wp:extent cx="6353175" cy="82296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rPr/>
      </w:pPr>
      <w:r>
        <w:rPr/>
        <w:drawing>
          <wp:inline distT="0" distB="63500" distL="0" distR="0">
            <wp:extent cx="6353175" cy="82296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124</Words>
  <CharactersWithSpaces>774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