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6089.xml.htm"/>
      <w:bookmarkStart w:id="1" w:name="kswkform4_17883860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Bednar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767 FIFTH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Perella Weinberg Partners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PWP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968,964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2,030,224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31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1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31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7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7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Performance-Based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968,964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968,964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performance-based restricted stock unit ("PSU")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performance-based restricted stock unit ("PSU") represents a contingent right to receive one share of Class A common stock. PSUs vest based on the achievement of (i) service-based vesting conditions that are satisfied in two equal installments on the third and fifth anniversaries of the grant date, subject to a 50% holdback after the first vesting date, and (ii) performance-based vesting conditions that are satisfied upon the achievement, as measured on the last calendar day of each month, of closing stock prices equal to $15, $20, $25 and $30 (subject to linear interpolation) for 20 out of any 30 consecutive trading days, in each case prior to the fifth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PSUs vested on August 31, 2026, upon the achievement of certain service-based and performance-based vesting conditions.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Justin Kamen, Authorized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860" TargetMode="External"/><Relationship Id="rId5" Type="http://schemas.openxmlformats.org/officeDocument/2006/relationships/hyperlink" Target="http://www.sec.gov/cgi-bin/browse-edgar?action=getcompany&amp;CIK=0001777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736</Words>
  <Characters>3972</Characters>
  <CharactersWithSpaces>4626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