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480" w:hanging="440"/>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4"/>
          <w:szCs w:val="24"/>
          <w:color w:val="auto"/>
        </w:rPr>
      </w:pPr>
    </w:p>
    <w:p>
      <w:pPr>
        <w:ind w:left="480" w:hanging="440"/>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5" w:lineRule="exact"/>
        <w:rPr>
          <w:sz w:val="24"/>
          <w:szCs w:val="24"/>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6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4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0" w:lineRule="exact"/>
        <w:rPr>
          <w:sz w:val="24"/>
          <w:szCs w:val="24"/>
          <w:color w:val="auto"/>
        </w:rPr>
      </w:pPr>
    </w:p>
    <w:tbl>
      <w:tblPr>
        <w:tblLayout w:type="fixed"/>
        <w:tblInd w:w="2200" w:type="dxa"/>
        <w:tblCellMar>
          <w:top w:w="0" w:type="dxa"/>
          <w:left w:w="0" w:type="dxa"/>
          <w:bottom w:w="0" w:type="dxa"/>
          <w:right w:w="0" w:type="dxa"/>
        </w:tblCellMar>
      </w:tblPr>
      <w:tr>
        <w:trPr>
          <w:trHeight w:val="23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84-1770732</w:t>
            </w:r>
          </w:p>
        </w:tc>
      </w:tr>
      <w:tr>
        <w:trPr>
          <w:trHeight w:val="26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20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77"/>
        </w:trPr>
        <w:tc>
          <w:tcPr>
            <w:tcW w:w="410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040" w:type="dxa"/>
            <w:vAlign w:val="bottom"/>
          </w:tcPr>
          <w:p>
            <w:pPr>
              <w:spacing w:after="0"/>
              <w:rPr>
                <w:sz w:val="24"/>
                <w:szCs w:val="24"/>
                <w:color w:val="auto"/>
              </w:rPr>
            </w:pPr>
          </w:p>
        </w:tc>
      </w:tr>
      <w:tr>
        <w:trPr>
          <w:trHeight w:val="23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04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10153</w:t>
            </w:r>
          </w:p>
        </w:tc>
      </w:tr>
      <w:tr>
        <w:trPr>
          <w:trHeight w:val="166"/>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4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7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1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PWP</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6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1160"/>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1160"/>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rPr>
              <w:t>o</w:t>
            </w:r>
          </w:p>
        </w:tc>
      </w:tr>
      <w:tr>
        <w:trPr>
          <w:trHeight w:val="216"/>
        </w:trPr>
        <w:tc>
          <w:tcPr>
            <w:tcW w:w="2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54"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0" w:lineRule="exact"/>
        <w:rPr>
          <w:sz w:val="24"/>
          <w:szCs w:val="24"/>
          <w:color w:val="auto"/>
        </w:rPr>
      </w:pPr>
    </w:p>
    <w:p>
      <w:pPr>
        <w:spacing w:after="0"/>
        <w:tabs>
          <w:tab w:leader="none" w:pos="79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86"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As of November 5, 2024, the registrant had 56,979,451 shares of Class A common stock, par value $0.0001 per share, and 31,184,026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0" w:type="dxa"/>
            <w:vAlign w:val="bottom"/>
            <w:gridSpan w:val="2"/>
            <w:vMerge w:val="restart"/>
          </w:tcPr>
          <w:p>
            <w:pPr>
              <w:spacing w:after="0"/>
              <w:rPr>
                <w:sz w:val="2"/>
                <w:szCs w:val="2"/>
                <w:color w:val="auto"/>
              </w:rPr>
            </w:pPr>
          </w:p>
        </w:tc>
        <w:tc>
          <w:tcPr>
            <w:tcW w:w="90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gridSpan w:val="3"/>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80" w:type="dxa"/>
            <w:vAlign w:val="bottom"/>
            <w:gridSpan w:val="17"/>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2"/>
                <w:szCs w:val="22"/>
                <w:color w:val="auto"/>
              </w:rPr>
            </w:pPr>
          </w:p>
        </w:tc>
        <w:tc>
          <w:tcPr>
            <w:tcW w:w="600" w:type="dxa"/>
            <w:vAlign w:val="bottom"/>
            <w:gridSpan w:val="2"/>
          </w:tcPr>
          <w:p>
            <w:pPr>
              <w:spacing w:after="0"/>
              <w:rPr>
                <w:sz w:val="22"/>
                <w:szCs w:val="22"/>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 (Unaudited)</w:t>
            </w:r>
          </w:p>
        </w:tc>
        <w:tc>
          <w:tcPr>
            <w:tcW w:w="6700" w:type="dxa"/>
            <w:vAlign w:val="bottom"/>
            <w:gridSpan w:val="10"/>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Financial Condition as of September 30, 2024 and December 31, 2023</w:t>
            </w:r>
          </w:p>
        </w:tc>
        <w:tc>
          <w:tcPr>
            <w:tcW w:w="1160" w:type="dxa"/>
            <w:vAlign w:val="bottom"/>
            <w:gridSpan w:val="4"/>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2024 and 2023</w:t>
            </w:r>
          </w:p>
        </w:tc>
        <w:tc>
          <w:tcPr>
            <w:tcW w:w="440" w:type="dxa"/>
            <w:vAlign w:val="bottom"/>
            <w:gridSpan w:val="3"/>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 30,</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94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140" w:type="dxa"/>
            <w:vAlign w:val="bottom"/>
            <w:gridSpan w:val="2"/>
          </w:tcPr>
          <w:p>
            <w:pPr>
              <w:spacing w:after="0"/>
              <w:rPr>
                <w:sz w:val="18"/>
                <w:szCs w:val="18"/>
                <w:color w:val="auto"/>
              </w:rPr>
            </w:pPr>
          </w:p>
        </w:tc>
        <w:tc>
          <w:tcPr>
            <w:tcW w:w="9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and Redeemable Non-Controlling Interests for the Three and Nine</w:t>
            </w: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Months Ended September 30, 2024 and 2023</w:t>
            </w:r>
          </w:p>
        </w:tc>
        <w:tc>
          <w:tcPr>
            <w:tcW w:w="4740" w:type="dxa"/>
            <w:vAlign w:val="bottom"/>
            <w:gridSpan w:val="8"/>
          </w:tcPr>
          <w:p>
            <w:pPr>
              <w:spacing w:after="0"/>
              <w:rPr>
                <w:sz w:val="18"/>
                <w:szCs w:val="18"/>
                <w:color w:val="auto"/>
              </w:rPr>
            </w:pPr>
          </w:p>
        </w:tc>
        <w:tc>
          <w:tcPr>
            <w:tcW w:w="9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960" w:type="dxa"/>
            <w:vAlign w:val="bottom"/>
            <w:tcBorders>
              <w:left w:val="single" w:sz="8" w:color="0000FF"/>
            </w:tcBorders>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160" w:type="dxa"/>
            <w:vAlign w:val="bottom"/>
            <w:gridSpan w:val="4"/>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00" w:type="dxa"/>
            <w:vAlign w:val="bottom"/>
            <w:gridSpan w:val="3"/>
          </w:tcPr>
          <w:p>
            <w:pPr>
              <w:spacing w:after="0"/>
              <w:rPr>
                <w:sz w:val="22"/>
                <w:szCs w:val="22"/>
                <w:color w:val="auto"/>
              </w:rPr>
            </w:pPr>
          </w:p>
        </w:tc>
        <w:tc>
          <w:tcPr>
            <w:tcW w:w="6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20" w:type="dxa"/>
            <w:vAlign w:val="bottom"/>
            <w:gridSpan w:val="5"/>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600" w:type="dxa"/>
            <w:vAlign w:val="bottom"/>
            <w:gridSpan w:val="2"/>
          </w:tcPr>
          <w:p>
            <w:pPr>
              <w:spacing w:after="0"/>
              <w:rPr>
                <w:sz w:val="22"/>
                <w:szCs w:val="22"/>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20" w:type="dxa"/>
            <w:vAlign w:val="bottom"/>
            <w:gridSpan w:val="7"/>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20" w:type="dxa"/>
            <w:vAlign w:val="bottom"/>
            <w:gridSpan w:val="4"/>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20" w:type="dxa"/>
            <w:vAlign w:val="bottom"/>
            <w:tcBorders>
              <w:top w:val="single" w:sz="8" w:color="0000FF"/>
            </w:tcBorders>
            <w:gridSpan w:val="2"/>
          </w:tcPr>
          <w:p>
            <w:pPr>
              <w:spacing w:after="0"/>
              <w:rPr>
                <w:sz w:val="22"/>
                <w:szCs w:val="22"/>
                <w:color w:val="auto"/>
              </w:rPr>
            </w:pPr>
          </w:p>
        </w:tc>
        <w:tc>
          <w:tcPr>
            <w:tcW w:w="480" w:type="dxa"/>
            <w:vAlign w:val="bottom"/>
          </w:tcPr>
          <w:p>
            <w:pPr>
              <w:spacing w:after="0"/>
              <w:rPr>
                <w:sz w:val="22"/>
                <w:szCs w:val="22"/>
                <w:color w:val="auto"/>
              </w:rPr>
            </w:pP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60" w:type="dxa"/>
            <w:vAlign w:val="bottom"/>
            <w:gridSpan w:val="11"/>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20" w:type="dxa"/>
            <w:vAlign w:val="bottom"/>
            <w:tcBorders>
              <w:top w:val="single" w:sz="8" w:color="0000FF"/>
            </w:tcBorders>
            <w:gridSpan w:val="2"/>
          </w:tcPr>
          <w:p>
            <w:pPr>
              <w:spacing w:after="0"/>
              <w:rPr>
                <w:sz w:val="22"/>
                <w:szCs w:val="22"/>
                <w:color w:val="auto"/>
              </w:rPr>
            </w:pPr>
          </w:p>
        </w:tc>
        <w:tc>
          <w:tcPr>
            <w:tcW w:w="480" w:type="dxa"/>
            <w:vAlign w:val="bottom"/>
          </w:tcPr>
          <w:p>
            <w:pPr>
              <w:spacing w:after="0"/>
              <w:rPr>
                <w:sz w:val="22"/>
                <w:szCs w:val="22"/>
                <w:color w:val="auto"/>
              </w:rPr>
            </w:pPr>
          </w:p>
        </w:tc>
        <w:tc>
          <w:tcPr>
            <w:tcW w:w="23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60" w:type="dxa"/>
            <w:vAlign w:val="bottom"/>
            <w:tcBorders>
              <w:top w:val="single" w:sz="8" w:color="0000FF"/>
            </w:tcBorders>
            <w:gridSpan w:val="2"/>
          </w:tcPr>
          <w:p>
            <w:pPr>
              <w:spacing w:after="0"/>
              <w:rPr>
                <w:sz w:val="22"/>
                <w:szCs w:val="22"/>
                <w:color w:val="auto"/>
              </w:rPr>
            </w:pPr>
          </w:p>
        </w:tc>
        <w:tc>
          <w:tcPr>
            <w:tcW w:w="4740" w:type="dxa"/>
            <w:vAlign w:val="bottom"/>
            <w:gridSpan w:val="8"/>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700" w:type="dxa"/>
            <w:vAlign w:val="bottom"/>
            <w:gridSpan w:val="3"/>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700" w:type="dxa"/>
            <w:vAlign w:val="bottom"/>
            <w:gridSpan w:val="3"/>
          </w:tcPr>
          <w:p>
            <w:pPr>
              <w:spacing w:after="0"/>
              <w:rPr>
                <w:sz w:val="22"/>
                <w:szCs w:val="22"/>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20" w:type="dxa"/>
            <w:vAlign w:val="bottom"/>
            <w:gridSpan w:val="12"/>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700" w:type="dxa"/>
            <w:vAlign w:val="bottom"/>
            <w:gridSpan w:val="3"/>
          </w:tcPr>
          <w:p>
            <w:pPr>
              <w:spacing w:after="0"/>
              <w:rPr>
                <w:sz w:val="22"/>
                <w:szCs w:val="22"/>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22"/>
                <w:szCs w:val="22"/>
                <w:color w:val="auto"/>
              </w:rPr>
            </w:pPr>
          </w:p>
        </w:tc>
        <w:tc>
          <w:tcPr>
            <w:tcW w:w="7760" w:type="dxa"/>
            <w:vAlign w:val="bottom"/>
            <w:gridSpan w:val="13"/>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June 24, 2021 (the “Closing Date” or the “Closing”), Perella Weinberg Partners consummated a business combination pursuant to that certain Business Combination Agreement, dated as of December 29, 2020 (the “Business Combination Agreement”). Unless the context otherwise requires,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“PWP,” the “Company,” “we,” “us” or “our” refer to Perella Weinberg Partners and its consolidated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statements made in this Quarterly Report on Form 10-Q are “forward-looking statements” within the meaning of the federal securities laws,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important factors, many of which are outside the control of the parties, that could cause actual results or outcomes to differ materially from those discussed in the forward-looking statements.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(but are not limited to): changing market conditions;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industry and U.S. and foreign regulatory developments relating to, among other things, financial institutions and markets, government oversight, fiscal and tax policy and laws; and other risks and uncertainties described under the section entitled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 included in our Annual Report on Form 10-K.</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future events or otherwise, except as may be required under applicable securities laws.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6"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Per Unit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247,171</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47,771</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93,652</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30,871</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143,365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143,935</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 net</w:t>
            </w: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r>
      <w:tr>
        <w:trPr>
          <w:trHeight w:val="277"/>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810,917</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249,907</w:t>
            </w:r>
          </w:p>
        </w:tc>
        <w:tc>
          <w:tcPr>
            <w:tcW w:w="1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233,927</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52,106</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175,901</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569,189</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492,862</w:t>
            </w:r>
          </w:p>
        </w:tc>
      </w:tr>
      <w:tr>
        <w:trPr>
          <w:trHeight w:val="27"/>
        </w:trPr>
        <w:tc>
          <w:tcPr>
            <w:tcW w:w="7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31,184,026 units at redemption value of $19.32 per unit as of</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52"/>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70,342,426 issued</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4"/>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56,979,451 outstanding at September 30, 2024; 1,500,000,000 shares authorized, 57,361,073 issued and</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44,642,849 outstanding at December 31, 2023)</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31,184,026 issued and</w:t>
            </w: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September 30, 2024; 600,000,000 shares authorized, 41,589,339 issued and outstanding at</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2"/>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8"/>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September 30, 2024 and December 31, 2023)</w:t>
            </w:r>
          </w:p>
        </w:tc>
        <w:tc>
          <w:tcPr>
            <w:tcW w:w="4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312,523</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(54,650)</w:t>
            </w:r>
          </w:p>
        </w:tc>
      </w:tr>
      <w:tr>
        <w:trPr>
          <w:trHeight w:val="27"/>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52"/>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(13,362,975 and 12,718,224 shares of Class A common stock at September 30, 2024</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8"/>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(100,747)</w:t>
            </w:r>
          </w:p>
        </w:tc>
      </w:tr>
      <w:tr>
        <w:trPr>
          <w:trHeight w:val="27"/>
        </w:trPr>
        <w:tc>
          <w:tcPr>
            <w:tcW w:w="7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152,656</w:t>
            </w:r>
          </w:p>
        </w:tc>
      </w:tr>
      <w:tr>
        <w:trPr>
          <w:trHeight w:val="25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115,590</w:t>
            </w:r>
          </w:p>
        </w:tc>
      </w:tr>
      <w:tr>
        <w:trPr>
          <w:trHeight w:val="27"/>
        </w:trPr>
        <w:tc>
          <w:tcPr>
            <w:tcW w:w="7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268,246</w:t>
            </w:r>
          </w:p>
        </w:tc>
      </w:tr>
      <w:tr>
        <w:trPr>
          <w:trHeight w:val="277"/>
        </w:trPr>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equity</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810,917</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r>
      <w:tr>
        <w:trPr>
          <w:trHeight w:val="20"/>
        </w:trPr>
        <w:tc>
          <w:tcPr>
            <w:tcW w:w="7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59" w:right="3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40"/>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0"/>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652,367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435,974</w:t>
            </w: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261,051</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132,775</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393,826</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 and occupancy</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20,858</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r>
      <w:tr>
        <w:trPr>
          <w:trHeight w:val="25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242,348</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752,268</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507,108</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w:t>
            </w: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income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4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5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(23,929)</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(96,042)</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(68,876)</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5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(122,002)</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(69,428)</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(62,615)</w:t>
            </w:r>
          </w:p>
        </w:tc>
      </w:tr>
      <w:tr>
        <w:trPr>
          <w:trHeight w:val="27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10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(85,502)</w:t>
            </w:r>
          </w:p>
        </w:tc>
        <w:tc>
          <w:tcPr>
            <w:tcW w:w="10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5"/>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9"/>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Class A common stock outstanding</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55,513,159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53,115,490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42,731,252</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69,795,656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86,647,697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53,115,490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86,593,581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(69,428)</w:t>
            </w:r>
          </w:p>
        </w:tc>
        <w:tc>
          <w:tcPr>
            <w:tcW w:w="0" w:type="dxa"/>
            <w:vAlign w:val="bottom"/>
          </w:tcPr>
          <w:p>
            <w:pPr>
              <w:spacing w:after="0"/>
              <w:rPr>
                <w:sz w:val="1"/>
                <w:szCs w:val="1"/>
                <w:color w:val="auto"/>
              </w:rPr>
            </w:pPr>
          </w:p>
        </w:tc>
      </w:tr>
      <w:tr>
        <w:trPr>
          <w:trHeight w:val="257"/>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(68,706)</w:t>
            </w:r>
          </w:p>
        </w:tc>
        <w:tc>
          <w:tcPr>
            <w:tcW w:w="0" w:type="dxa"/>
            <w:vAlign w:val="bottom"/>
          </w:tcPr>
          <w:p>
            <w:pPr>
              <w:spacing w:after="0"/>
              <w:rPr>
                <w:sz w:val="1"/>
                <w:szCs w:val="1"/>
                <w:color w:val="auto"/>
              </w:rPr>
            </w:pPr>
          </w:p>
        </w:tc>
      </w:tr>
      <w:tr>
        <w:trPr>
          <w:trHeight w:val="252"/>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(35,614)</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(62,226)</w:t>
            </w:r>
          </w:p>
        </w:tc>
        <w:tc>
          <w:tcPr>
            <w:tcW w:w="0" w:type="dxa"/>
            <w:vAlign w:val="bottom"/>
          </w:tcPr>
          <w:p>
            <w:pPr>
              <w:spacing w:after="0"/>
              <w:rPr>
                <w:sz w:val="1"/>
                <w:szCs w:val="1"/>
                <w:color w:val="auto"/>
              </w:rPr>
            </w:pPr>
          </w:p>
        </w:tc>
      </w:tr>
      <w:tr>
        <w:trPr>
          <w:trHeight w:val="22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(83,890)</w:t>
            </w:r>
          </w:p>
        </w:tc>
        <w:tc>
          <w:tcPr>
            <w:tcW w:w="10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0" w:type="dxa"/>
            <w:vAlign w:val="bottom"/>
          </w:tcPr>
          <w:p>
            <w:pPr>
              <w:spacing w:after="0"/>
              <w:rPr>
                <w:sz w:val="1"/>
                <w:szCs w:val="1"/>
                <w:color w:val="auto"/>
              </w:rPr>
            </w:pPr>
          </w:p>
        </w:tc>
      </w:tr>
      <w:tr>
        <w:trPr>
          <w:trHeight w:val="26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340" w:type="dxa"/>
            <w:vAlign w:val="bottom"/>
            <w:tcBorders>
              <w:bottom w:val="single" w:sz="8" w:color="auto"/>
            </w:tcBorders>
            <w:vMerge w:val="continue"/>
            <w:shd w:val="clear" w:color="auto" w:fill="CCEEFF"/>
          </w:tcPr>
          <w:p>
            <w:pPr>
              <w:spacing w:after="0"/>
              <w:rPr>
                <w:sz w:val="23"/>
                <w:szCs w:val="23"/>
                <w:color w:val="auto"/>
              </w:rPr>
            </w:pPr>
          </w:p>
        </w:tc>
        <w:tc>
          <w:tcPr>
            <w:tcW w:w="11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vMerge w:val="continue"/>
            <w:shd w:val="clear" w:color="auto" w:fill="CCEEFF"/>
          </w:tcPr>
          <w:p>
            <w:pPr>
              <w:spacing w:after="0"/>
              <w:rPr>
                <w:sz w:val="23"/>
                <w:szCs w:val="23"/>
                <w:color w:val="auto"/>
              </w:rPr>
            </w:pPr>
          </w:p>
        </w:tc>
        <w:tc>
          <w:tcPr>
            <w:tcW w:w="9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vMerge w:val="continue"/>
            <w:shd w:val="clear" w:color="auto" w:fill="CCEEFF"/>
          </w:tcPr>
          <w:p>
            <w:pPr>
              <w:spacing w:after="0"/>
              <w:rPr>
                <w:sz w:val="23"/>
                <w:szCs w:val="23"/>
                <w:color w:val="auto"/>
              </w:rPr>
            </w:pPr>
          </w:p>
        </w:tc>
        <w:tc>
          <w:tcPr>
            <w:tcW w:w="11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vMerge w:val="continue"/>
            <w:shd w:val="clear" w:color="auto" w:fill="CCEEFF"/>
          </w:tcPr>
          <w:p>
            <w:pPr>
              <w:spacing w:after="0"/>
              <w:rPr>
                <w:sz w:val="23"/>
                <w:szCs w:val="23"/>
                <w:color w:val="auto"/>
              </w:rPr>
            </w:pPr>
          </w:p>
        </w:tc>
        <w:tc>
          <w:tcPr>
            <w:tcW w:w="94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60" w:type="dxa"/>
            <w:vAlign w:val="bottom"/>
          </w:tcPr>
          <w:p>
            <w:pPr>
              <w:spacing w:after="0"/>
              <w:rPr>
                <w:sz w:val="3"/>
                <w:szCs w:val="3"/>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60" w:type="dxa"/>
            <w:vAlign w:val="bottom"/>
          </w:tcPr>
          <w:p>
            <w:pPr>
              <w:spacing w:after="0"/>
              <w:rPr>
                <w:sz w:val="9"/>
                <w:szCs w:val="9"/>
                <w:color w:val="auto"/>
              </w:rPr>
            </w:pPr>
          </w:p>
        </w:tc>
        <w:tc>
          <w:tcPr>
            <w:tcW w:w="7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0" w:type="dxa"/>
            <w:vAlign w:val="bottom"/>
          </w:tcPr>
          <w:p>
            <w:pPr>
              <w:spacing w:after="0"/>
              <w:rPr>
                <w:sz w:val="1"/>
                <w:szCs w:val="1"/>
                <w:color w:val="auto"/>
              </w:rPr>
            </w:pPr>
          </w:p>
        </w:tc>
      </w:tr>
      <w:tr>
        <w:trPr>
          <w:trHeight w:val="155"/>
        </w:trPr>
        <w:tc>
          <w:tcPr>
            <w:tcW w:w="212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8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4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3"/>
                <w:szCs w:val="13"/>
                <w:color w:val="auto"/>
              </w:rPr>
            </w:pPr>
          </w:p>
        </w:tc>
        <w:tc>
          <w:tcPr>
            <w:tcW w:w="6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0" w:type="dxa"/>
            <w:vAlign w:val="bottom"/>
          </w:tcPr>
          <w:p>
            <w:pPr>
              <w:spacing w:after="0"/>
              <w:rPr>
                <w:sz w:val="1"/>
                <w:szCs w:val="1"/>
                <w:color w:val="auto"/>
              </w:rPr>
            </w:pPr>
          </w:p>
        </w:tc>
      </w:tr>
      <w:tr>
        <w:trPr>
          <w:trHeight w:val="169"/>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57,361,073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41,589,339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(12,718,224)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312,523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(54,650)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115,590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268,246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(35,844)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33,371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13,942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47,313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PWP Incentive Plan Awards</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2,086,273</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113,673</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(5,265)</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in public</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offering (Note 9—Stockholders’ Equity and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5,750,000</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65,986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65,987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corresponding Class B common stock for</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A common stock (Note 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Stockholders’ Equity and Redeemable Non-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794,146</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(793,354)</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25,168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2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65,991,492</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40,795,985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(12,604,551)</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(99,383)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362,377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(95,980)</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117,110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279,021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Effect of the Merger and related transactions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(6,149,211)</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(109,737)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97,496</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(66,028)</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(66,028)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(14,817)</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60,794</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PWP Incentive Plan Awards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123,733</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25,027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 and equity-classified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ACUs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(12,534)</w:t>
            </w: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99"/>
              </w:rPr>
              <w:t>corresponding Class B common stock for cash</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(Note 9—Stockholders’ Equity and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(1,343,257)</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(7,373)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(10,862)</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37,735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37,735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(37,735)</w:t>
            </w: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Changes in redemption value of redeemable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non-controlling interests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(426,305)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(426,305)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426,305</w:t>
            </w:r>
          </w:p>
        </w:tc>
        <w:tc>
          <w:tcPr>
            <w:tcW w:w="0" w:type="dxa"/>
            <w:vAlign w:val="bottom"/>
          </w:tcPr>
          <w:p>
            <w:pPr>
              <w:spacing w:after="0"/>
              <w:rPr>
                <w:sz w:val="1"/>
                <w:szCs w:val="1"/>
                <w:color w:val="auto"/>
              </w:rPr>
            </w:pPr>
          </w:p>
        </w:tc>
      </w:tr>
      <w:tr>
        <w:trPr>
          <w:trHeight w:val="35"/>
        </w:trPr>
        <w:tc>
          <w:tcPr>
            <w:tcW w:w="212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66,115,225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33,303,517</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(13,579,524)</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(114,082)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4,115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(167,852)</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(282,975)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506,366</w:t>
            </w:r>
          </w:p>
        </w:tc>
        <w:tc>
          <w:tcPr>
            <w:tcW w:w="0" w:type="dxa"/>
            <w:vAlign w:val="bottom"/>
          </w:tcPr>
          <w:p>
            <w:pPr>
              <w:spacing w:after="0"/>
              <w:rPr>
                <w:sz w:val="1"/>
                <w:szCs w:val="1"/>
                <w:color w:val="auto"/>
              </w:rPr>
            </w:pPr>
          </w:p>
        </w:tc>
      </w:tr>
      <w:tr>
        <w:trPr>
          <w:trHeight w:val="153"/>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16,370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16,370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12,473</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Reclassification of liability-classified equity-</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based awards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6,704</w:t>
            </w: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28,347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28,347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(10,990)</w:t>
            </w: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PWP Incentive Plan Awards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2,105,592</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216,549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(35,580)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(35,580)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1,406</w:t>
            </w: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corresponding Class B common stock for</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A common stock (Note 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Stockholders’ Equity and Redeemable Non-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2,121,609</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(2,119,491)</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2,360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2,360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2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13,749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(13,749)</w:t>
            </w:r>
          </w:p>
        </w:tc>
        <w:tc>
          <w:tcPr>
            <w:tcW w:w="0" w:type="dxa"/>
            <w:vAlign w:val="bottom"/>
          </w:tcPr>
          <w:p>
            <w:pPr>
              <w:spacing w:after="0"/>
              <w:rPr>
                <w:sz w:val="1"/>
                <w:szCs w:val="1"/>
                <w:color w:val="auto"/>
              </w:rPr>
            </w:pPr>
          </w:p>
        </w:tc>
      </w:tr>
      <w:tr>
        <w:trPr>
          <w:trHeight w:val="35"/>
        </w:trPr>
        <w:tc>
          <w:tcPr>
            <w:tcW w:w="2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Changes in redemption value of redeemable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non-controlling interests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(10,912)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(89,387)</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(100,299)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100,299</w:t>
            </w:r>
          </w:p>
        </w:tc>
        <w:tc>
          <w:tcPr>
            <w:tcW w:w="0" w:type="dxa"/>
            <w:vAlign w:val="bottom"/>
          </w:tcPr>
          <w:p>
            <w:pPr>
              <w:spacing w:after="0"/>
              <w:rPr>
                <w:sz w:val="1"/>
                <w:szCs w:val="1"/>
                <w:color w:val="auto"/>
              </w:rPr>
            </w:pPr>
          </w:p>
        </w:tc>
      </w:tr>
      <w:tr>
        <w:trPr>
          <w:trHeight w:val="178"/>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2024</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70,342,426</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31,184,026</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(13,362,975)</w:t>
            </w: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(111,484)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(246,433)</w:t>
            </w: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(2,868)</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(360,775)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602,503</w:t>
            </w:r>
          </w:p>
        </w:tc>
        <w:tc>
          <w:tcPr>
            <w:tcW w:w="0" w:type="dxa"/>
            <w:vAlign w:val="bottom"/>
          </w:tcPr>
          <w:p>
            <w:pPr>
              <w:spacing w:after="0"/>
              <w:rPr>
                <w:sz w:val="1"/>
                <w:szCs w:val="1"/>
                <w:color w:val="auto"/>
              </w:rPr>
            </w:pPr>
          </w:p>
        </w:tc>
      </w:tr>
      <w:tr>
        <w:trPr>
          <w:trHeight w:val="25"/>
        </w:trPr>
        <w:tc>
          <w:tcPr>
            <w:tcW w:w="2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17" w:right="339" w:bottom="1440" w:gutter="0" w:footer="0" w:header="0"/>
        </w:sectPr>
      </w:pP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40" w:type="dxa"/>
            <w:vAlign w:val="bottom"/>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9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52,237,247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44,563,877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(10,492,286)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(80,067)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242,129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122,678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260,140</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(22,297)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(27,420)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27,932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48,266</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(3,119)</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1,250,162</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99,057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Plan 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(11,356)</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(4,756)</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1,585</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8"/>
              </w:rPr>
              <w:t>(Note 9—Stockholders’ Equity and Redeemable Non-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786,644</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(785,862)</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457</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(1,457,304)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(14,754)</w:t>
            </w:r>
          </w:p>
        </w:tc>
        <w:tc>
          <w:tcPr>
            <w:tcW w:w="0" w:type="dxa"/>
            <w:vAlign w:val="bottom"/>
          </w:tcPr>
          <w:p>
            <w:pPr>
              <w:spacing w:after="0"/>
              <w:rPr>
                <w:sz w:val="1"/>
                <w:szCs w:val="1"/>
                <w:color w:val="auto"/>
              </w:rPr>
            </w:pPr>
          </w:p>
        </w:tc>
      </w:tr>
      <w:tr>
        <w:trPr>
          <w:trHeight w:val="167"/>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54,274,053</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43,778,015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(11,850,533)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(93,632)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260,806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(28,119)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115,700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249,012</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24,173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42,580</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(5,692)</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97,163</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24,386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Plan 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(4,602)</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1,898</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1,524</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(919,379)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(7,735)</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54,371,216</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43,778,015</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(12,745,526)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(101,074)</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279,317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(32,616)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(4,822)</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117,454</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258,268</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(23,738)</w:t>
            </w: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43,442</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(1,378)</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(2,761)</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(2,413)</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710,433</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22,828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Plan 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(4,718)</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98"/>
              </w:rPr>
              <w:t>(Note 9—Stockholders’ Equity and Redeemable Non-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898,898</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(898,000)</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653</w:t>
            </w:r>
          </w:p>
        </w:tc>
        <w:tc>
          <w:tcPr>
            <w:tcW w:w="0" w:type="dxa"/>
            <w:vAlign w:val="bottom"/>
          </w:tcPr>
          <w:p>
            <w:pPr>
              <w:spacing w:after="0"/>
              <w:rPr>
                <w:sz w:val="1"/>
                <w:szCs w:val="1"/>
                <w:color w:val="auto"/>
              </w:rPr>
            </w:pPr>
          </w:p>
        </w:tc>
      </w:tr>
      <w:tr>
        <w:trPr>
          <w:trHeight w:val="167"/>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55,980,547</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42,880,015</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(12,722,698)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290,755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(39,508)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120,560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264,812</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(122,002)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(69,428)</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165,995</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134,288</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Bad debt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10,374</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(96,754)</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83,929</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(12,482)</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(45,504)</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Purchases of investments in short-term marketable debt securities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(74,911)</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(69,261)</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Maturities of investments in short-term marketable debt securities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91,188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140,551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26,274</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issuance of Class A common stock in public offering, net of underwriting discount and offering costs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Withholding tax payments for vested PWP Incentive Plan Awards and equity-classified ACUs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(73,946)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(15,709)</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(11,224)</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(10,087)</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Payments pursuant to tax receivable agreement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(74,367)</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(59,981)</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11,395</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(44,965)</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174,166</w:t>
            </w:r>
          </w:p>
        </w:tc>
        <w:tc>
          <w:tcPr>
            <w:tcW w:w="0" w:type="dxa"/>
            <w:vAlign w:val="bottom"/>
          </w:tcPr>
          <w:p>
            <w:pPr>
              <w:spacing w:after="0"/>
              <w:rPr>
                <w:sz w:val="1"/>
                <w:szCs w:val="1"/>
                <w:color w:val="auto"/>
              </w:rPr>
            </w:pPr>
          </w:p>
        </w:tc>
      </w:tr>
      <w:tr>
        <w:trPr>
          <w:trHeight w:val="232"/>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261,497</w:t>
            </w:r>
          </w:p>
        </w:tc>
        <w:tc>
          <w:tcPr>
            <w:tcW w:w="1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129,201</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10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distributions to partners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9,633</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dividends and dividend equivalent units on unvested PWP Incentive Plan Awards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paydown of Partner promissory notes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tax effect resulting from changes in ownership and exchanges of PWP OpCo Units, net of amounts payable under tax</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receivable agreement</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 of liability-classified equity-based awards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10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(refunded) for income taxes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2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2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global independent advisory firm that provides strategic and financial advice to a wide range of clients. The Company’s activities as an investment banking advisory firm constitute a single business segment that provides a range of advisory services, including advice related to strategic and financial decisions, mergers and acquisitions (“M&amp;A”) execution, shareholder and defense advisory, financing and capital solutions advice with resources focused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restructuring and liability management, capital markets advisory, private capital placement, as well as specialized underwriting and research services primarily for the energy and related industries.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24, 2021, the Company consummated a business combination pursuant to a Business Combination Agreement that resulted in PWP OpCo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becoming jointly-owned by Perella Weinberg Partners, PWP Professional Partners LP (together with its successors (including pursuant to the Division and Merger (each as defined below)) and assigns, as applicable, “Professional Partners”) and certain existing partners of PWP OpCo as part of an umbrella limited partnership C-corporation (Up-C) structure (the “Business Combination”).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another divided partnership, PWP VoteCo Professionals LP (“VoteCo Professionals”) and (iii) PWP Professional Partners LP changed its name to PWP AmCo Professionals LP. On April 1, 2024, as part of this internal reorganization, AdCo Professionals merged with and into PWP OpCo (the “Merger”). At the time of the Merger, (i) the original capital units (“OCUs”), value capital units (“VCUs”), and alignment capital units (“ACUs”) of AdCo Professionals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 quarterly exchanges in cash or shares at the Company’s discretion. The principal purpose of the internal reorganization was to simplify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 GP”), or any limited partner with respect to PWP OpCo. Refer to Note 9—Stockholders’ Equity and Redeemable Non-Controlling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and Note 11—Equity-Based Compensation for additional information on the Merger and related transactions.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the 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in accordance with generally accepted accounting principles in the United States (“U.S. GAAP”) and all intercompany balances and transactions have been eliminated.</w:t>
      </w:r>
    </w:p>
    <w:p>
      <w:pPr>
        <w:spacing w:after="0" w:line="14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These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financial statements for the year ended December 31, 2023,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policy is to consolidate entities in which the Company has a controlling financial interest and variable interest entities where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VIE. As of September 30, 2024 and December 31, 2023, the net assets of PWP OpCo were $222.1 million and $249.6 million, respectively. As of September 30, 2024 and December 31, 2023, the Company did not consolidate any VIEs other than PWP OpCo.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from those estimates. Estimates and the assumptions underlying these estimates are reviewed periodically, and the effects of revisions are reflected in the period in which they are determined to be necessary.</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preparing the condensed consolidated financial statements, management makes certain estimates regarding the measurement of amounts due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pursuant to the tax receivable agreement, measurement and timing of revenue recognition, assumptions used in the provision for income taxes, measurement of equity-based compensation, expected insurance reimbursements related to litigation costs, evaluation of goodwill and intangible assets, fair value measurement of financial instruments, and other matters that affect the reported amounts and disclosures of contingencies in the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and notes thereto.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include cash held at banks, including interest-bearing money market accounts, and any highly liquid investments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original maturities of three months or less from the date of purchase. Cash account balances often exceed federally insured limits. Restricted cash represents cash that is not readily available for general purpose cash needs. As of September 30, 2024 and December 31, 2023, the Company had restricted cash of $1.3 million and $2.9 million, respectively, maintained as collateral for letters of credit related to certain office leases. As of September 30, 2024,</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held cash equivalents of $20.1 million, which included investments in U.S. Treasury securities. The Company held no cash equivalents as of December 31, 2023. The sum of Cash and cash equivalents and Restricted cash on the Condensed Consolidated Statements of Financial Condition corresponds to the total cash, cash equivalents, and restricted cash presented on the Condensed Consolidated Statements of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the normal course of business, the Company and its subsidiaries may enter into transactions denominated in a non-functional currency. The Company recognized net foreign exchange gains (losses) arising from such transactions of $(2.7) million and $(2.4) million during the three and nine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months ended September 30, 2024, respectively, and $1.9 million and $(0.3) million for the three and nine months ended September 30, 2023, respectively, which are included in Other income (expense) on the Condensed Consolidated Statements of Operations. In addition, the Company consolidates its foreign subsidiaries that have non-U.S. dollar functional currencies. Non-U.S. dollar denominated assets and liabilities are translated to U.S. dollars at the exchange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income (loss) on the Condensed Consolidated Statements of Changes in Equity and Redeemable Non-Controlling Interests.</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Equity-based compensation expense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Condensed Consolidated Statements of Operations and equity-based compensation expense for non-employees is included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Professional fees on the Condensed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portion of the award at each reporting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equity is allocated to holders of the non-controlling interest.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11— Equity-Based Compensation for further information.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a result of the Merger, Non-controlling interests presented within equity on the Condensed Consolidated Statements of Financial Condition were reclassified to Redeemable non-controlling interests within temporary equity. Redeemable non-controlling interests are recorded at the higher of: (i) their redemption value as of the reporting date, which corresponds to the price of the Company’s Class A common stock, or (ii) their measurement pursuant to</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Accounting Standards Codification (“ASC” or the “Codification”) Topic 810, Consolidation. Changes in the current redemption value are recorded to Additional paid-in capital, or Retained earnings (deficit) to the extent there is insufficient Additional paid-in capital, immediately as they occur. When the Company has an unconditional obligation to purchase the Redeemable non-controlling interests for cash, the mandatorily redeemable interests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reclassified from temporary equity to a liability with changes in fair value recorded to Other income (loss) on the Condensed Consolidated Statements of Operations. As of September 30, 2024, there were no non-controlling interests considered mandatorily redeemable.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recently adopted accounting pronouncements that had a material effect on the Company’s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Improvements to Reportable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which amends the guidance in ASC Topic 280, Segment Reporting, to require enhanced disclosures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segments on an annual and interim basis. The amendments will require disclosure of significant segment expenses, identification of the chief operating decision maker (“CODM”), and an explanation of how the CODM uses the reported measure(s) of segment profit or loss in assessing segment</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performance and deciding how to allocate resources. ASU 2023-07 clarifies that an entity that has a single reportable segment is subject to all the disclosures required by the amendments and all existing segment disclosures in Topic 280. The amendments in ASU 2023-07 are effective for the Company beginning with the annual period ended December 31, 2024 and interim periods within the year ended December 31, 2025. The amendments are required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 applied retrospectively to all period presented and early adoption is permitted. The Company does not expect the adoption of ASU 2023-07 to have a material impact on the consolidated financial statements.</w:t>
      </w:r>
    </w:p>
    <w:p>
      <w:pPr>
        <w:spacing w:after="0" w:line="155"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amends the guidance in ASC Topic 740, Income Taxes (“ASC 740”), to improve the transparency of income tax disclosures by requiring (1) consistent</w:t>
      </w:r>
    </w:p>
    <w:p>
      <w:pPr>
        <w:jc w:val="both"/>
        <w:spacing w:after="0" w:line="208" w:lineRule="auto"/>
        <w:rPr>
          <w:sz w:val="20"/>
          <w:szCs w:val="20"/>
          <w:color w:val="auto"/>
        </w:rPr>
      </w:pPr>
      <w:r>
        <w:rPr>
          <w:rFonts w:ascii="Times New Roman" w:cs="Times New Roman" w:eastAsia="Times New Roman" w:hAnsi="Times New Roman"/>
          <w:sz w:val="18"/>
          <w:szCs w:val="18"/>
          <w:color w:val="auto"/>
        </w:rPr>
        <w:t>categories and greater disaggregation of information in the rate reconciliation and (2) income taxes paid disaggregated by jurisdiction. The amendments in ASU 2023-09 are effective for the Company beginning with the annual period ended December 31, 2025. The amendments are to be applied prospectively with both retrospective application and early adoption permitted. The Company does not expect the adoption of ASU 2023-09 to have a material impact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3—Revenue and Receivables from Contracts with Customers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81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0"/>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629,342</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410,246</w:t>
            </w:r>
          </w:p>
        </w:tc>
      </w:tr>
      <w:tr>
        <w:trPr>
          <w:trHeight w:val="25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25,728</w:t>
            </w: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278,242</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652,367</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435,974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Reimbursable expenses billed to clients were $2.5 million and $5.9 million for the three and nine months ended September 30, 2024, respectively, and $1.3 million and $3.7 million for the three and nine months ended September 30,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Contract Balances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the aggregate amount of the transaction price, as defined in the Codification, allocated to performance obligations yet to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satisfied was $0.4 million, and the Company generally expects to recognize this revenue within the next twelve months. Such amounts primarily relate to the Company’s performance obligations of providing transaction-related advisory services. The Company recognized revenue of $140.2 million and $405.6 million during the three and nine months ended September 30, 2024, respectively, and $30.0 million and $211.0 million during the three and nine months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ended September 30, 2023, respectively, related to performance obligations that were satisfied or partially satisfied in prior periods. These amounts were recognized upon the resolution of revenue constraints and uncertainties in the respective periods and were generally related to transaction-related advisory services.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September 30, 2024 and December 31, 2023, the Company recorded $6.9 million and $0.9 million, respectively, for contract liabilities which are presented within Accounts payable, accrued expenses and other liabilities on the Condensed Consolidated Statements of Financial Condition. The Company recognized previously deferred revenue of $6.7 million and $0.7 million for the three and nine months ended September 30, 2024, respectively,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$1.0 million and $4.0 million for the three and nine months ended September 30, 2023, respectively, which was primarily related to transaction-related advisory services that are recognized over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September 30, 2024 and December 31, 2023, $12.2 million and $7.1 million, respectively, of accrued revenue was included in Accounts receivable, net of allowance on the Condensed Consolidated Statements of Financial Condition. These amounts have been recognized as revenue in accordance with the Company’s revenue recognition policies but remain unbilled at the end of the period. As of September 30, 2024, certain accounts</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receivable in the aggregate amount of $18.0 million were individually greater than 10% of the Company’s gross accounts receivable and were concentrated with one client. Of that amount, all was subsequently received after September 30, 2024. As of December 31, 2023, certain accounts receivable in the aggregate amount of $17.3 million, were individually greater than 10% of the Company’s gross accounts receivable and were concentrated with two clients.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that amount, all was subsequently received after year end.</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allowance for credit losses activity for the three and nine months ended September 30, 2024 and 2023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5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7"/>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1"/>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4—Leases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leases office space and equipment under operating lease agreements. The following is information related to such operating leases: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7"/>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4.7%</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13.5 years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14.3 years</w:t>
            </w:r>
          </w:p>
        </w:tc>
      </w:tr>
      <w:tr>
        <w:trPr>
          <w:trHeight w:val="594"/>
        </w:trPr>
        <w:tc>
          <w:tcPr>
            <w:tcW w:w="5020" w:type="dxa"/>
            <w:vAlign w:val="bottom"/>
          </w:tcPr>
          <w:p>
            <w:pPr>
              <w:spacing w:after="0"/>
              <w:rPr>
                <w:sz w:val="24"/>
                <w:szCs w:val="24"/>
                <w:color w:val="auto"/>
              </w:rPr>
            </w:pPr>
          </w:p>
        </w:tc>
        <w:tc>
          <w:tcPr>
            <w:tcW w:w="24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50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6"/>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0"/>
        </w:trPr>
        <w:tc>
          <w:tcPr>
            <w:tcW w:w="50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14,187</w:t>
            </w: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7"/>
        </w:trPr>
        <w:tc>
          <w:tcPr>
            <w:tcW w:w="5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9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9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16,443</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18,466</w:t>
            </w:r>
          </w:p>
        </w:tc>
      </w:tr>
      <w:tr>
        <w:trPr>
          <w:trHeight w:val="27"/>
        </w:trPr>
        <w:tc>
          <w:tcPr>
            <w:tcW w:w="5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3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outflows (inflows) on operating leases</w:t>
            </w:r>
            <w:r>
              <w:rPr>
                <w:rFonts w:ascii="Times New Roman" w:cs="Times New Roman" w:eastAsia="Times New Roman" w:hAnsi="Times New Roman"/>
                <w:sz w:val="23"/>
                <w:szCs w:val="23"/>
                <w:color w:val="auto"/>
                <w:vertAlign w:val="superscript"/>
              </w:rPr>
              <w:t>(1)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24"/>
                <w:szCs w:val="24"/>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(1,222)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1,134</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net of lease incentives received, including landlord contributions to tenant improvements.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30, 2024, the maturities of undiscounted operating lease liabilities of the Company are as follows: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7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2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19,563</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20,953</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176,814</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7"/>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259,327</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(70,928)</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0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future lease payments are presented net of expected lease incentives, including landlord contributions to tenant improvements.</w:t>
      </w:r>
    </w:p>
    <w:p>
      <w:pPr>
        <w:spacing w:after="0" w:line="200" w:lineRule="exact"/>
        <w:rPr>
          <w:sz w:val="20"/>
          <w:szCs w:val="20"/>
          <w:color w:val="auto"/>
        </w:rPr>
      </w:pPr>
    </w:p>
    <w:p>
      <w:pPr>
        <w:spacing w:after="0" w:line="3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5—Intangible Assets</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the detail of the Company’s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735965</wp:posOffset>
            </wp:positionV>
            <wp:extent cx="710628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10628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3"/>
                <w:szCs w:val="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66"/>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3"/>
                <w:szCs w:val="23"/>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(37,130)</w:t>
            </w:r>
          </w:p>
        </w:tc>
        <w:tc>
          <w:tcPr>
            <w:tcW w:w="80" w:type="dxa"/>
            <w:vAlign w:val="bottom"/>
          </w:tcPr>
          <w:p>
            <w:pPr>
              <w:spacing w:after="0"/>
              <w:rPr>
                <w:sz w:val="23"/>
                <w:szCs w:val="23"/>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0" w:type="dxa"/>
            <w:vAlign w:val="bottom"/>
          </w:tcPr>
          <w:p>
            <w:pPr>
              <w:spacing w:after="0"/>
              <w:rPr>
                <w:sz w:val="1"/>
                <w:szCs w:val="1"/>
                <w:color w:val="auto"/>
              </w:rPr>
            </w:pPr>
          </w:p>
        </w:tc>
      </w:tr>
      <w:tr>
        <w:trPr>
          <w:trHeight w:val="283"/>
        </w:trPr>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5"/>
                <w:szCs w:val="15"/>
                <w:color w:val="auto"/>
              </w:rPr>
            </w:pPr>
          </w:p>
        </w:tc>
        <w:tc>
          <w:tcPr>
            <w:tcW w:w="1320" w:type="dxa"/>
            <w:vAlign w:val="bottom"/>
          </w:tcPr>
          <w:p>
            <w:pPr>
              <w:jc w:val="center"/>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3"/>
                <w:szCs w:val="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0"/>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20" w:space="520"/>
            <w:col w:w="5000"/>
          </w:cols>
          <w:pgMar w:left="320" w:top="117" w:right="339" w:bottom="1440" w:gutter="0" w:footer="0" w:header="0"/>
          <w:type w:val="continuous"/>
        </w:sectPr>
      </w:pPr>
    </w:p>
    <w:p>
      <w:pPr>
        <w:spacing w:after="0" w:line="7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intangible assets are being amortized over an average useful life of ten years and resulted in amortization expense of $1.6 million and $4.9 million for the three and nine months ended, respectively, for both September 30, 2024 and 2023, all of which is included in Depreciation and amortization on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Condensed Consolidated Statements of Operations. Amortization of intangible assets held at September 30, 2024 is expected to be $6.6 million for each of the years ending December 31, 2024 and 2025 and $6.0 million for the year ending December 31, 2026. These intangible assets will be fully amortized by November 30,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6—Regulatory Requirements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None of the SEC-regulated subsidiaries hold funds or securities for, or owe money or securities to, clients or carry accounts of or for clients, and as such are all exempt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from the SEC Customer Protection Rule (Rule 15c3-3). As of September 30, 2024 and December 31, 2023, all regulated subsidiaries had capital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7—Fixed Assets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September 30, 2024 and</w:t>
      </w: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r>
      <w:tr>
        <w:trPr>
          <w:trHeight w:val="27"/>
        </w:trPr>
        <w:tc>
          <w:tcPr>
            <w:tcW w:w="7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120,439</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(26,787)</w:t>
            </w:r>
          </w:p>
        </w:tc>
      </w:tr>
      <w:tr>
        <w:trPr>
          <w:trHeight w:val="27"/>
        </w:trPr>
        <w:tc>
          <w:tcPr>
            <w:tcW w:w="7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Depreciation expense related to fixed assets was $3.4 million and $10.3 million for the three and nine months ended September 30, 2024, respectively, and $2.0 million and $5.0 million for the three and nine months ended September 30, 2023, respectively. Amortization expense related to software costs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immaterial for the three and nine months ended September 30, 2024 and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tax position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28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52"/>
        </w:trPr>
        <w:tc>
          <w:tcPr>
            <w:tcW w:w="4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36,351</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(23,929)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(96,042)</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(68,876)</w:t>
            </w:r>
          </w:p>
        </w:tc>
      </w:tr>
      <w:tr>
        <w:trPr>
          <w:trHeight w:val="25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7,508</w:t>
            </w:r>
          </w:p>
        </w:tc>
        <w:tc>
          <w:tcPr>
            <w:tcW w:w="8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25,960</w:t>
            </w:r>
          </w:p>
        </w:tc>
        <w:tc>
          <w:tcPr>
            <w:tcW w:w="8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552</w:t>
            </w: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4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overall effective tax rate in each of the periods presented above varies from the U.S. federal statutory rate primarily because (i)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permanent differences related to compensation expenses.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the Company nor its subsidiaries recognized any gain or loss for income tax purposes as a result of the Division or the Merger.</w:t>
      </w:r>
    </w:p>
    <w:p>
      <w:pPr>
        <w:spacing w:after="0" w:line="18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September 30, 2024 and December 31, 2023, the Company recorded a liability for unrecognized tax benefits of $5.0 million and $3.7 million, respectively, primarily related to potential double taxation at certain of its foreign subsidiaries. The Company does not expect there to be any material</w:t>
      </w:r>
    </w:p>
    <w:p>
      <w:pPr>
        <w:spacing w:after="0" w:line="2" w:lineRule="exact"/>
        <w:rPr>
          <w:sz w:val="20"/>
          <w:szCs w:val="20"/>
          <w:color w:val="auto"/>
        </w:rPr>
      </w:pPr>
    </w:p>
    <w:p>
      <w:pPr>
        <w:ind w:right="5600"/>
        <w:spacing w:after="0" w:line="451" w:lineRule="auto"/>
        <w:rPr>
          <w:sz w:val="20"/>
          <w:szCs w:val="20"/>
          <w:color w:val="auto"/>
        </w:rPr>
      </w:pPr>
      <w:r>
        <w:rPr>
          <w:rFonts w:ascii="Times New Roman" w:cs="Times New Roman" w:eastAsia="Times New Roman" w:hAnsi="Times New Roman"/>
          <w:sz w:val="18"/>
          <w:szCs w:val="18"/>
          <w:color w:val="auto"/>
        </w:rPr>
        <w:t xml:space="preserve">changes to uncertain tax positions within 12 months of the reporting date. </w:t>
      </w:r>
      <w:r>
        <w:rPr>
          <w:rFonts w:ascii="Times New Roman" w:cs="Times New Roman" w:eastAsia="Times New Roman" w:hAnsi="Times New Roman"/>
          <w:sz w:val="18"/>
          <w:szCs w:val="18"/>
          <w:b w:val="1"/>
          <w:bCs w:val="1"/>
          <w:color w:val="auto"/>
        </w:rPr>
        <w:t xml:space="preserve">Note 9—Stockholders’ Equity and Redeemable Non-Controlling Interests </w:t>
      </w:r>
      <w:r>
        <w:rPr>
          <w:rFonts w:ascii="Times New Roman" w:cs="Times New Roman" w:eastAsia="Times New Roman" w:hAnsi="Times New Roman"/>
          <w:sz w:val="18"/>
          <w:szCs w:val="18"/>
          <w:b w:val="1"/>
          <w:bCs w:val="1"/>
          <w:i w:val="1"/>
          <w:iCs w:val="1"/>
          <w:color w:val="auto"/>
        </w:rPr>
        <w:t>Class A Common Stock Offering</w:t>
      </w:r>
    </w:p>
    <w:p>
      <w:pPr>
        <w:spacing w:after="0" w:line="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On March 1, 2024, the Company issued and sold 5,750,000 shares of Class A common stock at a price of $12.00 per share for net proceeds of $66.0 million after deducting underwriting discounts and offering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On June 3, 2024, the Company repurchased 1,000,000 founder shares at a purchase price of $15.00 per share for a total purchase price of $15.0</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million. Since inception of the share repurchase program, 12,920,699 shares have been purchased at an average price per share of $8.22 through September 30, 2024. Prior to the implementation of the stock repurchase program, on August 9, 2021, the Company repurchased 1,000,000 founder shares at a purchase price of $12.00 per share for a total purchase price of $12.0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89"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As a result of the Merger, the Non-controlling interests on the Condensed Consolidated Statements of Financial Condition were reclassified to Redeemable non-controlling interests within temporary equity. Redeemable non-controlling interests are presented at their redemption value as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reporting date and represent the ownership interests in PWP OpCo held by holders other than Perella Weinberg Partners. As of September 30, 2024, the current and former working partners collectively own 31,184,026 PWP OpCo Units, which represent a 35.4% non-controlling ownership interest in PWP OpCo.</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PWP OpCo Units (the “PWP OpCo Unitholders”) other than the Company may exchange their units for (i) shares of Class A common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 on a one-for-one basis or (ii) cash from an offering of shares of Class A common stock and (iii) subsequent to the Merger,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exchange for their PWP OpCo Units and Class B common stock is at the Company’s option. Working partners are restricted in their ability to exchange PWP OpCo Units for a period between three to five years after the Closing. PWP GP may waive, and in certain cases has waived, the foregoing restrictions for any holder with respect to all or a portion of such holder’s units, with no obligation to do so for any other holder. The Company settled exchanges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PWP OpCo Units and corresponding shares of Class B common stock for 2,121,609 and 2,915,755 shares of Class A common stock during the three and nine months ended September 30, 2024, respectively, and 898,898 and 1,685,542 shares of Class A common stock during the three and nine months ended September 30, 2023, respectively. Separately, during the second quarter of 2024, the Company elected to settle exchanges of 1,343,257 PWP</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OpCo Units and corresponding shares of Class B common stock at a price of $15.17 per PWP OpCo Unit for $19.5 million in cash as well as the non-cash settlement of certain partner promissory notes (refer to Note 15—Related Party Transactions for more information). To the extent an exchange creates a step-up in tax basis, the Company records an increase in Deferred tax assets, net, Amounts due pursuant to tax receivable agreement, and Additional paid-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in-capital.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had no outstanding debt. The Company has a revolving credit facility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“Revolving Credit Facility”) through a credit agreement with Cadence Bank, N.A. (“Cadence Bank”), dated November 30, 2016 (as amended, the “Credit Agreement”), with an available line of credit of $50.0 million with up to $20.0 million of available incremental revolving commitments, and a maturity date of July 1, 2025. Issuance costs incurred related to the Credit Agreement are amortized as interest expense using the effective interest method over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life of the Revolving Credit Facility. The Company is also charged a quarterly commitment fee of 0.25% on any unused portion of the line of credit, which is recorded as interest expense. Interest expense related to the Revolving Credit Facility was immaterial during the three and nine months ended September 30, 2024 and September 30, 2023 and is included within Other income (expense) on the Condensed Consolidated Statements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11—Equity-Based Compensation</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Further information regarding the Company’s equity-based compensation awards is described in Note 12—Equity-Based Compensation in the Notes to Consolidated Financial Statements in “Part II. Item 8. Financial Statements and Supplementary Data” in the Company’s Annual Report on Form 10-K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During the third quarter of 2021, in connection with the Business Combination, the Company granted awards (the “Business Combination Awards”) in the form of (a) RSUs that vest upon the achievement of service conditions (“Transaction RSUs”) and (b) PSUs that only vest upon the achievement of both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service and market conditions, including certain long-term incentive awards granted to management (“Transaction PSUs”). During the nine months ended September 30, 2024 and 2023, 4,304,143 and 1,043,650 Business Combination Awards vested with a total fair value of $82.1 million and $10.9 million, respectively. As of September 30, 2024, the $12.00, $13.50, $15.00, and $17.00 price targets were met for the Transaction PSUs.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 During the nine months ended September 30, 2024 and 2023, the Company granted 6,790,317 and 7,971,251 General RSUs, respectively, at a</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weighted average grant date fair value of $13.48 and $10.21 per award, respectively. During the nine months ended September 30, 2024 and 2023, 4,155,180 and 2,704,401 General RSUs vested with a total fair value of $56.1 million and $27.3 million, respectively. During the nine months ended September 30, 2023, the Company granted 1,000,000 General PSUs at a weighted average grant date fair value of $6.02 per award. No General PSUs were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during the nine months ended September 30, 2024. As of September 30, 2024, the $15.00 price target was met for the General PSUs.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Business Combination, Professional Partners granted certain equity-based awards to partners providing services to PWP OpCo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“Legacy Awards”). In connection with the Business Combination and a related internal reorganization of Professional Partners, existing Legacy Awards were canceled and replaced by converting each limited partner’s capital interests in Professional Partners attributable to PWP OpCo into OCUs, VCUs, and/or ACUs. The OCUs were fully vested upon recapitalization. The VCUs and ACUs (collectively, “Professional Partners Awards”) were held by current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working partners and required services to be performed on behalf of PWP OpCo. The Professional Partners Awards were generally subject to a service-based graded vesting schedule over a three to five-year requisite service period. Once vested, the Professional Partners Awards became OCUs, other than the cash-settled ACUs referenced below, and are eligible for the same exchange rights as other PWP OpCo Units, subject to certain lock-up periods. Refer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Note 9—Stockholders’ Equity and Redeemable Non-Controlling Interests for more information on exchange rights.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At the time of the Merger, the Company entered into vesting acceleration agreements with certain holders of Professional Partners Awards (the “Accelerated Units”) to accelerate vesting during the second quarter of 2024 (the “Vesting Acceleration”). The Accelerated Units are generally subject to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lock-up period that is identical to the lockup period applicable to such units prior to the Vesting Acceleration. The Company also provided each holder of Accelerated Units that are ACUs the ability to convert a portion of such holder’s ACUs into cash upon vesting in an aggregate amount up to such holder’s estimated tax liability. The principal purpose of the Vesting Acceleration was to facilitate the payment of taxes associated with ACU vesting to align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 of vested restricted stock units of the Company.</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a result of the Merger and Vesting Acceleration, certain Professional Partners Awards were modified from equity-classified to liability-classified awards with changes in fair value generally recorded as incremental equity-based compensation expense through the date of vesting. During the nine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months ended September 30, 2024, the Company recorded $130.3 million of equity-based compensation expense related to the acceleration of the Professional Partners Awards. Of that amount, $69.5 million was related to liability-classified awards.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Vesting Acceleration, the Company paid or accrued a combined $86.6 million in settlement of 6,149,211 ACUs and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corresponding shares of Class B common stock. Of that amount, the Company paid $60.6 million in settlement of liability-classified ACUs and $15.7 million for withholding tax payments on equity-classified ACUs and the settlement of other liabilities. These amounts are included within cash flows from operating activities and financing activities, respectively, on the Condensed Consolidated Statement of Cash Flows for the nine months ended September 30, 2024. As of September 30, 2024, $10.3 million of withholding taxes payable is included in Accounts payable, accrued expenses and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on the Condensed Consolidated Statement of Financial Condition.</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Prior to the Merger, all of the compensation expense and corresponding capital contribution associated with the Legacy Awards and Professional Partners Awards were allocated to Non-controlling interests on the Condensed Consolidated Statements of Operations and Condensed Consolidated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Statements of Financial Condition as the granting of the Professional Partners Awards did not change Professional Partners’ interest in PWP OpCo and did not economically dilute Perella Weinberg Partners shareholders relative to Professional Partners. As a result of the Merger, the Professional Partners Awards are held directly at PWP OpCo and PWP OpCo as a whole bears the cost of the cash settlement feature of the awards. As a result, subsequent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Merger, the Company allocates the costs associated with the Professional Partners Awards between Perella Weinberg Partners and non-controlling interests in proportion to their ownership interests, which is consistent with the allocation of the other profit and loss activity of PWP OpCo.</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following table presents the expense related to equity-based awards that were recorded in Professional fees and components of Equity-based compensation included on the Condensed Consolidated Statements of Operations: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91,293</w:t>
            </w:r>
          </w:p>
        </w:tc>
        <w:tc>
          <w:tcPr>
            <w:tcW w:w="8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Awards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Partners Awards (equity-classified)</w:t>
            </w: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74,736</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Partners Awards (liability-classified)</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69,501</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42,892</w:t>
            </w: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235,530</w:t>
            </w:r>
          </w:p>
        </w:tc>
        <w:tc>
          <w:tcPr>
            <w:tcW w:w="8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8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related to all unvested equity-based awards was $138.6 million, which is expected to be recognized over a weighted average period of 1.9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12—Other Compensation and Benefits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employees participate in employee benefit plans, which consist of defined contribution plans including (i) profit-sharing plans qualified under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Section 401(k) of the Internal Revenue Code, (ii) a U.K. pension scheme for U.K. employees and (iii) a German pension plan for employees in Germany. Expenses related to the Company’s employee benefit plans were $1.8 million and $5.3 million for the three and nine months ended September 30, 2024, respectively, and $1.7 million and $5.1 million for the three and nine months ended September 30, 2023, respectively, and are included in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benefits on the Condensed Consolidated Statements of Operations.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Realignment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second quarter of 2023, the Company began a review of the business, which resulted in headcount reductions in order to improve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alignment and to provide greater flexibility to advance strategic opportunities (the “Business Realignment”). In conjunction with the Business Realignment, the Company incurred expenses related to separation and transition benefits of $1.8 million for the nine months ended September 30, 2024 and $3.6 million and $7.5 million for the three and nine months ended September 30, 2023. Additionally, the Company incurred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acceleration of equity-based compensation amortization (net of forfeitures) of $1.5 million for the nine months ended September 30, 2024 and $2.8 million and $4.0 million for the three and nine months ended September 30, 2023. Such amounts are presented in Compensation and benefits and Equity-based compensation on the Condensed Consolidated Statements of Operations, respectively. All of the expected Business Realignment costs were incurred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Activity within Accrued compensation and benefits on the Condensed Consolidated Statements of Financial Condition related to the Business Realignment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
        </w:trPr>
        <w:tc>
          <w:tcPr>
            <w:tcW w:w="5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50"/>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57"/>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3,312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expenses</w:t>
            </w: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6,391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20" w:type="dxa"/>
            <w:vAlign w:val="bottom"/>
          </w:tcPr>
          <w:p>
            <w:pPr>
              <w:spacing w:after="0"/>
              <w:rPr>
                <w:sz w:val="22"/>
                <w:szCs w:val="22"/>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(3,236)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0" w:type="dxa"/>
            <w:vAlign w:val="bottom"/>
          </w:tcPr>
          <w:p>
            <w:pPr>
              <w:spacing w:after="0"/>
              <w:rPr>
                <w:sz w:val="22"/>
                <w:szCs w:val="22"/>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(2,417)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 w:type="dxa"/>
            <w:vAlign w:val="bottom"/>
          </w:tcPr>
          <w:p>
            <w:pPr>
              <w:spacing w:after="0"/>
              <w:rPr>
                <w:sz w:val="22"/>
                <w:szCs w:val="22"/>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4,050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0" w:type="dxa"/>
            <w:vAlign w:val="bottom"/>
          </w:tcPr>
          <w:p>
            <w:pPr>
              <w:spacing w:after="0"/>
              <w:rPr>
                <w:sz w:val="24"/>
                <w:szCs w:val="24"/>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5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13—Net Income (Loss) Per Share Attributable to Class A Common Shareholders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calculations of basic and diluted net income (loss) per share attributable to Class A common shareholders are presented below:</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p>
      <w:pPr>
        <w:spacing w:after="0" w:line="79" w:lineRule="exact"/>
        <w:rPr>
          <w:sz w:val="20"/>
          <w:szCs w:val="20"/>
          <w:color w:val="auto"/>
        </w:rPr>
      </w:pPr>
    </w:p>
    <w:p>
      <w:pPr>
        <w:ind w:left="20"/>
        <w:spacing w:after="0"/>
        <w:tabs>
          <w:tab w:leader="none" w:pos="4980" w:val="left"/>
        </w:tabs>
        <w:rPr>
          <w:sz w:val="20"/>
          <w:szCs w:val="20"/>
          <w:color w:val="auto"/>
        </w:rPr>
      </w:pPr>
      <w:r>
        <w:rPr>
          <w:rFonts w:ascii="Times New Roman" w:cs="Times New Roman" w:eastAsia="Times New Roman" w:hAnsi="Times New Roman"/>
          <w:sz w:val="18"/>
          <w:szCs w:val="18"/>
          <w:color w:val="auto"/>
        </w:rPr>
        <w:t>Net income (loss) attributable to Perella Weinberg Partners – basic</w:t>
        <w:tab/>
        <w:t>$</w:t>
      </w:r>
    </w:p>
    <w:p>
      <w:pPr>
        <w:spacing w:after="0" w:line="77" w:lineRule="exact"/>
        <w:rPr>
          <w:sz w:val="20"/>
          <w:szCs w:val="20"/>
          <w:color w:val="auto"/>
        </w:rPr>
      </w:pPr>
    </w:p>
    <w:p>
      <w:pPr>
        <w:ind w:left="120" w:right="120"/>
        <w:spacing w:after="0" w:line="297" w:lineRule="auto"/>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p>
      <w:pPr>
        <w:spacing w:after="0" w:line="14" w:lineRule="exact"/>
        <w:rPr>
          <w:sz w:val="20"/>
          <w:szCs w:val="20"/>
          <w:color w:val="auto"/>
        </w:rPr>
      </w:pPr>
    </w:p>
    <w:p>
      <w:pPr>
        <w:ind w:left="120" w:right="620"/>
        <w:spacing w:after="0" w:line="297" w:lineRule="auto"/>
        <w:rPr>
          <w:sz w:val="20"/>
          <w:szCs w:val="20"/>
          <w:color w:val="auto"/>
        </w:rPr>
      </w:pPr>
      <w:r>
        <w:rPr>
          <w:rFonts w:ascii="Times New Roman" w:cs="Times New Roman" w:eastAsia="Times New Roman" w:hAnsi="Times New Roman"/>
          <w:sz w:val="18"/>
          <w:szCs w:val="18"/>
          <w:color w:val="auto"/>
        </w:rPr>
        <w:t>Dilutive effect from assumed vesting of PWP Incentive Plan Awards, net of tax</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 $</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p>
      <w:pPr>
        <w:spacing w:after="0" w:line="79" w:lineRule="exact"/>
        <w:rPr>
          <w:sz w:val="20"/>
          <w:szCs w:val="20"/>
          <w:color w:val="auto"/>
        </w:rPr>
      </w:pPr>
    </w:p>
    <w:p>
      <w:pPr>
        <w:ind w:left="20" w:right="360"/>
        <w:spacing w:after="0" w:line="297" w:lineRule="auto"/>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p>
      <w:pPr>
        <w:spacing w:after="0" w:line="14" w:lineRule="exact"/>
        <w:rPr>
          <w:sz w:val="20"/>
          <w:szCs w:val="20"/>
          <w:color w:val="auto"/>
        </w:rPr>
      </w:pPr>
    </w:p>
    <w:p>
      <w:pPr>
        <w:ind w:left="120" w:right="440"/>
        <w:spacing w:after="0" w:line="297" w:lineRule="auto"/>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 OpCo Units</w:t>
      </w:r>
    </w:p>
    <w:p>
      <w:pPr>
        <w:spacing w:after="0" w:line="14" w:lineRule="exact"/>
        <w:rPr>
          <w:sz w:val="20"/>
          <w:szCs w:val="20"/>
          <w:color w:val="auto"/>
        </w:rPr>
      </w:pPr>
    </w:p>
    <w:p>
      <w:pPr>
        <w:ind w:left="120" w:right="440"/>
        <w:spacing w:after="0" w:line="297" w:lineRule="auto"/>
        <w:rPr>
          <w:sz w:val="20"/>
          <w:szCs w:val="20"/>
          <w:color w:val="auto"/>
        </w:rPr>
      </w:pPr>
      <w:r>
        <w:rPr>
          <w:rFonts w:ascii="Times New Roman" w:cs="Times New Roman" w:eastAsia="Times New Roman" w:hAnsi="Times New Roman"/>
          <w:sz w:val="18"/>
          <w:szCs w:val="18"/>
          <w:color w:val="auto"/>
        </w:rPr>
        <w:t>Weighted average number of incremental shares from assumed vesting of PWP Incentive Plan Awards</w:t>
      </w:r>
    </w:p>
    <w:p>
      <w:pPr>
        <w:spacing w:after="0" w:line="14" w:lineRule="exact"/>
        <w:rPr>
          <w:sz w:val="20"/>
          <w:szCs w:val="20"/>
          <w:color w:val="auto"/>
        </w:rPr>
      </w:pPr>
    </w:p>
    <w:p>
      <w:pPr>
        <w:ind w:left="20" w:right="360"/>
        <w:spacing w:after="0" w:line="297" w:lineRule="auto"/>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p>
      <w:pPr>
        <w:spacing w:after="0" w:line="14" w:lineRule="exact"/>
        <w:rPr>
          <w:sz w:val="20"/>
          <w:szCs w:val="20"/>
          <w:color w:val="auto"/>
        </w:rPr>
      </w:pPr>
    </w:p>
    <w:p>
      <w:pPr>
        <w:ind w:left="20" w:right="760"/>
        <w:spacing w:after="0" w:line="297" w:lineRule="auto"/>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p>
      <w:pPr>
        <w:spacing w:after="0" w:line="14" w:lineRule="exact"/>
        <w:rPr>
          <w:sz w:val="20"/>
          <w:szCs w:val="20"/>
          <w:color w:val="auto"/>
        </w:rPr>
      </w:pPr>
    </w:p>
    <w:p>
      <w:pPr>
        <w:ind w:left="120"/>
        <w:spacing w:after="0"/>
        <w:tabs>
          <w:tab w:leader="none" w:pos="4980" w:val="left"/>
        </w:tabs>
        <w:rPr>
          <w:sz w:val="20"/>
          <w:szCs w:val="20"/>
          <w:color w:val="auto"/>
        </w:rPr>
      </w:pPr>
      <w:r>
        <w:rPr>
          <w:rFonts w:ascii="Times New Roman" w:cs="Times New Roman" w:eastAsia="Times New Roman" w:hAnsi="Times New Roman"/>
          <w:sz w:val="18"/>
          <w:szCs w:val="18"/>
          <w:color w:val="auto"/>
        </w:rPr>
        <w:t>Basic</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20"/>
        <w:spacing w:after="0"/>
        <w:tabs>
          <w:tab w:leader="none" w:pos="4980" w:val="left"/>
        </w:tabs>
        <w:rPr>
          <w:sz w:val="20"/>
          <w:szCs w:val="20"/>
          <w:color w:val="auto"/>
        </w:rPr>
      </w:pPr>
      <w:r>
        <w:rPr>
          <w:rFonts w:ascii="Times New Roman" w:cs="Times New Roman" w:eastAsia="Times New Roman" w:hAnsi="Times New Roman"/>
          <w:sz w:val="18"/>
          <w:szCs w:val="18"/>
          <w:color w:val="auto"/>
        </w:rPr>
        <w:t>Diluted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5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40"/>
        </w:trPr>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0"/>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10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20"/>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16,370</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(85,502)</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r>
      <w:tr>
        <w:trPr>
          <w:trHeight w:val="527"/>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(65,579)</w:t>
            </w:r>
          </w:p>
        </w:tc>
      </w:tr>
      <w:tr>
        <w:trPr>
          <w:trHeight w:val="526"/>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607</w:t>
            </w:r>
          </w:p>
        </w:tc>
        <w:tc>
          <w:tcPr>
            <w:tcW w:w="5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16,977</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(85,502)</w:t>
            </w:r>
          </w:p>
        </w:tc>
        <w:tc>
          <w:tcPr>
            <w:tcW w:w="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(72,392)</w:t>
            </w:r>
          </w:p>
        </w:tc>
      </w:tr>
      <w:tr>
        <w:trPr>
          <w:trHeight w:val="27"/>
        </w:trPr>
        <w:tc>
          <w:tcPr>
            <w:tcW w:w="10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0"/>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55,513,159</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43,123,465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53,115,490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42,731,252</w:t>
            </w:r>
          </w:p>
        </w:tc>
      </w:tr>
      <w:tr>
        <w:trPr>
          <w:trHeight w:val="526"/>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43,524,232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43,862,329</w:t>
            </w:r>
          </w:p>
        </w:tc>
      </w:tr>
      <w:tr>
        <w:trPr>
          <w:trHeight w:val="527"/>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14,282,497</w:t>
            </w:r>
          </w:p>
        </w:tc>
        <w:tc>
          <w:tcPr>
            <w:tcW w:w="5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53"/>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69,795,656</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86,647,697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53,115,490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86,593,581</w:t>
            </w:r>
          </w:p>
        </w:tc>
      </w:tr>
      <w:tr>
        <w:trPr>
          <w:trHeight w:val="27"/>
        </w:trPr>
        <w:tc>
          <w:tcPr>
            <w:tcW w:w="10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0"/>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0.29</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84"/>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0.24</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-3248025</wp:posOffset>
            </wp:positionV>
            <wp:extent cx="711517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-2733675</wp:posOffset>
            </wp:positionV>
            <wp:extent cx="7115175" cy="257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25717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-3428365</wp:posOffset>
            </wp:positionV>
            <wp:extent cx="9429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-3616960</wp:posOffset>
            </wp:positionV>
            <wp:extent cx="1945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460"/>
            <w:col w:w="5680"/>
          </w:cols>
          <w:pgMar w:left="320" w:top="117" w:right="339" w:bottom="1440" w:gutter="0" w:footer="0" w:header="0"/>
          <w:type w:val="continuous"/>
        </w:sectPr>
      </w:pPr>
    </w:p>
    <w:p>
      <w:pPr>
        <w:spacing w:after="0" w:line="9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4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presented: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31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980" w:type="dxa"/>
            <w:vAlign w:val="bottom"/>
          </w:tcPr>
          <w:p>
            <w:pPr>
              <w:spacing w:after="0"/>
              <w:rPr>
                <w:sz w:val="20"/>
                <w:szCs w:val="20"/>
                <w:color w:val="auto"/>
              </w:rPr>
            </w:pPr>
          </w:p>
        </w:tc>
        <w:tc>
          <w:tcPr>
            <w:tcW w:w="21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Pr>
          <w:p>
            <w:pPr>
              <w:spacing w:after="0"/>
              <w:rPr>
                <w:sz w:val="20"/>
                <w:szCs w:val="20"/>
                <w:color w:val="auto"/>
              </w:rPr>
            </w:pPr>
          </w:p>
        </w:tc>
      </w:tr>
      <w:tr>
        <w:trPr>
          <w:trHeight w:val="41"/>
        </w:trPr>
        <w:tc>
          <w:tcPr>
            <w:tcW w:w="49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0"/>
        </w:trPr>
        <w:tc>
          <w:tcPr>
            <w:tcW w:w="4980" w:type="dxa"/>
            <w:vAlign w:val="bottom"/>
          </w:tcPr>
          <w:p>
            <w:pPr>
              <w:spacing w:after="0"/>
              <w:rPr>
                <w:sz w:val="21"/>
                <w:szCs w:val="21"/>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OpCo Units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32,695,707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35,675,341</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21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2,682,303</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9,564,794</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1,561,627</w:t>
            </w:r>
          </w:p>
        </w:tc>
      </w:tr>
      <w:tr>
        <w:trPr>
          <w:trHeight w:val="27"/>
        </w:trPr>
        <w:tc>
          <w:tcPr>
            <w:tcW w:w="4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32,695,707</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2,682,303</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45,240,135</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1,561,627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 and Investments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quoted prices or for which fair value can be measured from actively quoted prices in an orderly market will generally have a higher degree of market price observability and a lesser degree of judgment used in measuring fair value.</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85"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49"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considers factors specific to the instrument.</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of September 30, 2024 and December 31, 2023, the fair values of cash, restricted cash, accounts receivable, due from related parties, accounts payable and certain accrued liabilities approximate their carrying amounts due to the short-term nature of these items.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were measured on a recurring basis pursuant to the above fair value hierarchy levels as of September 30, 2024 and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95,046</w:t>
            </w:r>
          </w:p>
        </w:tc>
        <w:tc>
          <w:tcPr>
            <w:tcW w:w="0" w:type="dxa"/>
            <w:vAlign w:val="bottom"/>
          </w:tcPr>
          <w:p>
            <w:pPr>
              <w:spacing w:after="0"/>
              <w:rPr>
                <w:sz w:val="1"/>
                <w:szCs w:val="1"/>
                <w:color w:val="auto"/>
              </w:rPr>
            </w:pPr>
          </w:p>
        </w:tc>
      </w:tr>
      <w:tr>
        <w:trPr>
          <w:trHeight w:val="594"/>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the three and nine months ended September 30, 2024 and 2023.</w:t>
      </w:r>
    </w:p>
    <w:p>
      <w:pPr>
        <w:spacing w:after="0" w:line="19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held investments in U.S. Treasury securities with original maturities greater than three months from the date of purchase, which are presented at fair value as Investments in short-term marketable debt securities on the Condensed Consolidated Statements of Financial Condition. These investments have an aggregate cost basis of $74.9 million and $89.3 million as of September 30,</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2024 and December 31, 2023, respectively. As of September 30, 2024, the Company also held $20.1 million of investments in U.S. Treasury securities with original maturities of three months or less from the date of purchase, which are presented within Cash and cash equivalents on the Condensed Consolidated Statements of Financial Condition. The Company had nominal net realized and unrealized gains (losses) on these combined investments for the three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2024, and $0.8 million and $1.5 million for the three and nine months ended September 30,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advisory business and (ii) PWP Capital Holdings LP (“Capital Holdings”), which holds the asset management business. In connection with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Separation, the Company entered into a transition services agreement (the “TSA”) with Capital Holdings under which the Company agreed to provide certain administrative services to Capital Holdings. The TSA was terminated as of January 1, 2024. The Company also subleased certain portions of its office space to Capital Holdings through October 2023. Income earned from Capital Holdings related to the TSA and the sublease is presented within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Related party income on the Condensed Consolidated Statements of Operations. Amounts due from Capital Holdings are reflected as Due from related parties on the Condensed Consolidated Statements of Financial Condition as of December 31, 2023, with no amounts due as of September 30, 2024.</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Separately, Capital Holdings entered into an arrangement with certain employees of the Company, including members of management, related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Condensed Consolidated Statements of Operations.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PWP OpCo, Professional Partners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September 30, 2024, the Company had an amount due of $46.2 million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Statements of Financial Condition. The Company expects to make the following payments with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respect to the tax receivable agreement, which are exclusive of potential payments in respect of future exchanges and may differ significantly from actual payments made: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Tax Receivable Agreement</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36,971</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 and Other Partner Loans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loaned money pursuant to promissory note agreements (the “Partner Promissory Notes”) to certain partners. The Partner Promissory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Notes bear interest at a semi-annual rate equal to the Federal Mid-Term Rate.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Condensed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Consolidated Statements of Financial Condition in the amounts of $1.2 million and $2.1 million as of September 30, 2024 and December 31, 2023. During the nine months ended September 30, 2024, $0.9 million of principal and interest related to Partner Promissory Notes was effectively repaid through the cancellation of PWP OpCo units held by such partners. During the nine months ended September 30, 2023, $1.5 million was effectively repaid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the amount due to such partners under deferred compensation agreements.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November 2021, PWP OpCo agreed to provide loans to certain partners. As of September 30, 2024 and December 31, 2023, $3.6 million and $3.5 million, respectively, of outstanding loans to certain partners and related interest receivable are recognized in Due from related parties on the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Merger on April 1, 2024 was effected to simplify the structure for the partners in Professional Partners with respect to their indirect interests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PWP OpCo. The purpose of the related Vesting Acceleration was to facilitate the payment of taxes associated with ACU vesting to align with the treatment of vested restricted stock units of the Company. Certain holders of these interests in PWP OpCo, including holders of Accelerated Units, are directors and officers of the Company. Refer to Note 11—Equity-Based Compensation for additional information on the Merger and related transactions.</w:t>
      </w:r>
    </w:p>
    <w:p>
      <w:pPr>
        <w:spacing w:after="0" w:line="172"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7"/>
          <w:szCs w:val="17"/>
          <w:color w:val="auto"/>
        </w:rPr>
        <w:t>Prior to the Merger, the Company’s U.K. subsidiary, Perella Weinberg UK Limited, as well as Professional Partners and certain partners (including one partner who serves as a Company director and president) were party to a reimbursement agreement, pursuant to which such partners directed Professional Partners to pay distributions related to certain of their Professional Partners Awards first to a subsidiary of the Company, so that the subsidiary could make</w:t>
      </w:r>
    </w:p>
    <w:p>
      <w:pPr>
        <w:spacing w:after="0"/>
        <w:rPr>
          <w:sz w:val="20"/>
          <w:szCs w:val="20"/>
          <w:color w:val="auto"/>
        </w:rPr>
      </w:pPr>
      <w:r>
        <w:rPr>
          <w:rFonts w:ascii="Times New Roman" w:cs="Times New Roman" w:eastAsia="Times New Roman" w:hAnsi="Times New Roman"/>
          <w:sz w:val="18"/>
          <w:szCs w:val="18"/>
          <w:color w:val="auto"/>
        </w:rPr>
        <w:t>employment income tax payments on such distributions to the appropriate non-U.S. authorities.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 arrangements is unknown. As of September 30, 2024 and December 31, 2023, the Company expects no claims or losses pursuant to these contracts; therefore, no liability has been recorded related to these indemnification provisions.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September 30, 2024 and December 31, 2023 and for the three and nine months ended September 30, 2024 and 2023.</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2015, the Company filed a complaint against three former partners and one former employee which alleges they entered into a scheme while at PWP to lift out the Company’s restructuring group to form a new competing firm that they were secretly forming in breach of their contractual and fiduciary duties. The complaint contains 14 causes of action and seeks declaratory relief as well as damages. Trial is currently scheduled for January 24,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February 14, 2025.</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incurred $0.4 million and $6.3 million during the three and nine months ended September 30, 2024, respectively, and immaterial amounts during the three and nine months ended September 30, 2023 in legal and professional fees, net of expected insurance reimbursement, related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litigation. These litigation costs are included in Professional fees on the Condensed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17—Business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activities of providing advisory services for M&amp;A, private placements and financial advisory, as well as services for underwriting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securities offered for sale in public markets,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For the nine months ended September 30, 2024, one individual client accounted for more than 10% of aggregate revenue, while no individual client accounted for more than 10% of aggregate revenue for the nine months ended September 30, 2023. Since the financial markets are global in nature, the Company generally manages its business based on the operating results of the Company taken as a whole, not by geographic region. The following tables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576,201</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354,183</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76,166</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652,367</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435,974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5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4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40005</wp:posOffset>
            </wp:positionV>
            <wp:extent cx="9429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40005</wp:posOffset>
            </wp:positionV>
            <wp:extent cx="9429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9460" w:space="520"/>
            <w:col w:w="12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569,332</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172,452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191,776</w:t>
            </w:r>
          </w:p>
        </w:tc>
      </w:tr>
      <w:tr>
        <w:trPr>
          <w:trHeight w:val="27"/>
        </w:trPr>
        <w:tc>
          <w:tcPr>
            <w:tcW w:w="8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810,917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18—Subsequent Events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condensed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w:t>
      </w:r>
    </w:p>
    <w:p>
      <w:pPr>
        <w:spacing w:after="0" w:line="189" w:lineRule="exact"/>
        <w:rPr>
          <w:sz w:val="20"/>
          <w:szCs w:val="20"/>
          <w:color w:val="auto"/>
        </w:rPr>
      </w:pPr>
    </w:p>
    <w:p>
      <w:pPr>
        <w:ind w:firstLine="324"/>
        <w:spacing w:after="0" w:line="222" w:lineRule="auto"/>
        <w:rPr>
          <w:sz w:val="20"/>
          <w:szCs w:val="20"/>
          <w:color w:val="auto"/>
        </w:rPr>
      </w:pPr>
      <w:r>
        <w:rPr>
          <w:rFonts w:ascii="Times New Roman" w:cs="Times New Roman" w:eastAsia="Times New Roman" w:hAnsi="Times New Roman"/>
          <w:sz w:val="18"/>
          <w:szCs w:val="18"/>
          <w:color w:val="auto"/>
        </w:rPr>
        <w:t>On November 6, 2024, the Company’s Board of Directors declared a cash dividend of $0.07 per outstanding share of Class A common stock. This dividend will be paid on December 18, 2024 to Class A common stockholders of record on December 4, 2024. Holders of Class B common stock will also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dividends equal to the amount of dividends declared on 0.001 shares of Class A common stock.</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are a leading global independent advisory firm that provides strategic and financial advice to clients across some of the most active industry sectors</w:t>
      </w:r>
    </w:p>
    <w:p>
      <w:pPr>
        <w:spacing w:after="0" w:line="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and “Part I. Item1A. Risk Factors” in the Company’s Annual Report on Form 10-K for the year ended December 31, 2023 as filed with the SEC on February 23,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Economic and global financial market conditions impact our financial performance. The market environment for advisory services is improving, driving increased dialogue and activity levels across the traditional M&amp;A markets.</w:t>
      </w:r>
    </w:p>
    <w:p>
      <w:pPr>
        <w:spacing w:after="0" w:line="14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“Risk Factors” included in our Annual Report on Form 10-K for a discussion of some of the factors that can affect our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advisory professionals, and receiving introductions from our relationship network. However, we also lose clients each year due to various factors, such as sales or mergers, changes in clients’ senior management, and competition from other financial services firms.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recognition is often tied to the completion of a transaction, which can be delayed or terminated due to various reasons, including failure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creditors. In such cases, our advisory fees may be limited to monthly retainer fees plus the reimbursement of expenses.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and benefits expenses consist of salaries, bonuses (discretionary awards and guaranteed amounts), severance, payroll and related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is determined by management based on revenues earned, headcount, labor market conditions, and anticipated compensation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requirements for our employees. Such factors can fluctuate, including headcount and revenues earned, and as a result, our compensation expenses may fluctuate materially in any particular period.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Merger, the amortization expense for certain equity-based awards granted by Professional Partners was allocated fully to non-controlling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interests. As a result of the Merger, these awards are considered granted by PWP OpCo and PWP OpCo as a whole bears the cost of the cash settlement feature of the awards, which was added in conjunction with the Merger. As a result, subsequent to the Merger, the Company allocates the costs associated with these awards between Perella Weinberg Partners and non-controlling interests in proportion to their ownership interests, which is consistent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the other profit and loss activity of PWP OpCo.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Non-Compensation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202" w:lineRule="exact"/>
        <w:rPr>
          <w:sz w:val="20"/>
          <w:szCs w:val="20"/>
          <w:color w:val="auto"/>
        </w:rPr>
      </w:pPr>
    </w:p>
    <w:p>
      <w:pPr>
        <w:jc w:val="both"/>
        <w:ind w:right="20" w:firstLine="324"/>
        <w:spacing w:after="0" w:line="226"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which typically includes related party income, interest income and expense, and other non-operating gains (losses), including the impact of foreign exchange rate fluctuations.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their basis, with an exception for certain equity-based compensation expense which was fully attributed to non-controlling interests prior to the Merger.</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2"/>
        </w:trPr>
        <w:tc>
          <w:tcPr>
            <w:tcW w:w="724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respective periods indicated: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7"/>
        </w:trPr>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300" w:type="dxa"/>
            <w:vAlign w:val="bottom"/>
          </w:tcPr>
          <w:p>
            <w:pPr>
              <w:spacing w:after="0"/>
              <w:rPr>
                <w:sz w:val="24"/>
                <w:szCs w:val="24"/>
                <w:color w:val="auto"/>
              </w:rPr>
            </w:pPr>
          </w:p>
        </w:tc>
      </w:tr>
      <w:tr>
        <w:trPr>
          <w:trHeight w:val="238"/>
        </w:trPr>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00" w:type="dxa"/>
            <w:vAlign w:val="bottom"/>
          </w:tcPr>
          <w:p>
            <w:pPr>
              <w:spacing w:after="0"/>
              <w:rPr>
                <w:sz w:val="20"/>
                <w:szCs w:val="20"/>
                <w:color w:val="auto"/>
              </w:rPr>
            </w:pPr>
          </w:p>
        </w:tc>
      </w:tr>
      <w:tr>
        <w:trPr>
          <w:trHeight w:val="40"/>
        </w:trPr>
        <w:tc>
          <w:tcPr>
            <w:tcW w:w="2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00" w:type="dxa"/>
            <w:vAlign w:val="bottom"/>
          </w:tcPr>
          <w:p>
            <w:pPr>
              <w:spacing w:after="0"/>
              <w:rPr>
                <w:sz w:val="21"/>
                <w:szCs w:val="21"/>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7"/>
        </w:trPr>
        <w:tc>
          <w:tcPr>
            <w:tcW w:w="2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278,242</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652,367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50%</w:t>
            </w:r>
          </w:p>
        </w:tc>
      </w:tr>
      <w:tr>
        <w:trPr>
          <w:trHeight w:val="257"/>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
        </w:trPr>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3"/>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105%</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50%</w:t>
            </w:r>
          </w:p>
        </w:tc>
      </w:tr>
      <w:tr>
        <w:trPr>
          <w:trHeight w:val="283"/>
        </w:trPr>
        <w:tc>
          <w:tcPr>
            <w:tcW w:w="2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42,892</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235,530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77%</w:t>
            </w:r>
          </w:p>
        </w:tc>
      </w:tr>
      <w:tr>
        <w:trPr>
          <w:trHeight w:val="277"/>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60%</w:t>
            </w:r>
          </w:p>
        </w:tc>
      </w:tr>
      <w:tr>
        <w:trPr>
          <w:trHeight w:val="283"/>
        </w:trPr>
        <w:tc>
          <w:tcPr>
            <w:tcW w:w="2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37,931</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6%</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113,282</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242,348</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165,695</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752,268</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507,108</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48%</w:t>
            </w:r>
          </w:p>
        </w:tc>
      </w:tr>
      <w:tr>
        <w:trPr>
          <w:trHeight w:val="277"/>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(40)%</w:t>
            </w:r>
          </w:p>
        </w:tc>
      </w:tr>
      <w:tr>
        <w:trPr>
          <w:trHeight w:val="24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9"/>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84"/>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party income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83"/>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159%</w:t>
            </w:r>
          </w:p>
        </w:tc>
      </w:tr>
      <w:tr>
        <w:trPr>
          <w:trHeight w:val="22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9"/>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71%</w:t>
            </w:r>
          </w:p>
        </w:tc>
      </w:tr>
      <w:tr>
        <w:trPr>
          <w:trHeight w:val="22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7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(39)%</w:t>
            </w:r>
          </w:p>
        </w:tc>
      </w:tr>
    </w:tbl>
    <w:p>
      <w:pPr>
        <w:spacing w:after="0" w:line="22" w:lineRule="exact"/>
        <w:rPr>
          <w:sz w:val="20"/>
          <w:szCs w:val="20"/>
          <w:color w:val="auto"/>
        </w:rPr>
      </w:pPr>
    </w:p>
    <w:p>
      <w:pPr>
        <w:sectPr>
          <w:pgSz w:w="11900" w:h="16838" w:orient="portrait"/>
          <w:cols w:equalWidth="0" w:num="1">
            <w:col w:w="11240"/>
          </w:cols>
          <w:pgMar w:left="320" w:top="1346" w:right="3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54" w:lineRule="exact"/>
        <w:rPr>
          <w:sz w:val="20"/>
          <w:szCs w:val="20"/>
          <w:color w:val="auto"/>
        </w:rPr>
      </w:pPr>
    </w:p>
    <w:p>
      <w:pPr>
        <w:ind w:left="20" w:right="460"/>
        <w:spacing w:after="0" w:line="226" w:lineRule="auto"/>
        <w:rPr>
          <w:sz w:val="20"/>
          <w:szCs w:val="20"/>
          <w:color w:val="auto"/>
        </w:rPr>
      </w:pPr>
      <w:r>
        <w:rPr>
          <w:rFonts w:ascii="Times New Roman" w:cs="Times New Roman" w:eastAsia="Times New Roman" w:hAnsi="Times New Roman"/>
          <w:sz w:val="18"/>
          <w:szCs w:val="18"/>
          <w:color w:val="auto"/>
        </w:rPr>
        <w:t>Less: Net income (loss) attributable to non-controlling interests</w:t>
      </w:r>
    </w:p>
    <w:tbl>
      <w:tblPr>
        <w:tblLayout w:type="fixed"/>
        <w:tblInd w:w="20" w:type="dxa"/>
        <w:tblCellMar>
          <w:top w:w="0" w:type="dxa"/>
          <w:left w:w="0" w:type="dxa"/>
          <w:bottom w:w="0" w:type="dxa"/>
          <w:right w:w="0" w:type="dxa"/>
        </w:tblCellMar>
      </w:tblPr>
      <w:tr>
        <w:trPr>
          <w:trHeight w:val="190"/>
        </w:trPr>
        <w:tc>
          <w:tcPr>
            <w:tcW w:w="25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7,508</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2"/>
                <w:szCs w:val="22"/>
                <w:color w:val="auto"/>
              </w:rPr>
            </w:pPr>
          </w:p>
        </w:tc>
        <w:tc>
          <w:tcPr>
            <w:tcW w:w="14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NM</w:t>
            </w:r>
          </w:p>
        </w:tc>
      </w:tr>
      <w:tr>
        <w:trPr>
          <w:trHeight w:val="277"/>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28,843</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80" w:type="dxa"/>
            <w:vAlign w:val="bottom"/>
          </w:tcPr>
          <w:p>
            <w:pPr>
              <w:spacing w:after="0"/>
              <w:rPr>
                <w:sz w:val="24"/>
                <w:szCs w:val="24"/>
                <w:color w:val="auto"/>
              </w:rPr>
            </w:pPr>
          </w:p>
        </w:tc>
        <w:tc>
          <w:tcPr>
            <w:tcW w:w="1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(69,428)</w:t>
            </w:r>
          </w:p>
        </w:tc>
        <w:tc>
          <w:tcPr>
            <w:tcW w:w="1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59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12,473</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80" w:type="dxa"/>
            <w:vAlign w:val="bottom"/>
          </w:tcPr>
          <w:p>
            <w:pPr>
              <w:spacing w:after="0"/>
              <w:rPr>
                <w:sz w:val="24"/>
                <w:szCs w:val="24"/>
                <w:color w:val="auto"/>
              </w:rPr>
            </w:pPr>
          </w:p>
        </w:tc>
        <w:tc>
          <w:tcPr>
            <w:tcW w:w="14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(62,615)</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42%</w:t>
            </w:r>
          </w:p>
        </w:tc>
      </w:tr>
      <w:tr>
        <w:trPr>
          <w:trHeight w:val="372"/>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16,370</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Pr>
          <w:p>
            <w:pPr>
              <w:spacing w:after="0"/>
              <w:rPr>
                <w:sz w:val="24"/>
                <w:szCs w:val="24"/>
                <w:color w:val="auto"/>
              </w:rPr>
            </w:pPr>
          </w:p>
        </w:tc>
        <w:tc>
          <w:tcPr>
            <w:tcW w:w="1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(85,502)</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Pr>
          <w:p>
            <w:pPr>
              <w:spacing w:after="0"/>
              <w:rPr>
                <w:sz w:val="24"/>
                <w:szCs w:val="24"/>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-281940</wp:posOffset>
            </wp:positionV>
            <wp:extent cx="7132320" cy="282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-847725</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29" w:lineRule="exact"/>
        <w:rPr>
          <w:sz w:val="20"/>
          <w:szCs w:val="20"/>
          <w:color w:val="auto"/>
        </w:rPr>
      </w:pPr>
    </w:p>
    <w:p>
      <w:pPr>
        <w:sectPr>
          <w:pgSz w:w="11900" w:h="16838" w:orient="portrait"/>
          <w:cols w:equalWidth="0" w:num="2">
            <w:col w:w="2660" w:space="680"/>
            <w:col w:w="7900"/>
          </w:cols>
          <w:pgMar w:left="320" w:top="1346" w:right="3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9960" w:type="dxa"/>
            <w:vAlign w:val="bottom"/>
            <w:gridSpan w:val="15"/>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revenue statistics for the three and nine months ended September 30, 2024 and 2023:</w:t>
            </w:r>
          </w:p>
        </w:tc>
        <w:tc>
          <w:tcPr>
            <w:tcW w:w="1280" w:type="dxa"/>
            <w:vAlign w:val="bottom"/>
          </w:tcPr>
          <w:p>
            <w:pPr>
              <w:spacing w:after="0"/>
              <w:rPr>
                <w:sz w:val="24"/>
                <w:szCs w:val="24"/>
                <w:color w:val="auto"/>
              </w:rPr>
            </w:pPr>
          </w:p>
        </w:tc>
      </w:tr>
      <w:tr>
        <w:trPr>
          <w:trHeight w:val="473"/>
        </w:trPr>
        <w:tc>
          <w:tcPr>
            <w:tcW w:w="2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80" w:type="dxa"/>
            <w:vAlign w:val="bottom"/>
          </w:tcPr>
          <w:p>
            <w:pPr>
              <w:spacing w:after="0"/>
              <w:rPr>
                <w:sz w:val="24"/>
                <w:szCs w:val="24"/>
                <w:color w:val="auto"/>
              </w:rPr>
            </w:pPr>
          </w:p>
        </w:tc>
      </w:tr>
      <w:tr>
        <w:trPr>
          <w:trHeight w:val="243"/>
        </w:trPr>
        <w:tc>
          <w:tcPr>
            <w:tcW w:w="2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8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25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6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Advisory Clients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Clients with Fees Greater</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than $1.0 million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79"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Revenues were $278.2 million for the three months ended September 30, 2024 as compared with $139.0 million for the three months ended September 30, 2023, representing an increase of 100%. The increase was attributable to increased mergers and acquisition and financing and capital solutions activity,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by larger transactions and related fee events across the business.</w:t>
      </w:r>
    </w:p>
    <w:p>
      <w:pPr>
        <w:sectPr>
          <w:pgSz w:w="11900" w:h="16838" w:orient="portrait"/>
          <w:cols w:equalWidth="0" w:num="1">
            <w:col w:w="11240"/>
          </w:cols>
          <w:pgMar w:left="320" w:top="1346"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30" w:name="page31"/>
    <w:bookmarkEnd w:id="30"/>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Revenues were $652.4 million for the nine months ended September 30, 2024 as compared with $436.0 million for the nine months ended September 30, 2023, representing an increase of 50%. Similar to the quarter-to-date period, revenues attributed to mergers and acquisition and financing and capital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solutions activity were higher year-over-year, driven by larger transactions and related fee events across the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September 30, 2024, total compensation and benefits expenses were $202.3 million, an increase of 58% compared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$127.8 million for the three months ended September 30, 2023. The increase in total compensation and benefits expenses was primarily the result of a higher bonus accrual in the current year period due to a higher revenue base. This increase was partially offset by a decrease in equity-based compensation expense driven by the Vesting Acceleration in the second quarter of 2024 which fully expensed certain awards that were still being amortized in the prior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period.</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For the nine months ended September 30, 2024, total compensation and benefits expenses were $628.2 million, an increase of 60% compared with $393.8 million for the nine months ended September 30, 2023. The increase in total compensation and benefits expenses was primarily the result of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higher bonus accrual due to increased revenues as well as higher year-to-date equity-based compensation expense. The Vesting Acceleration resulted in $144.2 million of equity-based compensation related to the Professional Partners Awards as compared to $46.9 million in the prior year period for those same awards.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For the three months ended September 30, 2024, total non-compensation expenses were $40.0 million, an increase of 6% compared with $37.9 million for the three months ended September 30, 2023. The increase in non-compensation expenses was primarily the result of higher depreciation expense,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consulting costs, bad debt expense, and certain technology costs. The increase in depreciation is driven by leasehold assets placed in service after the third quarter of 2023 related to the renovation of the New York office space. The overall increase was partially offset by lower rent costs and reduced legal spend.</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For the nine months ended September 30, 2024, total non-compensation expenses were $124.1 million, an increase of 10% compared with $113.3 million for the nine months ended September 30, 2023. The increase in non-compensation expenses was primarily the result of increased depreciation expense driven by renovation-related leasehold assets, legal and consulting spend, and bad debt expense. These increases were partially offset by reduced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costs, VAT expense, and D&amp;O insurance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September 30, 2024, non-operating income was $0.5 million compared with non-operating income of $2.8 million for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three months ended September 30, 2023. In the current period, non-operating income included interest income almost fully offset by a net loss from foreign exchange rate fluctuations. Non-operating income for the three months ended September 30, 2023 included interest income and a net gain from foreign exchange rate fluctuations, partially offset by a $1.25 million charge from a previously reported settlement reached with the staff of the SEC relating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recordkeeping of business communications on “off-channel” messaging applications (the “Settlement”). For both periods, the impact of foreign exchange rate fluctuations was largely related to U.S. dollar-denominated cash and intercompany receivables held by our foreign subsidiaries.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nine months ended September 30, 2024, non-operating income was $3.9 million compared with non-operating income of $2.3 million for the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nine months ended September 30, 2023. In the current period, non-operating income included interest income, which increased from the prior year due to higher interest rates and larger interest-bearing cash balances, partially offset by a net loss from foreign exchange rate fluctuations. Non-operating income in the prior year period primarily included interest income, which was partially offset by a non-operating loss on investment, the $1.25 million charge recognized by the Company related to the Settlement, as well as a smaller net loss from foreign exchange rate fluctuations as compared to the current year.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both periods, the impact of foreign exchange rate fluctuations was largely related to U.S. dollar-denominated cash and intercompany receivables held by our foreign subsidiaries.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income tax expense and effective tax rate were $7.5 million and 20.7%, respectively, for the three months ended September 30, 2024</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compared to an income tax benefit and effective tax rate of $(0.2) million and 0.8%, respectively, for the three months ended September 30, 2023. The change in the effective tax rate was primarily due to the relative size of our permanent differences in relation to the pre-tax income (loss) in the respective periods and also included the recognition of tax benefits associated with the appreciation in our share price upon vesting of RSUs above the original grant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during the three months ended September 30, 2024.</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Company’s income tax expense and effective tax rate were $26.0 million and (27.0)%, respectively, for the nine months ended September 30, 2024 compared to an income tax expense and effective tax rate of $0.6 million and (0.8)%, respectively, for the nine months ended September 30, 2023.</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The change in the effective tax rate was primarily due to the relative size of our permanent differences in relation to the pre-tax loss in the respective periods and also included the recognition of tax benefits associated with the appreciation in our share price upon vesting of RSUs above the original grant price during the nine months ended September 30,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regularly monitor our liquidity position, including cash and cash equivalents, working capital assets and liabilities, commitments and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liquidity requirements. Our primary sources of liquidity are generally our cash and cash equivalent balances, investments in short-term marketable debt securities, the net cash generated from operations, and the available borrowing capacity under our Revolving Credit Facility. Our primary cash needs are for working capital, operating expenses (including cash compensation for our employees), repurchasing shares of the Company’s Class A common stock,</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withholding tax payments for vested PWP Incentive Plan Awards, cash-settled exchanges of PWP OpCo Units, income taxes, dividends and distributions, capital expenditures, making payments pursuant to the tax receivable agreement, commitments, and strategic investments. We generally pay a significant portion of our annual cash incentive compensation during the first quarter of each calendar year with respect to the prior year’s results. Therefore, levels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cash and cash equivalents and/or investments in short-term marketable debt securities generally decline during the first quarter and build over the remainder of the year.</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assets are primarily composed of cash and cash equivalents, investments in short-term marketable securities, receivables related to fees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interest-bearing money market accounts, and short-term highly liquid investments that have original maturities of three months or less from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date of purchase. We had cash balances of $240.1 million and $247.2 million as of September 30, 2024 and December 31, 2023, respectively, and cash equivalents of $20.1 million as of September 30, 2024, which included investments in U.S. Treasury securities. As of December 31, 2023, we held no cash equivalents. Additionally, as of September 30, 2024 and December 31, 2023, the Company held U.S. Treasury securities of $74.9 million and $91.2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which were classified as Investments in short-term marketable debt securities within the condensed consolidated financial statements.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typically have net terms of 30 days. Accounts receivable, net of allowance for credit losses were $87.5 million and $47.8 million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p>
      <w:pPr>
        <w:spacing w:after="0" w:line="165"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have a Revolving Credit Facility with Cadence Bank with an available line of credit of $50.0 million. Additionally, up to $20.0 million of incremental revolving commitments above the $50.0 million commitment amount may be incurred under the Credit Agreement. As of September 30, 2024, we had no outstanding balance related to the Revolving Credit Facility and no incremental revolving commitments were incurred. For further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Revolving Credit Facility, refer to Note 10—Debt in the notes to condensed consolidated financial statements included elsewhere in this Form 10-Q.</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On March 1, 2024, we issued and sold 5,750,000 shares of Class A common stock at a price of $12.00 per share for net proceeds of $66.0 million after deducting underwriting discounts and offering costs.</w:t>
      </w:r>
    </w:p>
    <w:p>
      <w:pPr>
        <w:spacing w:after="0" w:line="172"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7"/>
          <w:szCs w:val="17"/>
          <w:color w:val="auto"/>
        </w:rPr>
        <w:t>During the second quarter of 2024, we paid or accrued a combined $86.6 million in settlement of ACUs in connection with the Vesting Acceleration. Refer to Note 11—Equity-Based Compensation in the notes to the condensed consolidated financial statements for further information regarding the Vesting Acceleration. Also during the second quarter of 2024, we elected to settle exchanges of certain PWP OpCo Units and corresponding shares of Class</w:t>
      </w:r>
    </w:p>
    <w:p>
      <w:pPr>
        <w:spacing w:after="0"/>
        <w:rPr>
          <w:sz w:val="20"/>
          <w:szCs w:val="20"/>
          <w:color w:val="auto"/>
        </w:rPr>
      </w:pPr>
      <w:r>
        <w:rPr>
          <w:rFonts w:ascii="Times New Roman" w:cs="Times New Roman" w:eastAsia="Times New Roman" w:hAnsi="Times New Roman"/>
          <w:sz w:val="18"/>
          <w:szCs w:val="18"/>
          <w:color w:val="auto"/>
        </w:rPr>
        <w:t>B common stock for $19.5 million in cash.</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Based on current market conditions, we believe that our cash on hand, cash equivalents, investments in short-term marketable debt securities, net cash generated from operations, and the available borrowing capacity under our Revolving Credit Facility will be sufficient to meet our operating needs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22"/>
                <w:szCs w:val="22"/>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(122,002)</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(69,428)</w:t>
            </w:r>
          </w:p>
        </w:tc>
        <w:tc>
          <w:tcPr>
            <w:tcW w:w="0" w:type="dxa"/>
            <w:vAlign w:val="bottom"/>
          </w:tcPr>
          <w:p>
            <w:pPr>
              <w:spacing w:after="0"/>
              <w:rPr>
                <w:sz w:val="1"/>
                <w:szCs w:val="1"/>
                <w:color w:val="auto"/>
              </w:rPr>
            </w:pPr>
          </w:p>
        </w:tc>
      </w:tr>
      <w:tr>
        <w:trPr>
          <w:trHeight w:val="284"/>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155,335</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8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(98,389)</w:t>
            </w:r>
          </w:p>
        </w:tc>
        <w:tc>
          <w:tcPr>
            <w:tcW w:w="0" w:type="dxa"/>
            <w:vAlign w:val="bottom"/>
          </w:tcPr>
          <w:p>
            <w:pPr>
              <w:spacing w:after="0"/>
              <w:rPr>
                <w:sz w:val="1"/>
                <w:szCs w:val="1"/>
                <w:color w:val="auto"/>
              </w:rPr>
            </w:pPr>
          </w:p>
        </w:tc>
      </w:tr>
      <w:tr>
        <w:trPr>
          <w:trHeight w:val="26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83,929</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w:t>
            </w:r>
          </w:p>
        </w:tc>
        <w:tc>
          <w:tcPr>
            <w:tcW w:w="0" w:type="dxa"/>
            <w:vAlign w:val="bottom"/>
          </w:tcPr>
          <w:p>
            <w:pPr>
              <w:spacing w:after="0"/>
              <w:rPr>
                <w:sz w:val="1"/>
                <w:szCs w:val="1"/>
                <w:color w:val="auto"/>
              </w:rPr>
            </w:pPr>
          </w:p>
        </w:tc>
      </w:tr>
      <w:tr>
        <w:trPr>
          <w:trHeight w:val="28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(74,367)</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(59,981)</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6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(44,965)</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8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261,497</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129,201</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w:t>
      </w:r>
    </w:p>
    <w:p>
      <w:pPr>
        <w:spacing w:after="0" w:line="20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Operating activities resulted in a net cash inflow of $83.9 million primarily attributable to cash collections from clients partially offset by an overall increase in client receivables and by cash operating expense outflows, including the settlement of liability-classified ACUs during the second quarter and discretionary bonuses paid during the first quarter of 2024 with respect to prior year compensation expense.</w:t>
      </w:r>
    </w:p>
    <w:p>
      <w:pPr>
        <w:spacing w:after="0" w:line="17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Investing activities resulted in a net cash inflow of $0.6 million attributable to the maturation of investments in U.S. Treasury securities, which was almost fully offset by the purchase of additional investments and capital expenditures related to office space renovations.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Financing activities resulted in a net cash outflow of $74.4 million primarily due to withholding tax payments for vested PWP Incentive Plan Awards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equity-classified ACUs, the cash settlement of exchanges of PWP OpCo Units, share repurchases, dividend payments, and distributions to partners, all of which was partially offset by the issuance of 5,750,000 shares of Class A common stock for net proceeds of $66.0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2023</w:t>
      </w:r>
    </w:p>
    <w:p>
      <w:pPr>
        <w:spacing w:after="0" w:line="20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Operating activities resulted in a net cash outflow of $12.5 million primarily attributable to cash operating expense outflows, including discretionary bonuses paid during the first quarter of 2023 with respect to prior year compensation expense, partially offset by cash collections from clients.</w:t>
      </w:r>
    </w:p>
    <w:p>
      <w:pPr>
        <w:spacing w:after="0" w:line="1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Investing activities resulted in a net cash inflow of $26.3 million largely attributable to the maturation of investments in U.S. Treasury securities, net of additional investments in U.S. Treasury securities as well as capital expenditures related to office space renovations.</w:t>
      </w:r>
    </w:p>
    <w:p>
      <w:pPr>
        <w:spacing w:after="0" w:line="14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Financing activities resulted in a net cash outflow of $60.0 million primarily related to the repurchase of shares pursuant to the stock repurchase program, withholding tax payments for vested PWP Incentive Plan Awards, distributions to partners, and dividend payments.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board of directors approved a stock repurchase program under which we are authorized to repurchase up to $200.0 million of our Class A common stock with no requirement to purchase any minimum number of shares. During the nine months ended September 30, 2024, we repurchased 1,000,000</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founder shares at a purchase price of $15.00 per share. As of September 30, 2024, $93.8 million remains of the $200.0 million authorized for share repurchases.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limited partnership agreement of PWP OpCo, holders of PWP OpCo Units (other than the Company) may exchange these units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(i) shares of Class A common stock on a one-for-one basis or (ii) cash from an offering of shares of Class A common stock and (iii) subsequent to the Merger, cash from any other source. Whether future exchanges are settled in cash or shares of Class A common stock is at our option and will depend on our liquidity and capital resources, market conditions, the timing and concentration of exchange elections and other factors. See Note 9—Stockholders’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Equity and Redeemable Non-Controlling Interests in the notes to the condensed consolidated financial statements included elsewhere in the Form 10-Q for further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w:t>
      </w:r>
    </w:p>
    <w:p>
      <w:pPr>
        <w:spacing w:after="0" w:line="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7"/>
          <w:szCs w:val="17"/>
          <w:color w:val="auto"/>
        </w:rPr>
        <w:t>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September 30, 2024, we had an amount due of $46.2 million pursuant to the tax receivable agreement, which represents management’s best estimate of the amounts currently expected to be owed in connection with the tax receivable agreement for the Business Combination and subsequent exchanges made to date. See Note 15—Related Party Transactions in the notes to the condensed consolidated financial statements included elsewhere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 10-Q for further information as well as the expected timing of payments.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various non-cancelable operating leases for our office space and certain equipment. As of September 30, 2024, we had $188.4 million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operating lease liabilities. See Note 4—Leases in the notes to condensed consolidated financial statements included elsewhere in this Form 10-Q for further information as well as the expected timing of payments.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20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w:t>
      </w:r>
    </w:p>
    <w:p>
      <w:pPr>
        <w:spacing w:after="0" w:line="1" w:lineRule="exact"/>
        <w:rPr>
          <w:sz w:val="20"/>
          <w:szCs w:val="20"/>
          <w:color w:val="auto"/>
        </w:rPr>
      </w:pPr>
    </w:p>
    <w:p>
      <w:pPr>
        <w:ind w:right="400"/>
        <w:spacing w:after="0" w:line="442" w:lineRule="auto"/>
        <w:rPr>
          <w:sz w:val="20"/>
          <w:szCs w:val="20"/>
          <w:color w:val="auto"/>
        </w:rPr>
      </w:pPr>
      <w:r>
        <w:rPr>
          <w:rFonts w:ascii="Times New Roman" w:cs="Times New Roman" w:eastAsia="Times New Roman" w:hAnsi="Times New Roman"/>
          <w:sz w:val="18"/>
          <w:szCs w:val="18"/>
          <w:color w:val="auto"/>
        </w:rPr>
        <w:t xml:space="preserve">applicable. We believe our cash and cash equivalents are not subject to any material interest rate risk, equity price risk, credit risk or other market risk. </w:t>
      </w:r>
      <w:r>
        <w:rPr>
          <w:rFonts w:ascii="Times New Roman" w:cs="Times New Roman" w:eastAsia="Times New Roman" w:hAnsi="Times New Roman"/>
          <w:sz w:val="18"/>
          <w:szCs w:val="18"/>
          <w:b w:val="1"/>
          <w:bCs w:val="1"/>
          <w:i w:val="1"/>
          <w:iCs w:val="1"/>
          <w:color w:val="auto"/>
        </w:rPr>
        <w:t>Credit Risk</w:t>
      </w:r>
    </w:p>
    <w:p>
      <w:pPr>
        <w:spacing w:after="0" w:line="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credit losses that, in our opinion, provides for an adequate reserve to cover current expected credit losses. Refer to Note 2—Summary of Significant Accounting Policies in the notes to condensed consolidated financial statements included elsewhere in this Form 10-Q for further information.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we invest our excess cash, we manage our credit risk exposure by holding investments primarily with investment grade credit quality. As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September 30, 2024, the Company held investments of $95.0 million in U.S. Treasury securities with maturities of less than 12 months. Of this amount, $20.1 million is presented in Cash and cash equivalents and $74.9 million is presented in Investments in short-term marketable debt securities on the Condensed Consolidated Statements of Financial Condition.</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exchange rate risk as a result of having foreign subsidiaries with non-U.S. dollar functional currencies as well as from entering into</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w:t>
      </w:r>
    </w:p>
    <w:p>
      <w:pPr>
        <w:jc w:val="both"/>
        <w:spacing w:after="0" w:line="219" w:lineRule="auto"/>
        <w:rPr>
          <w:sz w:val="20"/>
          <w:szCs w:val="20"/>
          <w:color w:val="auto"/>
        </w:rPr>
      </w:pPr>
      <w:r>
        <w:rPr>
          <w:rFonts w:ascii="Times New Roman" w:cs="Times New Roman" w:eastAsia="Times New Roman" w:hAnsi="Times New Roman"/>
          <w:sz w:val="18"/>
          <w:szCs w:val="18"/>
          <w:color w:val="auto"/>
        </w:rPr>
        <w:t>Canadian dollar and our reporting currency, the U.S. dollar. For the nine months ended September 30, 2024 and 2023, the net impact of non-functional currency related transaction gains (losses) recorded in Other income (expense) on our Condensed Consolidated Statements of Operations was</w:t>
      </w:r>
    </w:p>
    <w:p>
      <w:pPr>
        <w:jc w:val="both"/>
        <w:spacing w:after="0" w:line="208" w:lineRule="auto"/>
        <w:rPr>
          <w:sz w:val="20"/>
          <w:szCs w:val="20"/>
          <w:color w:val="auto"/>
        </w:rPr>
      </w:pPr>
      <w:r>
        <w:rPr>
          <w:rFonts w:ascii="Times New Roman" w:cs="Times New Roman" w:eastAsia="Times New Roman" w:hAnsi="Times New Roman"/>
          <w:sz w:val="18"/>
          <w:szCs w:val="18"/>
          <w:color w:val="auto"/>
        </w:rPr>
        <w:t>$(2.4) million and $(0.3) million, respectively, primarily related to U.S. dollar-denominated cash and intercompany receivables held by our foreign subsidiaries as the strength of the U.S. dollar fluctuated. For the nine months ended September 30, 2024 and 2023, the net impact from the fluctuation of foreign currencies recorded in Foreign currency translation gain (loss) on our Condensed Consolidated Statements of Comprehensive Income (Loss) was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$2.5 million and $0.7 million, respectively. We have not entered into any transactions to hedge our exposure to these foreign currency fluctuations using derivative instruments or other methods but may do so if we deem appropriate in the future. As of September 30, 2024, we held cash balances of $29.8 million in non-U.S. dollar currencies, composed of pound sterling, euros, and Canadian dollars.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elsewhere in this Form 10-Q are prepared in accordance with U.S. GAAP, which requires management to make estimates and assumptions that affect the reported amounts of assets, liabilities, revenues, expenses, and the disclosure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contingent assets and liabilities. Actual results could differ from those estimates. Estimates and the assumptions underlying these estimates are reviewed periodically, and the effects of revisions are reflected in the period in which they are determined to be necessary. For a discussion of our critical accounting estimates, refer to our Annual Report on Form 10-K filed on February 23,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“Management’s Discussion and Analysis of Financial Condition and Results of Operations – Market Risk and Credit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on Form 10-Q as Exhibits 31.1 and 31.2.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September 30, 2024. Based on that evaluation, our principal executive officer and principal financial officer concluded that our disclosure controls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nine months ended September 30, 2024 that materially affected, or are reasonably likely to materially affect, our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71"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For details on the current legal proceedings, refer to Note 16—Commitments and Contingencies in the notes to condensed consolidated financial statements included elsewhere in this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20" w:firstLine="324"/>
        <w:spacing w:after="0" w:line="237" w:lineRule="auto"/>
        <w:rPr>
          <w:sz w:val="20"/>
          <w:szCs w:val="20"/>
          <w:color w:val="auto"/>
        </w:rPr>
      </w:pPr>
      <w:r>
        <w:rPr>
          <w:rFonts w:ascii="Times New Roman" w:cs="Times New Roman" w:eastAsia="Times New Roman" w:hAnsi="Times New Roman"/>
          <w:sz w:val="18"/>
          <w:szCs w:val="18"/>
          <w:color w:val="auto"/>
        </w:rPr>
        <w:t>There have been no material changes or updates to our risk factors that were previously disclosed in “Part I. Item 1A. Risk Factors” in the Company’s Annual Report on Form 10-K for the year ended December 31, 2023 as filed with the SEC on February 23,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repurchase of equity securities during the three months ended September 30, 2024:</w:t>
      </w:r>
    </w:p>
    <w:p>
      <w:pPr>
        <w:sectPr>
          <w:pgSz w:w="11900" w:h="16838" w:orient="portrait"/>
          <w:cols w:equalWidth="0" w:num="1">
            <w:col w:w="11240"/>
          </w:cols>
          <w:pgMar w:left="320" w:top="13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PWP OpCo LPA</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30"/>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9"/>
                <w:szCs w:val="19"/>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yet to be Purchased Under</w:t>
            </w:r>
          </w:p>
        </w:tc>
      </w:tr>
      <w:tr>
        <w:trPr>
          <w:trHeight w:val="243"/>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21"/>
                <w:szCs w:val="21"/>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Publicly Announced Plans or</w:t>
            </w:r>
          </w:p>
        </w:tc>
      </w:tr>
      <w:tr>
        <w:trPr>
          <w:trHeight w:val="238"/>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7"/>
        </w:trPr>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77"/>
        </w:trPr>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93,823,525</w:t>
            </w:r>
          </w:p>
        </w:tc>
      </w:tr>
      <w:tr>
        <w:trPr>
          <w:trHeight w:val="284"/>
        </w:trPr>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93,823,525</w:t>
            </w:r>
          </w:p>
        </w:tc>
      </w:tr>
      <w:tr>
        <w:trPr>
          <w:trHeight w:val="283"/>
        </w:trPr>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93,823,525</w:t>
            </w:r>
          </w:p>
        </w:tc>
      </w:tr>
      <w:tr>
        <w:trPr>
          <w:trHeight w:val="277"/>
        </w:trPr>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-402590</wp:posOffset>
            </wp:positionV>
            <wp:extent cx="713232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-770890</wp:posOffset>
            </wp:positionV>
            <wp:extent cx="71323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666" w:lineRule="exact"/>
        <w:rPr>
          <w:sz w:val="20"/>
          <w:szCs w:val="20"/>
          <w:color w:val="auto"/>
        </w:rPr>
      </w:pPr>
    </w:p>
    <w:p>
      <w:pPr>
        <w:sectPr>
          <w:pgSz w:w="11900" w:h="16838" w:orient="portrait"/>
          <w:cols w:equalWidth="0" w:num="2">
            <w:col w:w="3180" w:space="720"/>
            <w:col w:w="7340"/>
          </w:cols>
          <w:pgMar w:left="320" w:top="1346" w:right="339" w:bottom="1440" w:gutter="0" w:footer="0" w:header="0"/>
          <w:type w:val="continuous"/>
        </w:sectPr>
      </w:pP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6, 2024 (the “Effective Date”), the Second Amended and Restated Agreement of Limited Partnership of PWP Holdings LP (“PWP</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OpCo”), dated as of April 1, 2024 (the “PWP OpCo LPA”), was amended by the First Amendment to the PWP OpCo LPA (the “PWP OpCo LPA Amendment”).</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PWP OpCo LPA Amendment, the Partnership Unit Designation of the Series A PI Units (as defined below) (the “PUD”) was attached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Exhibit F to the PWP OpCo LPA. The PUD provides for the issuance of a new class of partnership profits interests in PWP OpCo (the “Series A PI Units”), pursuant to which holders of Series A PI Units, if any, may receive an annual allocation and corresponding distribution from the profits of PWP OpCo upon the terms and conditions set forth in the applicable Series A PI Unit Award Agreement (the “Award Agreement”).</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36" w:name="page37"/>
    <w:bookmarkEnd w:id="36"/>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the Effective Date, the Compensation Committee of the Company’s Board of Directors and PWP GP LLC, in its capacity as the general partner of PWP OpCo, approved the form of Award Agreement. The Award Agreement provides that any recipient will be eligible to receive an annual allocation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corresponding distribution from the profits of PWP OpCo equal to a percentage of the revenue earned by PWP OpCo for each applicable period in which the Series A PI Units remain outstanding, as specified in the applicable Award Agreement and only to the extent there are sufficient profits; provided that the recipient remains an active professional through, and has not given or received a notice of termination as of, the actual distribution date.</w:t>
      </w:r>
    </w:p>
    <w:p>
      <w:pPr>
        <w:spacing w:after="0" w:line="17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foregoing description of the PWP OpCo LPA Amendment, the PUD and the Award Agreement does not purport to be complete and is qualified in its entirety by the full texts of the PWP OpCo LPA Amendment and the PUD, copies of which are attached hereto as Exhibit 10.1 and incorporated herein by reference, and the full text of the Award Agreement, the form of which is attached hereto as Exhibit 10.2 and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216"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August 6, 2024, Red Hook Capital LLC (“Red Hook”) adopted a Rule 10b5-1 trading arrangement that is intended to satisfy the affirmative defense of Rule 10b5-1(c) for the sale of up to 842,621 shares of the Company’s common stock. Peter Weinberg, Chairman of our Board of Directors, has shared voting and dispositive power over Red Hook through his shared control of Rosedale Partner LLC, the sole member of Red Hook. The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duration is until August 1, 2025.</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During the three months ended September 30, 2024, no other director or officer of the Company adopted, modified or terminated a “Rule 10b5-1 trading arrangement” or “non-Rule 10b5-1 trading arrangement,” as each term is defined in Item 408(a) of Regulation S-K.</w:t>
      </w:r>
    </w:p>
    <w:p>
      <w:pPr>
        <w:sectPr>
          <w:pgSz w:w="11900" w:h="16838" w:orient="portrait"/>
          <w:cols w:equalWidth="0" w:num="1">
            <w:col w:w="11240"/>
          </w:cols>
          <w:pgMar w:left="320" w:top="1350" w:right="33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8572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2064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74" w:lineRule="exact"/>
        <w:rPr>
          <w:sz w:val="20"/>
          <w:szCs w:val="20"/>
          <w:color w:val="auto"/>
        </w:rPr>
      </w:pPr>
    </w:p>
    <w:p>
      <w:pPr>
        <w:ind w:right="1660"/>
        <w:spacing w:after="0" w:line="336" w:lineRule="auto"/>
        <w:rPr>
          <w:sz w:val="20"/>
          <w:szCs w:val="20"/>
          <w:color w:val="auto"/>
        </w:rPr>
      </w:pPr>
      <w:r>
        <w:rPr>
          <w:rFonts w:ascii="Times New Roman" w:cs="Times New Roman" w:eastAsia="Times New Roman" w:hAnsi="Times New Roman"/>
          <w:sz w:val="18"/>
          <w:szCs w:val="18"/>
          <w:u w:val="single" w:color="auto"/>
          <w:color w:val="0000FF"/>
        </w:rPr>
        <w:t>First Amendment to the Second Amended and Restated Agreement of Limited Partnership of PWP Holdings LP Form of Series A PI Unit Award Agreement</w:t>
      </w:r>
    </w:p>
    <w:p>
      <w:pPr>
        <w:spacing w:after="0" w:line="1"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8"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28"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28"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14" w:lineRule="exact"/>
        <w:rPr>
          <w:sz w:val="20"/>
          <w:szCs w:val="20"/>
          <w:color w:val="auto"/>
        </w:rPr>
      </w:pPr>
    </w:p>
    <w:p>
      <w:pPr>
        <w:ind w:right="700"/>
        <w:spacing w:after="0" w:line="29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4" w:lineRule="exact"/>
        <w:rPr>
          <w:sz w:val="20"/>
          <w:szCs w:val="20"/>
          <w:color w:val="auto"/>
        </w:rPr>
      </w:pPr>
    </w:p>
    <w:p>
      <w:pPr>
        <w:sectPr>
          <w:pgSz w:w="11900" w:h="16838" w:orient="portrait"/>
          <w:cols w:equalWidth="0" w:num="2">
            <w:col w:w="1280" w:space="200"/>
            <w:col w:w="9760"/>
          </w:cols>
          <w:pgMar w:left="320" w:top="1350"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49" w:lineRule="exact"/>
        <w:rPr>
          <w:sz w:val="20"/>
          <w:szCs w:val="20"/>
          <w:color w:val="auto"/>
        </w:rPr>
      </w:pPr>
    </w:p>
    <w:p>
      <w:pPr>
        <w:ind w:left="1480" w:hanging="1454"/>
        <w:spacing w:after="0"/>
        <w:tabs>
          <w:tab w:leader="none" w:pos="1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37" w:name="page38"/>
    <w:bookmarkEnd w:id="37"/>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9"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600"/>
          </w:cols>
          <w:pgMar w:left="320" w:top="1346" w:right="9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OF LIMITED PARTNERSHIP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PWP HOLDINGS LP,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FIRST AMENDMENT TO THE SECOND AMENDED AND RESTATED AGREEMENT OF LIMITED PARTNERSHIP OF PWP HOLDINGS LP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as of November 6, 2024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by PWP GP LLC, a Delaware limited liability company, as the general partner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pursuant to Section 3.2(c) of the Second Amended and Restated Agreement of Limited Partnership of PWP Holdings LP, dated as of April 1, 2024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but not otherwise defined herein shall have the respective meanings ascribed thereto in the Agreement.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WHEREAS, pursuant to 3.2(c) of the Agreement, (i) the General Partner is authorized to cause the Partnership to issue additional Partnership Interests, in the form of Units, for any Partnership purpose, at any time or from time to time, to the Partners or to other Persons, and to admit such Persons as Additional Limited Partners, for such consideration and on such terms and conditions as shall be established by the General Partner, all without the approval of any Limited Partner or any other Person, and (ii) any additional Partnership Interests may be issued in one or more classes, or one or more series of any of such classes, with such designations, preferences, conversion or other rights, voting powers, restrictions, rights to distributions, qualifications and terms and conditions of redemption (including rights that may be senior or otherwise entitled to preference over existing Partnership Interests) as shall be determined by the General Partner, without the approval of any Limited Partner or any other Person, and set forth in a written document thereafter attached to and made an exhibit to the Agreement, which exhibit shall be an amendment to the Agreement and shall be incorporated therein by reference; and</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General Partner has determined that it is necessary and desirable to amend the Agreement, and desires to amend the Agreement, in each case as set forth herein.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are hereby acknowledged, the parties hereby agree as follows:</w:t>
      </w:r>
    </w:p>
    <w:p>
      <w:pPr>
        <w:spacing w:after="0" w:line="14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Pursuant to Section 3.2(c) of the Agreement, the Agreement is hereby amended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101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The Partnership Unit Designation, attached as Annex A hereto, is hereby attached to and made an exhibit to the</w:t>
            </w:r>
          </w:p>
        </w:tc>
      </w:tr>
      <w:tr>
        <w:trPr>
          <w:trHeight w:val="20"/>
        </w:trPr>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0160" w:type="dxa"/>
            <w:vAlign w:val="bottom"/>
            <w:gridSpan w:val="7"/>
          </w:tcPr>
          <w:p>
            <w:pPr>
              <w:ind w:left="220"/>
              <w:spacing w:after="0" w:line="237" w:lineRule="exact"/>
              <w:rPr>
                <w:sz w:val="20"/>
                <w:szCs w:val="20"/>
                <w:color w:val="auto"/>
              </w:rPr>
            </w:pPr>
            <w:r>
              <w:rPr>
                <w:rFonts w:ascii="Times New Roman" w:cs="Times New Roman" w:eastAsia="Times New Roman" w:hAnsi="Times New Roman"/>
                <w:sz w:val="22"/>
                <w:szCs w:val="22"/>
                <w:color w:val="auto"/>
              </w:rPr>
              <w:t>Agreement as Exhibit F thereto, which Exhibit F shall be an amendment to the Agreement and shall be</w:t>
            </w:r>
          </w:p>
        </w:tc>
      </w:tr>
      <w:tr>
        <w:trPr>
          <w:trHeight w:val="20"/>
        </w:trPr>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r>
      <w:tr>
        <w:trPr>
          <w:trHeight w:val="289"/>
        </w:trPr>
        <w:tc>
          <w:tcPr>
            <w:tcW w:w="420" w:type="dxa"/>
            <w:vAlign w:val="bottom"/>
          </w:tcPr>
          <w:p>
            <w:pPr>
              <w:spacing w:after="0"/>
              <w:rPr>
                <w:sz w:val="24"/>
                <w:szCs w:val="24"/>
                <w:color w:val="auto"/>
              </w:rPr>
            </w:pPr>
          </w:p>
        </w:tc>
        <w:tc>
          <w:tcPr>
            <w:tcW w:w="101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incorporated therein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39" w:name="page40"/>
    <w:bookmarkEnd w:id="39"/>
    <w:p>
      <w:pPr>
        <w:jc w:val="both"/>
        <w:ind w:left="652" w:hanging="652"/>
        <w:spacing w:after="0" w:line="257" w:lineRule="auto"/>
        <w:tabs>
          <w:tab w:leader="none" w:pos="65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Except as specifically amended hereby, the terms, covenants, provisions and conditions of the Agreement shall remain unmodified and continue in full force and effect and, except as amended hereby, all of the terms, covenants, provisions and conditions of the Agreement are hereby ratified and confirmed in all respects.</w:t>
      </w:r>
    </w:p>
    <w:p>
      <w:pPr>
        <w:spacing w:after="0" w:line="1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42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color w:val="auto"/>
        </w:rPr>
        <w:t>IN WITNESS WHEREOF, the undersigned has executed this Amendment as of the date first written above.</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GENERAL PARTNER:</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PWP GP LLC</w:t>
      </w: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Perella Weinberg Partners, its sole member</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774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Alexandra Gottschalk</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[First Amendment to the Second Amended and Restated Agreement of Limited Partnership of PWP Holdings LP]</w:t>
      </w:r>
    </w:p>
    <w:p>
      <w:pPr>
        <w:sectPr>
          <w:pgSz w:w="11900" w:h="16838" w:orient="portrait"/>
          <w:cols w:equalWidth="0" w:num="1">
            <w:col w:w="9479"/>
          </w:cols>
          <w:pgMar w:left="980" w:top="1422" w:right="1440"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00" w:lineRule="exact"/>
        <w:rPr>
          <w:sz w:val="20"/>
          <w:szCs w:val="20"/>
          <w:color w:val="auto"/>
        </w:rPr>
      </w:pPr>
    </w:p>
    <w:p>
      <w:pPr>
        <w:spacing w:after="0" w:line="2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PARTNERSHIP UNIT DESIGNATION OF THE</w:t>
      </w:r>
    </w:p>
    <w:p>
      <w:pPr>
        <w:spacing w:after="0" w:line="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SERIES A PI UNITS</w:t>
      </w:r>
    </w:p>
    <w:p>
      <w:pPr>
        <w:spacing w:after="0" w:line="1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OF PWP HOLDINGS LP</w:t>
      </w:r>
    </w:p>
    <w:p>
      <w:pPr>
        <w:spacing w:after="0" w:line="200" w:lineRule="exact"/>
        <w:rPr>
          <w:sz w:val="20"/>
          <w:szCs w:val="20"/>
          <w:color w:val="auto"/>
        </w:rPr>
      </w:pPr>
    </w:p>
    <w:p>
      <w:pPr>
        <w:spacing w:after="0" w:line="235" w:lineRule="exact"/>
        <w:rPr>
          <w:sz w:val="20"/>
          <w:szCs w:val="20"/>
          <w:color w:val="auto"/>
        </w:rPr>
      </w:pPr>
    </w:p>
    <w:p>
      <w:pPr>
        <w:jc w:val="both"/>
        <w:ind w:firstLine="656"/>
        <w:spacing w:after="0" w:line="259"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Number of Units and Designation</w:t>
      </w:r>
      <w:r>
        <w:rPr>
          <w:rFonts w:ascii="Times New Roman" w:cs="Times New Roman" w:eastAsia="Times New Roman" w:hAnsi="Times New Roman"/>
          <w:sz w:val="22"/>
          <w:szCs w:val="22"/>
          <w:color w:val="auto"/>
        </w:rPr>
        <w:t>. A class of Partnership Units is hereby designated as “</w:t>
      </w:r>
      <w:r>
        <w:rPr>
          <w:rFonts w:ascii="Times New Roman" w:cs="Times New Roman" w:eastAsia="Times New Roman" w:hAnsi="Times New Roman"/>
          <w:sz w:val="22"/>
          <w:szCs w:val="22"/>
          <w:i w:val="1"/>
          <w:iCs w:val="1"/>
          <w:color w:val="auto"/>
        </w:rPr>
        <w:t>Series A PI Units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Partnership Units constituting such class shall be 1,000. For the avoidance of doubt, the Series A PI Units shall not be treated as “Common Units” under the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Capitalized terms used and not otherwise defined herein shall have the respective meanings assigned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thereto in the Agreement, as modified by this PUD and the defined terms used herein. For purposes of this PUD, the following terms shall have the respective meanings ascribed below:</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the Second Amended and Restated Agreement of Limited Partnership of the Partnership, dated as of April 1, 2024, as amended, supplemented or restated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Distribution Amount</w:t>
      </w:r>
      <w:r>
        <w:rPr>
          <w:rFonts w:ascii="Times New Roman" w:cs="Times New Roman" w:eastAsia="Times New Roman" w:hAnsi="Times New Roman"/>
          <w:sz w:val="22"/>
          <w:szCs w:val="22"/>
          <w:color w:val="auto"/>
        </w:rPr>
        <w:t>” shall have the meaning set forth in the applicable Award Agreement.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a written agreement between a Holder and the Partnership evidencing the grant of one or more Series A PI Units.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shall mean PWP Holdings LP, a Delaware limited partnership.</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PUD</w:t>
      </w:r>
      <w:r>
        <w:rPr>
          <w:rFonts w:ascii="Times New Roman" w:cs="Times New Roman" w:eastAsia="Times New Roman" w:hAnsi="Times New Roman"/>
          <w:sz w:val="22"/>
          <w:szCs w:val="22"/>
          <w:color w:val="auto"/>
        </w:rPr>
        <w:t>” shall mean this Partnership Unit Designation of the Series A PI Units, as amended, supplemented or restated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Reduced Distribution Amount</w:t>
      </w:r>
      <w:r>
        <w:rPr>
          <w:rFonts w:ascii="Times New Roman" w:cs="Times New Roman" w:eastAsia="Times New Roman" w:hAnsi="Times New Roman"/>
          <w:sz w:val="22"/>
          <w:szCs w:val="22"/>
          <w:color w:val="auto"/>
        </w:rPr>
        <w:t>” shall have the meaning set forth in the applicable Award Agreement.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PI Unit</w:t>
      </w:r>
      <w:r>
        <w:rPr>
          <w:rFonts w:ascii="Times New Roman" w:cs="Times New Roman" w:eastAsia="Times New Roman" w:hAnsi="Times New Roman"/>
          <w:sz w:val="22"/>
          <w:szCs w:val="22"/>
          <w:color w:val="auto"/>
        </w:rPr>
        <w:t>” shall mean a Series A PI Unit with the designations, preferences and relative, participating, optional or other special rights, powers and duties attributable to such Series A PI Unit, as set forth in this PUD and the applicable Award Agreement.</w:t>
      </w:r>
    </w:p>
    <w:p>
      <w:pPr>
        <w:spacing w:after="0" w:line="169"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Distributions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cause the Partnership to pay the applicable Annual Distribution Amount (or Reduced Distribution Amount) to each Holder of Series A PI Units, in each case, (i) upon the terms and subject to the conditions set forth in such Holder’s</w:t>
      </w:r>
    </w:p>
    <w:p>
      <w:pPr>
        <w:sectPr>
          <w:pgSz w:w="11900" w:h="16838" w:orient="portrait"/>
          <w:cols w:equalWidth="0" w:num="1">
            <w:col w:w="11240"/>
          </w:cols>
          <w:pgMar w:left="320" w:top="1418"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22"/>
          <w:szCs w:val="22"/>
          <w:color w:val="auto"/>
        </w:rPr>
        <w:t>Award Agreement, (ii) in parity with distributions made in respect of other Series A PI Units, (iii) in preference or priority to distributions made in respect of any other Partnership Unit (other than any other Partnership Unit that ranks senior in priority to the Series A PI Units pursuant to its Partnership Unit Designation) and (iv) irrespective of whether such Series A PI Units were outstanding during the entire period in respect of which any distribution is made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without any proration thereof).</w:t>
      </w:r>
    </w:p>
    <w:p>
      <w:pPr>
        <w:spacing w:after="0" w:line="176" w:lineRule="exact"/>
        <w:rPr>
          <w:sz w:val="20"/>
          <w:szCs w:val="20"/>
          <w:color w:val="auto"/>
        </w:rPr>
      </w:pPr>
    </w:p>
    <w:p>
      <w:pPr>
        <w:jc w:val="both"/>
        <w:ind w:firstLine="1304"/>
        <w:spacing w:after="0" w:line="251" w:lineRule="auto"/>
        <w:tabs>
          <w:tab w:leader="none" w:pos="193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the Partnership may, but shall not be required to, make distributions to the Holders of Series A PI Units of an aggregate amount in cash sufficient to allow each such Holder to pay its Annual Income Tax Liability with respect to the calendar year, taking into account any Tax Distributions made with respect to the Holder’s Partnership Class A Common Units, if any. All distributions made to Partners pursuant to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shall be treated as advance distributions and shall be taken into account in determining the amount subsequently distributed to Holders in accordance with each Holder’s Award Agreement.</w:t>
      </w:r>
    </w:p>
    <w:p>
      <w:pPr>
        <w:spacing w:after="0" w:line="17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w:t>
      </w:r>
      <w:r>
        <w:rPr>
          <w:rFonts w:ascii="Times New Roman" w:cs="Times New Roman" w:eastAsia="Times New Roman" w:hAnsi="Times New Roman"/>
          <w:sz w:val="22"/>
          <w:szCs w:val="22"/>
          <w:color w:val="auto"/>
        </w:rPr>
        <w:t>. To the extent not otherwise addressed in the applicable Award Agreement, if a Holder of Series A PI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is Terminated (as defined in the applicable Award Agreement) for any reason, the Series A PI Unit shall immediately and automatically be forfeited by the Holder and the Holder (and the Holder’s heirs, transferees, successors and assigns) shall thereafter have no right, title or interest whatsoever in such forfeited Series A PI Unit (other than the right to receive payment of the Holder’s Capital Account with respect to such Series A PI Unit, as described in the applicable Award Agreement) and such forfeited Series A PI Unit shall be returned to the Partnership. The Holder (and the Holder’s heirs, transferees, successors and assigns) shall receive no payment from the Partnership in connection with the forfeiture of any Series A PI Unit (other than the right to receive payment of the Holder’s Capital Account with respect to such Series A PI Unit, as described in the applicable Award Agreement).</w:t>
      </w:r>
    </w:p>
    <w:p>
      <w:pPr>
        <w:spacing w:after="0" w:line="198"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Status of Forfeited Units</w:t>
      </w:r>
      <w:r>
        <w:rPr>
          <w:rFonts w:ascii="Times New Roman" w:cs="Times New Roman" w:eastAsia="Times New Roman" w:hAnsi="Times New Roman"/>
          <w:sz w:val="22"/>
          <w:szCs w:val="22"/>
          <w:color w:val="auto"/>
        </w:rPr>
        <w:t>. All Series A PI Units that have been issued and subsequently forfeited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and automatically be deemed authorized but unissued and, for the avoidance of doubt, no longer outstanding.</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Series A PI Units Uncertificated</w:t>
      </w:r>
      <w:r>
        <w:rPr>
          <w:rFonts w:ascii="Times New Roman" w:cs="Times New Roman" w:eastAsia="Times New Roman" w:hAnsi="Times New Roman"/>
          <w:sz w:val="22"/>
          <w:szCs w:val="22"/>
          <w:color w:val="auto"/>
        </w:rPr>
        <w:t>. The ownership of the Series A PI Units shall not be evidenced by certificates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ownership.</w:t>
      </w:r>
    </w:p>
    <w:p>
      <w:pPr>
        <w:spacing w:after="0" w:line="191"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Allocations of Net Income and Net Loss; Capital Accounts</w:t>
      </w:r>
      <w:r>
        <w:rPr>
          <w:rFonts w:ascii="Times New Roman" w:cs="Times New Roman" w:eastAsia="Times New Roman" w:hAnsi="Times New Roman"/>
          <w:sz w:val="22"/>
          <w:szCs w:val="22"/>
          <w:color w:val="auto"/>
        </w:rPr>
        <w:t>. Except as otherwise required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each Holder of Series A PI Units shall be allocated Net Income in an aggregate amount equal to such Holder’s Annual Distribution Amount (or Reduced Distribution Amount) with respect to the relevant taxable year, if any.</w:t>
      </w:r>
    </w:p>
    <w:p>
      <w:pPr>
        <w:spacing w:after="0" w:line="161"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A Holder of Series A PI Units shall have only the rights set forth in this PUD and such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In no event shall a Holder, in their capacity as a Holder of a Series A PI Unit, be entitled to vote on, or consent to, any matter.</w:t>
      </w:r>
    </w:p>
    <w:p>
      <w:pPr>
        <w:sectPr>
          <w:pgSz w:w="11900" w:h="16838" w:orient="portrait"/>
          <w:cols w:equalWidth="0" w:num="1">
            <w:col w:w="11240"/>
          </w:cols>
          <w:pgMar w:left="320" w:top="1422" w:right="339" w:bottom="1440" w:gutter="0" w:footer="0" w:header="0"/>
        </w:sectPr>
      </w:pPr>
    </w:p>
    <w:bookmarkStart w:id="43" w:name="page44"/>
    <w:bookmarkEnd w:id="43"/>
    <w:p>
      <w:pPr>
        <w:ind w:left="-656" w:firstLine="656"/>
        <w:spacing w:after="0" w:line="275"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Subject to the terms of the Agreement, the General Partner is authorized to amend this PUD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without the consent or approval of any Partners or Holders of Series A PI Units.</w:t>
      </w:r>
    </w:p>
    <w:p>
      <w:pPr>
        <w:spacing w:after="0" w:line="149"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on Transfer</w:t>
      </w:r>
      <w:r>
        <w:rPr>
          <w:rFonts w:ascii="Times New Roman" w:cs="Times New Roman" w:eastAsia="Times New Roman" w:hAnsi="Times New Roman"/>
          <w:sz w:val="22"/>
          <w:szCs w:val="22"/>
          <w:color w:val="auto"/>
        </w:rPr>
        <w:t>. Except as may be determined by the General Partner, in its sole discretion, or as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applicable Award Agreement, the rights of a Holder with respect to Series A PI Units shall not be assignable or transferable by the Holder. Any attempt to dispose of any Series A PI Units in contravention of these restrictions shall be null and void and without effect. Without limiting the foregoing, any Series A PI Unit that is proposed to be transferred in accordance with the terms hereof shall not be effective unless such transfer is effected in accordance with any applicable securities laws and the proposed transferee agrees in writing that the provisions hereof shall continue to apply to the Series A PI Unit in the hands of the proposed transferee.</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Partnership Profits Interests</w:t>
      </w:r>
      <w:r>
        <w:rPr>
          <w:rFonts w:ascii="Times New Roman" w:cs="Times New Roman" w:eastAsia="Times New Roman" w:hAnsi="Times New Roman"/>
          <w:sz w:val="22"/>
          <w:szCs w:val="22"/>
          <w:color w:val="auto"/>
        </w:rPr>
        <w:t>. It is intended that the Series A PI Units satisfy the requirements for a partnership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profits interest transferred in connection with the performance of services, as set forth in IRS Revenue Procedures 93-27 and 2001-43, or any future IRS guidance or other authority that supplements or supersedes the foregoing IRS Revenue Procedures, and the provisions of this PUD shall be interpreted and applied consistently therewith. In accordance with the foregoing, in no event shall the Series A PI Units be entitled to distributions (including redemption proceeds) in excess of the aggregate amount of the Partnership’s net “section 704(b)” income and gain realized after the grant of the Series A PI Units.</w:t>
      </w:r>
    </w:p>
    <w:p>
      <w:pPr>
        <w:spacing w:after="0" w:line="174" w:lineRule="exact"/>
        <w:rPr>
          <w:rFonts w:ascii="Times New Roman" w:cs="Times New Roman" w:eastAsia="Times New Roman" w:hAnsi="Times New Roman"/>
          <w:sz w:val="22"/>
          <w:szCs w:val="22"/>
          <w:color w:val="auto"/>
        </w:rPr>
      </w:pPr>
    </w:p>
    <w:p>
      <w:pPr>
        <w:ind w:left="-656" w:firstLine="656"/>
        <w:spacing w:after="0" w:line="275"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Headings of Subdivisions</w:t>
      </w:r>
      <w:r>
        <w:rPr>
          <w:rFonts w:ascii="Times New Roman" w:cs="Times New Roman" w:eastAsia="Times New Roman" w:hAnsi="Times New Roman"/>
          <w:sz w:val="22"/>
          <w:szCs w:val="22"/>
          <w:color w:val="auto"/>
        </w:rPr>
        <w:t>. The headings of the various subdivisions hereof are for convenience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not affect the interpretation of any of the provisions hereof.</w:t>
      </w:r>
    </w:p>
    <w:p>
      <w:pPr>
        <w:spacing w:after="0" w:line="149"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right or limitations of the Series A PI Units set forth in this PUD (as may be amended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is invalid, unlawful or incapable of being enforced by reason of any rule or law or public policy, all other rights, preferences and limitations set forth in this PUD, as amended, which can be given effect without the invalid, unlawful or unenforceable right, preference or limitation shall, nevertheless remain in full force and effect, and no right, preference or limitation herein set forth shall be deemed dependent upon any other such right, preference or limitation unless so expressed herein.</w:t>
      </w:r>
    </w:p>
    <w:p>
      <w:pPr>
        <w:spacing w:after="0" w:line="174" w:lineRule="exact"/>
        <w:rPr>
          <w:rFonts w:ascii="Times New Roman" w:cs="Times New Roman" w:eastAsia="Times New Roman" w:hAnsi="Times New Roman"/>
          <w:sz w:val="22"/>
          <w:szCs w:val="22"/>
          <w:color w:val="auto"/>
        </w:rPr>
      </w:pPr>
    </w:p>
    <w:p>
      <w:pPr>
        <w:jc w:val="both"/>
        <w:ind w:left="-656" w:firstLine="656"/>
        <w:spacing w:after="0" w:line="258"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General Partner, acting reasonably and in good faith, shall have the exclusive power,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and discretion to interpret the terms of, and any matter arising pursuant to, this PUD. The General Partner’s good faith interpretation of this PUD and all decisions and determinations by the General Partner with respect to this PUD, the Agreement and the applicable Award Agreement are final, binding and conclusive on all parties.</w:t>
      </w:r>
    </w:p>
    <w:p>
      <w:pPr>
        <w:spacing w:after="0" w:line="167" w:lineRule="exact"/>
        <w:rPr>
          <w:rFonts w:ascii="Times New Roman" w:cs="Times New Roman" w:eastAsia="Times New Roman" w:hAnsi="Times New Roman"/>
          <w:sz w:val="22"/>
          <w:szCs w:val="22"/>
          <w:color w:val="auto"/>
        </w:rPr>
      </w:pPr>
    </w:p>
    <w:p>
      <w:pPr>
        <w:ind w:left="-656" w:firstLine="656"/>
        <w:spacing w:after="0" w:line="275"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PUD shall be governed by and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without regard to conflicts of laws principles.</w:t>
      </w:r>
    </w:p>
    <w:p>
      <w:pPr>
        <w:spacing w:after="0" w:line="149" w:lineRule="exact"/>
        <w:rPr>
          <w:rFonts w:ascii="Times New Roman" w:cs="Times New Roman" w:eastAsia="Times New Roman" w:hAnsi="Times New Roman"/>
          <w:sz w:val="22"/>
          <w:szCs w:val="22"/>
          <w:color w:val="auto"/>
        </w:rPr>
      </w:pPr>
    </w:p>
    <w:p>
      <w:pPr>
        <w:ind w:left="-656" w:firstLine="656"/>
        <w:spacing w:after="0" w:line="287"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Conflicts with Award Agreement</w:t>
      </w:r>
      <w:r>
        <w:rPr>
          <w:rFonts w:ascii="Times New Roman" w:cs="Times New Roman" w:eastAsia="Times New Roman" w:hAnsi="Times New Roman"/>
          <w:sz w:val="22"/>
          <w:szCs w:val="22"/>
          <w:color w:val="auto"/>
        </w:rPr>
        <w:t>. In the event of any inconsistency between this PUD and the applicable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terms of the Award Agreement shall control.</w:t>
      </w:r>
    </w:p>
    <w:p>
      <w:pPr>
        <w:sectPr>
          <w:pgSz w:w="11900" w:h="16838" w:orient="portrait"/>
          <w:cols w:equalWidth="0" w:num="1">
            <w:col w:w="10584"/>
          </w:cols>
          <w:pgMar w:left="976" w:top="1418" w:right="339" w:bottom="1440" w:gutter="0" w:footer="0" w:header="0"/>
        </w:sectPr>
      </w:pPr>
    </w:p>
    <w:bookmarkStart w:id="44" w:name="page45"/>
    <w:bookmarkEnd w:id="44"/>
    <w:p>
      <w:pPr>
        <w:jc w:val="both"/>
        <w:spacing w:after="0" w:line="268" w:lineRule="auto"/>
        <w:rPr>
          <w:sz w:val="20"/>
          <w:szCs w:val="20"/>
          <w:color w:val="auto"/>
        </w:rPr>
      </w:pPr>
      <w:r>
        <w:rPr>
          <w:rFonts w:ascii="Times New Roman" w:cs="Times New Roman" w:eastAsia="Times New Roman" w:hAnsi="Times New Roman"/>
          <w:sz w:val="21"/>
          <w:szCs w:val="21"/>
          <w:color w:val="auto"/>
        </w:rPr>
        <w:t>The General Partner is authorized to modify or amend this PUD as it determines to be necessary or desirable from time to time to conform the terms of this PUD to the applicable Award Agreement, as in effect on the date hereof and as it may be modified in the future. For the avoidance of doubt, all payments with respect to the Annual Distribution Amount (or Reduced Distribution Amount), if any, will be made by the Partnership solely pursuant to the applicable Award Agreement, and not pursuant to this PUD or otherwise with respect to the Series A PI Units, and the Series A PI Units shall represent no rights therein.</w:t>
      </w:r>
    </w:p>
    <w:p>
      <w:pPr>
        <w:spacing w:after="0" w:line="160" w:lineRule="exact"/>
        <w:rPr>
          <w:sz w:val="20"/>
          <w:szCs w:val="20"/>
          <w:color w:val="auto"/>
        </w:rPr>
      </w:pPr>
    </w:p>
    <w:p>
      <w:pPr>
        <w:ind w:firstLine="656"/>
        <w:spacing w:after="0" w:line="275"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Conflicts with Agreement</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this PUD supplements the Agreement and, to the extent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conflict between the Agreement and this PUD, the terms of this PUD shall control.</w:t>
      </w:r>
    </w:p>
    <w:p>
      <w:pPr>
        <w:spacing w:after="0" w:line="153" w:lineRule="exact"/>
        <w:rPr>
          <w:rFonts w:ascii="Times New Roman" w:cs="Times New Roman" w:eastAsia="Times New Roman" w:hAnsi="Times New Roman"/>
          <w:sz w:val="22"/>
          <w:szCs w:val="22"/>
          <w:color w:val="auto"/>
        </w:rPr>
      </w:pPr>
    </w:p>
    <w:p>
      <w:pPr>
        <w:ind w:left="5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w:t>
      </w:r>
    </w:p>
    <w:p>
      <w:pPr>
        <w:sectPr>
          <w:pgSz w:w="11900" w:h="16838" w:orient="portrait"/>
          <w:cols w:equalWidth="0" w:num="1">
            <w:col w:w="11240"/>
          </w:cols>
          <w:pgMar w:left="320" w:top="142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PWP HOLDINGS LP</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A PI UNIT AWARD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THIS SERIES A PI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 of [__________]</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by and between PWP Holdings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and [__________] (the</w:t>
      </w:r>
    </w:p>
    <w:p>
      <w:pPr>
        <w:spacing w:after="0" w:line="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Capitalized terms used but not otherwise defined herein shall have the respective meanings set forth in the Second Amended and Restated Agreement of Limited Partnership of the Partnership, dated as of April 1, 2024 (as amended, supplemented or restated from time to time, the “</w:t>
      </w:r>
      <w:r>
        <w:rPr>
          <w:rFonts w:ascii="Times New Roman" w:cs="Times New Roman" w:eastAsia="Times New Roman" w:hAnsi="Times New Roman"/>
          <w:sz w:val="22"/>
          <w:szCs w:val="22"/>
          <w:u w:val="single" w:color="auto"/>
          <w:color w:val="auto"/>
        </w:rPr>
        <w:t>LP Agreement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75"/>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Partnership is agreeing to issue a partnership profits interest in the Partnership in the form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 Unit designated as a Series A PI Unit (the “</w:t>
      </w:r>
      <w:r>
        <w:rPr>
          <w:rFonts w:ascii="Times New Roman" w:cs="Times New Roman" w:eastAsia="Times New Roman" w:hAnsi="Times New Roman"/>
          <w:sz w:val="22"/>
          <w:szCs w:val="22"/>
          <w:u w:val="single" w:color="auto"/>
          <w:color w:val="auto"/>
        </w:rPr>
        <w:t>PI Unit</w:t>
      </w:r>
      <w:r>
        <w:rPr>
          <w:rFonts w:ascii="Times New Roman" w:cs="Times New Roman" w:eastAsia="Times New Roman" w:hAnsi="Times New Roman"/>
          <w:sz w:val="22"/>
          <w:szCs w:val="22"/>
          <w:color w:val="auto"/>
        </w:rPr>
        <w:t>”) to the Participant, subject to the terms and conditions contained herein, in the Partnership Unit Designation pertaining to the PI Unit (the “</w:t>
      </w:r>
      <w:r>
        <w:rPr>
          <w:rFonts w:ascii="Times New Roman" w:cs="Times New Roman" w:eastAsia="Times New Roman" w:hAnsi="Times New Roman"/>
          <w:sz w:val="22"/>
          <w:szCs w:val="22"/>
          <w:u w:val="single" w:color="auto"/>
          <w:color w:val="auto"/>
        </w:rPr>
        <w:t>PUD</w:t>
      </w:r>
      <w:r>
        <w:rPr>
          <w:rFonts w:ascii="Times New Roman" w:cs="Times New Roman" w:eastAsia="Times New Roman" w:hAnsi="Times New Roman"/>
          <w:sz w:val="22"/>
          <w:szCs w:val="22"/>
          <w:color w:val="auto"/>
        </w:rPr>
        <w:t>”) and in the LP Agreement; and</w:t>
      </w:r>
    </w:p>
    <w:p>
      <w:pPr>
        <w:spacing w:after="0" w:line="166" w:lineRule="exact"/>
        <w:rPr>
          <w:sz w:val="20"/>
          <w:szCs w:val="20"/>
          <w:color w:val="auto"/>
        </w:rPr>
      </w:pPr>
    </w:p>
    <w:p>
      <w:pPr>
        <w:jc w:val="both"/>
        <w:ind w:firstLine="675"/>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Partnership and the Participant desire to enter into this Agreement setting forth the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grant of the PI Unit to the Participant.</w:t>
      </w:r>
    </w:p>
    <w:p>
      <w:pPr>
        <w:spacing w:after="0" w:line="16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hereinafter set forth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of which are hereby acknowledged, the parties hereto agree as follows:</w:t>
      </w:r>
    </w:p>
    <w:p>
      <w:pPr>
        <w:spacing w:after="0" w:line="153"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the PI Unit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reliance on the representations and warranties contained herein, and subject to all of the terms and conditions included in this Agreement, the PUD and in the LP Agreement, the Partnership hereby grants 1 PI Unit to the Participant. The PI Unit represents an interest in the profits of the Partnership designated in the PUD that entitles the Participant to receive certain distributions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so long as the Participant remains an Active Professional through, and has not given or received a notice of Termination as of, the date of an applicable distribution, as further described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hereto. The PI Units are being granted as additional consideration for services anticipated to be provided on or after the Grant Date to or for the benefit of the Partnership. Where the context permits, references to the “Partnership” shall include the Partnership and any Affiliate of or successor to the Partnership.</w:t>
      </w:r>
    </w:p>
    <w:p>
      <w:pPr>
        <w:spacing w:after="0" w:line="195"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determinations made by the Partnership pursuant to this Agreement (including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shall be reviewed and approved by the Compensation Committee of the Board of Directors of Perella Weinberg Partners.</w:t>
      </w:r>
    </w:p>
    <w:p>
      <w:pPr>
        <w:sectPr>
          <w:pgSz w:w="11900" w:h="16838" w:orient="portrait"/>
          <w:cols w:equalWidth="0" w:num="1">
            <w:col w:w="11240"/>
          </w:cols>
          <w:pgMar w:left="320" w:top="117" w:right="339" w:bottom="1440" w:gutter="0" w:footer="0" w:header="0"/>
        </w:sectPr>
      </w:pPr>
    </w:p>
    <w:bookmarkStart w:id="46" w:name="page47"/>
    <w:bookmarkEnd w:id="46"/>
    <w:p>
      <w:pPr>
        <w:spacing w:after="0" w:line="200" w:lineRule="exact"/>
        <w:rPr>
          <w:sz w:val="20"/>
          <w:szCs w:val="20"/>
          <w:color w:val="auto"/>
        </w:rPr>
      </w:pPr>
    </w:p>
    <w:p>
      <w:pPr>
        <w:spacing w:after="0" w:line="336" w:lineRule="exact"/>
        <w:rPr>
          <w:sz w:val="20"/>
          <w:szCs w:val="20"/>
          <w:color w:val="auto"/>
        </w:rPr>
      </w:pPr>
    </w:p>
    <w:p>
      <w:pPr>
        <w:jc w:val="both"/>
        <w:ind w:firstLine="656"/>
        <w:spacing w:after="0" w:line="250"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xml:space="preserve">. Notwithstanding anything to the contrary set forth in any other agreement between the Participant and the Partnership, if the Participant is Terminated for any reason, the PI Unit shall immediately and automatically be forfeited by the Participant and the Participant (and the Participant’s heirs, transferees, successors and assigns) shall thereafter have no right, title or interest whatsoever in such forfeited PI Unit (other than the right to receive payment of the Participant’s Capital Account with respect to such PI Unit, as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such forfeited PI Unit shall be returned to the Partnership. The Participant (and the Participant’s heirs, transferees, successors and assigns) shall receive no payment from the Partnership in connection with the forfeiture of any PI Unit (other than the right to receive payment of the Participant’s Capital Account with respect to such PI Unit, as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Limited Partner</w:t>
      </w:r>
      <w:r>
        <w:rPr>
          <w:rFonts w:ascii="Times New Roman" w:cs="Times New Roman" w:eastAsia="Times New Roman" w:hAnsi="Times New Roman"/>
          <w:sz w:val="22"/>
          <w:szCs w:val="22"/>
          <w:color w:val="auto"/>
        </w:rPr>
        <w:t>. From and after the Grant Date, the Participant shall have only the rights of a Holder of a PI Unit as set forth in this Agreement and the PUD. In no event shall the Participant, in the Participant’s capacity as a Holder of a PI Unit, be entitled to vote on, or consent to, any matter.</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and agrees that the Participant is bound by certain restrictive covenants in connection with the Participant’s status as an Active Professional, including, without limitation, confidentiality, non-solicitation, non-competition and non-disparagement covenants (including, without limitation, the restrictive covenants in the LP Agreement or any other partnership agreement or other definitive agreement to which the Participant is a party) (as applicable,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The Restrictive Covenants are incorporated by reference as if fully set forth herein and are hereby re-executed and reaffirmed.</w:t>
      </w:r>
    </w:p>
    <w:p>
      <w:pPr>
        <w:spacing w:after="0" w:line="200"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18 U.S.C. §1833(b), the Participant shall not be held criminally or civilly liable under any Federal or State trade secret law for the disclosure of a trade secret of the Partnership that (a) is made (i) in confidence to a Federal, State, or local government official, either directly or indirectly, or to the Participant’s attorney, and (ii) solely for the purpose of reporting or investigating a suspected violation of law; or (b) is made in a complaint or other document that is filed under seal in a lawsuit or other proceeding. If the Participant files a lawsuit for retaliation by the Partnership for reporting a suspected violation of law, the Participant may disclose the trade secret to the Participant’s attorney and use the trade secret information in the court proceeding, if the Participant (1) 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this Agreement or any other agreement that the Participant has with the Partnership shall prohibit or restrict the Participant from (x) making any voluntary disclosure of information or documents concerning possible violations of law to any governmental agency or legislative body, or any self-regulatory organization, in each case, without advance notice to the Partnership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providing truthful testimony or access to confidential information in response to a valid subpoena, court order, regulatory request, or other legal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before making any such disclosure under this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the Participant agrees to immediately give the Partnership written notice of the Participant’s intended disclosure and to afford the Partnership a reasonable opportunity to protect its interests.</w:t>
      </w:r>
    </w:p>
    <w:p>
      <w:pPr>
        <w:spacing w:after="0" w:line="176" w:lineRule="exact"/>
        <w:rPr>
          <w:sz w:val="20"/>
          <w:szCs w:val="20"/>
          <w:color w:val="auto"/>
        </w:rPr>
      </w:pPr>
    </w:p>
    <w:p>
      <w:pPr>
        <w:jc w:val="both"/>
        <w:ind w:firstLine="656"/>
        <w:spacing w:after="0" w:line="251"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Transfer</w:t>
      </w:r>
      <w:r>
        <w:rPr>
          <w:rFonts w:ascii="Times New Roman" w:cs="Times New Roman" w:eastAsia="Times New Roman" w:hAnsi="Times New Roman"/>
          <w:sz w:val="22"/>
          <w:szCs w:val="22"/>
          <w:color w:val="auto"/>
        </w:rPr>
        <w:t>. Except as set forth in the LP Agreement or as may be determined by the General Partner, in its sole discretion, the rights of a Participant with respect to PI Units shall not be assignable or transferable by the Participant. Any attempt to dispose of any PI Units in contravention of these restrictions shall be null and void and without effect. Any PI Unit that is proposed to be transferred in accordance with the terms hereof shall not be effective unless such transfer is effected in accordance with any applicable securities laws and the proposed transferee agrees in writing that the provisions hereof shall continue to apply to the PI Unit in the hands of the proposed transferee.</w:t>
      </w:r>
    </w:p>
    <w:p>
      <w:pPr>
        <w:spacing w:after="0" w:line="181"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Participant</w:t>
      </w:r>
      <w:r>
        <w:rPr>
          <w:rFonts w:ascii="Times New Roman" w:cs="Times New Roman" w:eastAsia="Times New Roman" w:hAnsi="Times New Roman"/>
          <w:sz w:val="22"/>
          <w:szCs w:val="22"/>
          <w:color w:val="auto"/>
        </w:rPr>
        <w:t>. The Participant hereby represents and warrants to the Partnership as of the date of this Agreement as follows:</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qualifies as an Accredited Investor under the Securities Act of 1933, as amended, and the rules and regulations of the Securities and Exchange Commission promulgated thereunder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such knowledge and experience in financial and business matters that the Participant is capable of evaluating the merits and risks of the investment to be made by the Participant hereunder. The Participant understands and has taken cognizance of all the risk factors related to the investment in the PI Unit.</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acquiring the PI Unit for the Participant’s own account for investment and not with any view to, or for resale in connection with, any distribution or public offering thereof within the meaning of the Securities Act.</w:t>
      </w:r>
    </w:p>
    <w:p>
      <w:pPr>
        <w:spacing w:after="0" w:line="14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understands that (i) the PI Unit has not been registered under the Securities Act or applicable state securities laws, in reliance on exemptions from registration under the Securities Act and applicable state securities laws and (ii) no federal or state agency has made any finding or determination as to the fairness for investment, nor any recommendation or endorsement, of the PI Unit.</w:t>
      </w:r>
    </w:p>
    <w:p>
      <w:pPr>
        <w:spacing w:after="0" w:line="19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and agrees that (i) except as expressly provided for in this Agreement, no representations or warranties have been made to the Participant by the Partnership or any other persons with respect to the Participant’s investment in the PI Unit, (ii) except for this Agreement, the PUD and the LP Agreement, there are no agreements, contracts, understandings or commitments between the Participant, on the one hand, and the Partnership, on the other hand, with respect to the Participant’s investment in the PI Unit, (iii) in entering into this transaction the Participant is not relying upon any information,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than that contained in the LP Agreement, the PUD, this Agreement and the results of the Participant’s own independent investigation, (iv) the Participant’s financial situation is such that the Participant can afford to hold the PI Unit for an indefinite period of time, has adequate means for providing for the Participant’s current needs and personal contingencies, and can afford the eventuality that the PI Unit may ultimately have no value, (v) the future value of the PI Unit is speculative and (vi) the Participant is not entitled to any preemptive, tag-along, information or other minority investor rights with respect to the PI Unit, other than as expressly set forth in this Agreement, the PUD, the LP Agreement or as otherwise provided under applicable law.</w:t>
      </w:r>
    </w:p>
    <w:p>
      <w:pPr>
        <w:spacing w:after="0" w:line="169" w:lineRule="exact"/>
        <w:rPr>
          <w:sz w:val="20"/>
          <w:szCs w:val="20"/>
          <w:color w:val="auto"/>
        </w:rPr>
      </w:pPr>
    </w:p>
    <w:p>
      <w:pPr>
        <w:jc w:val="both"/>
        <w:ind w:firstLine="1304"/>
        <w:spacing w:after="0" w:line="248" w:lineRule="auto"/>
        <w:tabs>
          <w:tab w:leader="none" w:pos="19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fully informed and aware of the circumstances under which the PI Unit must be held and the restrictions upon the resale of the PI Unit under the Securities Act and any applicable state securities laws. The Participant understands (i) that the Participant must bear the economic risk of the Participant’s investment in the PI Unit for an indefinite period of time because the PI Unit has not been registered under the Securities Act and, therefore, cannot be sold unless it is registered under the Securities Act and any applicable state securities laws or unless an exemption from such registration is available, (ii) that the availability of an exemption may depend on factors over which the Participant has no control and (iii) that unless so registered or exempt from registration, the PI Unit may be required to be held for an indefinite period. The Participant understands that an exemption from registration is not presently available pursuant to Rule 144 promulgated under the Securities Act, that there is no assurance that such exemption will ever become available to the Participant, and that even if it were to become available, sales pursuant to Rule 144 would be limited in amount and could only be made in full compliance with the provisions of Rule 144.</w:t>
      </w:r>
    </w:p>
    <w:p>
      <w:pPr>
        <w:spacing w:after="0" w:line="188"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received and reviewed the LP Agreement and the PUD. The Participant acknowledges and agrees that the PI Unit is subject to the provisions of the LP Agreement and the PUD.</w:t>
      </w:r>
    </w:p>
    <w:p>
      <w:pPr>
        <w:spacing w:after="0" w:line="14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full authority to enter into this Agreement and the LP Agreement, and to perform the Participant’s obligations hereunder and thereunder. This Agreement and the LP Agreement have been duly and validly executed and delivered by the Participant and constitute legal, valid and binding obligations of the Participant, enforceable against the Participant in accordance with their terms, subject, as to the enforcement of remedies, to the effect of any applicable bankruptcy, insolvency, reorganization, moratorium or other similar law of general application affecting creditors and general principles of equity. The execution, delivery and performance of this Agreement and the LP Agreement does not and will not conflict with, violate or cause a breach of any agreement, contract or instrument to which the Participant is a party or any judgment, order, decree or law to which the Participant is subject.</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93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understands that the Partnership’s decision to grant the PI Unit to the Participant is predicated, in part, on the representations, warranties and covenants of the Participant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336" w:lineRule="exact"/>
        <w:rPr>
          <w:sz w:val="20"/>
          <w:szCs w:val="20"/>
          <w:color w:val="auto"/>
        </w:rPr>
      </w:pPr>
    </w:p>
    <w:p>
      <w:pPr>
        <w:jc w:val="both"/>
        <w:ind w:firstLine="656"/>
        <w:spacing w:after="0" w:line="253"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Representations and Warranties; Indemnification</w:t>
      </w:r>
      <w:r>
        <w:rPr>
          <w:rFonts w:ascii="Times New Roman" w:cs="Times New Roman" w:eastAsia="Times New Roman" w:hAnsi="Times New Roman"/>
          <w:sz w:val="22"/>
          <w:szCs w:val="22"/>
          <w:color w:val="auto"/>
        </w:rPr>
        <w:t>. All representations and warranties of the Participant contained herein shall survive the execution of this Agreement and the grant of the PI Unit contemplated hereby. The Participant agrees to indemnify and hold harmless the Partnership from any actual liability, loss or expense (including, without limitation, reasonable attorneys’ fees) incurred by the Partnership as a result of the Participant’s breach of any representation or warranty hereunder.</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of Continued Service</w:t>
      </w:r>
      <w:r>
        <w:rPr>
          <w:rFonts w:ascii="Times New Roman" w:cs="Times New Roman" w:eastAsia="Times New Roman" w:hAnsi="Times New Roman"/>
          <w:sz w:val="22"/>
          <w:szCs w:val="22"/>
          <w:color w:val="auto"/>
        </w:rPr>
        <w:t>. Neither the grant of the PI Unit nor anything contained in this Agreement shall confer upon the Participant any right to continue in the service of the Partnership, or to prohibit or restrict the Partnership or an Affiliate thereof from Terminating the Participant at any time or for any reason whatsoever, with or without Cause, notwithstanding the effect any such action may have on the Participant, this Agreement, the LP Agreement or any PI Unit that is or would otherwise be granted under this Agreement.</w:t>
      </w:r>
    </w:p>
    <w:p>
      <w:pPr>
        <w:spacing w:after="0" w:line="178"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83(b) Election</w:t>
      </w:r>
      <w:r>
        <w:rPr>
          <w:rFonts w:ascii="Times New Roman" w:cs="Times New Roman" w:eastAsia="Times New Roman" w:hAnsi="Times New Roman"/>
          <w:sz w:val="21"/>
          <w:szCs w:val="21"/>
          <w:color w:val="auto"/>
        </w:rPr>
        <w:t xml:space="preserve">. The Participant acknowledges that the Participant is required to timely file an election under Section 83(b) of the Code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that filing such election is the Participant’s responsibility. Furthermore, in the event that any of the percentages set forth in the Participant’s Annual Distribution Amount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are increased at any time in accordance with the terms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Participant shall be required to timely file an additional election under Section 83(b) of the Code reflecting such percentage increase. The Participant will deliver a copy of any such completed Section 83(b) election form to the Partnership promptly upon filing.</w:t>
      </w:r>
    </w:p>
    <w:p>
      <w:pPr>
        <w:spacing w:after="0" w:line="60" w:lineRule="exact"/>
        <w:rPr>
          <w:rFonts w:ascii="Times New Roman" w:cs="Times New Roman" w:eastAsia="Times New Roman" w:hAnsi="Times New Roman"/>
          <w:sz w:val="21"/>
          <w:szCs w:val="21"/>
          <w:color w:val="auto"/>
        </w:rPr>
      </w:pPr>
    </w:p>
    <w:p>
      <w:pPr>
        <w:jc w:val="both"/>
        <w:ind w:firstLine="656"/>
        <w:spacing w:after="0" w:line="247"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The Partnership shall not be liable or responsible in any way for any U.S. federal income tax or any other tax consequences to the Participant relating to the grant, ownership, or vesting and related lapsing of any forfeiture conditions, of the PI Unit granted hereunder. The Participant agrees to determine and be responsible for any and all tax consequences to the Participant related to the grant, ownership, or vesting and related lapsing of any forfeiture conditions, of the PI Unit. By accepting the PI Unit, the Participant acknowledges that the Partnership is treated as a partnership for U.S. federal and state income tax purposes and that the Participant will be treated as a partner for such purposes with respect to the PI Unit. Accordingly, the Participant acknowledges that, among other things, the Participant will be required to report and pay tax on the Participant’s individual tax return the Participant’s distributive share of the Partnership’s income, gain, loss, deductions and credits, regardless of whether the Participant has received a distribution from the Partnership, and accordingly, the ownership of the PI Unit may give rise to an out-of-pocket expense for the Participant. The Participant acknowledges and agrees that the payment of any base salary or any discretionary payments from the Partnership shall be treated as “guaranteed payments” to the Participant from the Partnership within the meaning of Section 707(c) of the Code. The Partnership has not made and will not make any statements or representations to the Participant concerning the U.S. federal, state and local or non-U.S. tax consequences arising from the grant and holding of the PI Unit contemplated by this Agreement and will have no obligation to indemnify or hold harmless the Participant for any claims or liabilities arising from such consequences. This Agreement is intended to be a part of the Partnership’s “partnership agreement,” as defined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3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1.704-1(b)(2)(ii)(h) and 1.761-1(c) of the Treasury Regulations promulgated under the Code. The Partnership and the Participant hereby acknowledge and agree that the Participant’s PI Unit granted under this Agreement is, except to the extent issued in exchange for property, intended to constitute a “profits interest” in the Partnership within the meaning of IRS Revenue Procedure 93-27, 1993 2 C.B. 343 (“</w:t>
      </w:r>
      <w:r>
        <w:rPr>
          <w:rFonts w:ascii="Times New Roman" w:cs="Times New Roman" w:eastAsia="Times New Roman" w:hAnsi="Times New Roman"/>
          <w:sz w:val="22"/>
          <w:szCs w:val="22"/>
          <w:u w:val="single" w:color="auto"/>
          <w:color w:val="auto"/>
        </w:rPr>
        <w:t>Rev. Proc. 93-27</w:t>
      </w:r>
      <w:r>
        <w:rPr>
          <w:rFonts w:ascii="Times New Roman" w:cs="Times New Roman" w:eastAsia="Times New Roman" w:hAnsi="Times New Roman"/>
          <w:sz w:val="22"/>
          <w:szCs w:val="22"/>
          <w:color w:val="auto"/>
        </w:rPr>
        <w:t xml:space="preserve"> ”), or any successor IRS or Treasury Department Regulation or other pronouncement applicable at the date of issuance of the PI Unit (a “</w:t>
      </w:r>
      <w:r>
        <w:rPr>
          <w:rFonts w:ascii="Times New Roman" w:cs="Times New Roman" w:eastAsia="Times New Roman" w:hAnsi="Times New Roman"/>
          <w:sz w:val="22"/>
          <w:szCs w:val="22"/>
          <w:u w:val="single" w:color="auto"/>
          <w:color w:val="auto"/>
        </w:rPr>
        <w:t>Profits Interest</w:t>
      </w:r>
      <w:r>
        <w:rPr>
          <w:rFonts w:ascii="Times New Roman" w:cs="Times New Roman" w:eastAsia="Times New Roman" w:hAnsi="Times New Roman"/>
          <w:sz w:val="22"/>
          <w:szCs w:val="22"/>
          <w:color w:val="auto"/>
        </w:rPr>
        <w:t xml:space="preserve">”). The Partnership shall treat the Participant as the owner of such Profits Interest from the date it is granted for all purposes. The Participant shall take into account the distributive share of partnership income, gain, loss, deduction, and credit associated with its Profits Interest in computing the Participant’s income tax liability for the entire period during which the Participant has the Profits Interest. Upon the grant of the Profits Interest or at any time thereafter, neither the Partnership nor any of its partners may deduct any amount (as wages, compensation, or otherwise) for the fair market value of the Profits Interest. The undertakings contained in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be construed in accordance with Section 4 of IRS Revenue Procedure 2001-43, 2001-2 C.B. 191 (“</w:t>
      </w:r>
      <w:r>
        <w:rPr>
          <w:rFonts w:ascii="Times New Roman" w:cs="Times New Roman" w:eastAsia="Times New Roman" w:hAnsi="Times New Roman"/>
          <w:sz w:val="22"/>
          <w:szCs w:val="22"/>
          <w:u w:val="single" w:color="auto"/>
          <w:color w:val="auto"/>
        </w:rPr>
        <w:t>Rev. Proc. 2001-43</w:t>
      </w:r>
      <w:r>
        <w:rPr>
          <w:rFonts w:ascii="Times New Roman" w:cs="Times New Roman" w:eastAsia="Times New Roman" w:hAnsi="Times New Roman"/>
          <w:sz w:val="22"/>
          <w:szCs w:val="22"/>
          <w:color w:val="auto"/>
        </w:rPr>
        <w:t>”). By executing this Agreement, the Participant and the Partnership agree to take such actions as may be required by any authority or guidance that may be issued in the future with respect to the taxation of Profits Interests transferred in connection with the performance of services to conform the tax consequences to the Partnership and the Participant that receives such Profits Interest as closely as possible to the consequences set forth in Rev. Proc. 93-27 and Rev. Proc. 2001-43.</w:t>
      </w:r>
    </w:p>
    <w:p>
      <w:pPr>
        <w:spacing w:after="0" w:line="183" w:lineRule="exact"/>
        <w:rPr>
          <w:sz w:val="20"/>
          <w:szCs w:val="20"/>
          <w:color w:val="auto"/>
        </w:rPr>
      </w:pPr>
    </w:p>
    <w:p>
      <w:pPr>
        <w:ind w:firstLine="656"/>
        <w:spacing w:after="0" w:line="271" w:lineRule="auto"/>
        <w:tabs>
          <w:tab w:leader="none" w:pos="12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to a party under this Agreement shall be provided in accordance with Section 15.7 of the LP Agreement. Any such notice may at any time be waived by the party entitled to receive such notice.</w:t>
      </w:r>
    </w:p>
    <w:p>
      <w:pPr>
        <w:spacing w:after="0" w:line="15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hereto and upon any person acquiring, whether by merger, consolidation, purchase of assets or otherwise, all or substantially all of the Partnership’s assets and business, and, except as otherwise expressly provided herein, the parties’ respective heirs, executors, administrators, representatives, successors and permitted assigns. This Agreement may not be assigned, transferred or otherwise disposed of by the Participant, whether voluntarily or involuntarily, by operation of law or otherwise, without the prior written consent of the Partnership.</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Agreement, the PUD and the LP Agreement contain the complete agreement among the parties hereto with respect to the grant of the PI Unit and supersede all prior agreements and understandings among the parties hereto with respect thereto.</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is held to be illegal, invalid or unenforceable under present or future laws effective during the term hereof, such provision shall be fully severable. This Agreement shall be construed and enforced as if such illegal, invalid or unenforceable provision has never comprised a part hereof, and the remaining provisions hereof shall remain in full force and effect and shall not be affected by the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3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invalid or unenforceable provision or by its severance from this Agreement. In lieu of such illegal, invalid or unenforceable provisions, there shall be added automatically as a part hereof a provision as similar in terms and economic effect to such illegal, invalid or unenforceable provision as may be possible and be legal, valid and enforceable.</w:t>
      </w:r>
    </w:p>
    <w:p>
      <w:pPr>
        <w:spacing w:after="0" w:line="167" w:lineRule="exact"/>
        <w:rPr>
          <w:sz w:val="20"/>
          <w:szCs w:val="20"/>
          <w:color w:val="auto"/>
        </w:rPr>
      </w:pPr>
    </w:p>
    <w:p>
      <w:pPr>
        <w:jc w:val="both"/>
        <w:ind w:firstLine="656"/>
        <w:spacing w:after="0" w:line="253"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No waiver of any provision of this Agreement is valid unless in writing and signed by the party against whom or which enforcement is sought, and any such waiver is effective only in the specific instance described and for the purpose for which the waiver was given. The failure of any party to this Agreement to insist upon or enforce strict performance by any other party to this Agreement of any provision of this Agreement shall not be construed as a waiver or relinquishment of such right or related remedy.</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The Participant hereby acknowledges and agrees, without limiting rights of the Partnership otherwise available at law or in equity, that, to the extent permitted by law, the PI Unit granted under this Agreement (or the amount of any cash or property distributed with respect to or in lieu thereof) may be reduced by, and set-off against, any or all amounts or other consideration payable by the Participant to the Partnership under any other agreement or arrangement between the Participant and the Partnership;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set-off does not result in a penalty under Section 409A of the Code.</w:t>
      </w:r>
    </w:p>
    <w:p>
      <w:pPr>
        <w:spacing w:after="0" w:line="7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 other provisions in the LP Agreement, the PUD or this Agreement, the amounts payable under this Agreement shall be subject to reduction and clawback to the extent required pursuant to any law, government regulation or stock exchange listing requirement (or any policy adopted by the Partnership or any director or indirect partner entity thereof, including, without limitation, Perella Weinberg Partners, pursuant to or in connection with any such law, government regulation or stock exchange listing requirement).</w:t>
      </w:r>
    </w:p>
    <w:p>
      <w:pPr>
        <w:spacing w:after="0" w:line="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Delaware, without regard to conflicts of laws principles. This Agreement shall be subject to the arbitration provisions set forth in the LP Agreement.</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this Agreement</w:t>
      </w:r>
      <w:r>
        <w:rPr>
          <w:rFonts w:ascii="Times New Roman" w:cs="Times New Roman" w:eastAsia="Times New Roman" w:hAnsi="Times New Roman"/>
          <w:sz w:val="22"/>
          <w:szCs w:val="22"/>
          <w:color w:val="auto"/>
        </w:rPr>
        <w:t>. The Participant confirms that the Participant has carefully reviewed this Agreement, the PUD and the LP Agreement, and understands the terms and conditions of each such agreement. The Participant further confirms that the Participant has consulted with legal counsel, or had ample opportunity to consult with legal counsel, representing the Participant concerning this Agreement, the PUD, the LP Agreement and any other agreements between or among the Participant and the Partnership.</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and any amendments may be executed in multiple counterparts, each of which shall be deemed an original and all of which together shall constitute one agreement. In addition, this Agreement and any amendments may be executed through the use of counterpart signature pages. The signature of any party on any counterpart agreement or counterpart signature page shall be deemed to be a signature to, and may be appended to, one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336" w:lineRule="exact"/>
        <w:rPr>
          <w:sz w:val="20"/>
          <w:szCs w:val="20"/>
          <w:color w:val="auto"/>
        </w:rPr>
      </w:pPr>
    </w:p>
    <w:p>
      <w:pPr>
        <w:jc w:val="both"/>
        <w:ind w:firstLine="656"/>
        <w:spacing w:after="0" w:line="250"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 to LP Agreement</w:t>
      </w:r>
      <w:r>
        <w:rPr>
          <w:rFonts w:ascii="Times New Roman" w:cs="Times New Roman" w:eastAsia="Times New Roman" w:hAnsi="Times New Roman"/>
          <w:sz w:val="22"/>
          <w:szCs w:val="22"/>
          <w:color w:val="auto"/>
        </w:rPr>
        <w:t xml:space="preserve">. Contemporaneously herewith, the Participant, to the extent not party to the LP Agreement immediately prior to the execution and delivery of this Agreement, has executed and delivered a counterpart signature page to the LP Agreement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making the Participant a party to the LP Agreement. In the event the LP Agreement is amended in a manner that results in the renumbering of one or more sections, references in this Agreement to sections of the LP Agreement shall refer instead to the applicable renumbered sections which correspond to the original references. To the extent any provision herein contradicts any provision in the LP Agreement, the provision in the LP Agreement shall control. In connection with receiving the Participant’s Annual Distribution Amount, the Participant shall enter into any customary documentation as may be required by the Partnership.</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shall only be amended in a writing duly executed by both parties.</w:t>
      </w:r>
    </w:p>
    <w:p>
      <w:pPr>
        <w:spacing w:after="0" w:line="111"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by Spouse</w:t>
      </w:r>
      <w:r>
        <w:rPr>
          <w:rFonts w:ascii="Times New Roman" w:cs="Times New Roman" w:eastAsia="Times New Roman" w:hAnsi="Times New Roman"/>
          <w:sz w:val="22"/>
          <w:szCs w:val="22"/>
          <w:color w:val="auto"/>
        </w:rPr>
        <w:t xml:space="preserve">. If the Participant is married (and not formally separated with an agreed-upon division of assets), the Participant shall be obligated to deliver at the time of execution of this Agreement a duly executed consent by spouse substantially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The Participant shall also have such consent by spouse executed by any spouse married to the Participant at any time subsequent hereto.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b w:val="1"/>
          <w:bCs w:val="1"/>
          <w:color w:val="auto"/>
        </w:rPr>
        <w:t>PWP HOLDINGS LP</w:t>
      </w:r>
    </w:p>
    <w:p>
      <w:pPr>
        <w:spacing w:after="0" w:line="200" w:lineRule="exact"/>
        <w:rPr>
          <w:sz w:val="20"/>
          <w:szCs w:val="20"/>
          <w:color w:val="auto"/>
        </w:rPr>
      </w:pPr>
    </w:p>
    <w:p>
      <w:pPr>
        <w:spacing w:after="0" w:line="3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347980</wp:posOffset>
            </wp:positionV>
            <wp:extent cx="2631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Page to Series A PI Unit Award Agreement]</w:t>
      </w:r>
    </w:p>
    <w:p>
      <w:pPr>
        <w:sectPr>
          <w:pgSz w:w="11900" w:h="16838" w:orient="portrait"/>
          <w:cols w:equalWidth="0" w:num="1">
            <w:col w:w="9880"/>
          </w:cols>
          <w:pgMar w:left="980" w:top="1422" w:right="10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Distributions</w:t>
      </w:r>
    </w:p>
    <w:p>
      <w:pPr>
        <w:spacing w:after="0" w:line="200" w:lineRule="exact"/>
        <w:rPr>
          <w:sz w:val="20"/>
          <w:szCs w:val="20"/>
          <w:color w:val="auto"/>
        </w:rPr>
      </w:pPr>
    </w:p>
    <w:p>
      <w:pPr>
        <w:spacing w:after="0" w:line="294"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Sections 1(b) and 1(c)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following the completion of each calendar year beginning with calendar year 2024, the Participant will be entitled to receive an annual distribution of Profits (the “</w:t>
      </w:r>
      <w:r>
        <w:rPr>
          <w:rFonts w:ascii="Times New Roman" w:cs="Times New Roman" w:eastAsia="Times New Roman" w:hAnsi="Times New Roman"/>
          <w:sz w:val="22"/>
          <w:szCs w:val="22"/>
          <w:u w:val="single" w:color="auto"/>
          <w:color w:val="auto"/>
        </w:rPr>
        <w:t>Annual Distribution</w:t>
      </w:r>
      <w:r>
        <w:rPr>
          <w:rFonts w:ascii="Times New Roman" w:cs="Times New Roman" w:eastAsia="Times New Roman" w:hAnsi="Times New Roman"/>
          <w:sz w:val="22"/>
          <w:szCs w:val="22"/>
          <w:color w:val="auto"/>
        </w:rPr>
        <w:t>”) equal to the Annual Distribution Amount (as defined below). The Annual Distribution shall be made no later than March 15 of the calendar year following the year to which such Annual Distribution relates (the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so long as the Participant remains an Active Professional through, and has not given or received a notice of Termination as of, the applicable Distribution Date.</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Partnership may, in its sole discretion, determine not to distribute up to 1% of any Annual Distribution Amount to the Participant (the “</w:t>
      </w:r>
      <w:r>
        <w:rPr>
          <w:rFonts w:ascii="Times New Roman" w:cs="Times New Roman" w:eastAsia="Times New Roman" w:hAnsi="Times New Roman"/>
          <w:sz w:val="22"/>
          <w:szCs w:val="22"/>
          <w:u w:val="single" w:color="auto"/>
          <w:color w:val="auto"/>
        </w:rPr>
        <w:t>Holdback Amount</w:t>
      </w:r>
      <w:r>
        <w:rPr>
          <w:rFonts w:ascii="Times New Roman" w:cs="Times New Roman" w:eastAsia="Times New Roman" w:hAnsi="Times New Roman"/>
          <w:sz w:val="22"/>
          <w:szCs w:val="22"/>
          <w:color w:val="auto"/>
        </w:rPr>
        <w:t>”). Any Holdback Amount shall be retained by the Partnership, shall increase the Participant’s Capital Account (as defined in the LP Agreement) and shall be distributed to the Participant upon the Participant’s Termination for any reason.</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that, as of any Distribution Date, the aggregate sum of all Annual Distribution Amounts to be made with respect to all issued and outstanding Series A PI Units of the Partnership as of such Distribution Date (including the Annual Distribution Amount set forth herein) exceeds the Partnership’s Profits (as defined below) for the calendar year preceding the year in which such Distribution Date occurs, the Participant shall not receive the Annual Distribution Amount and shall instead receive the Reduced Distribution Amount (as defined below).</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applicable calendar year in which a Carryover Amount (as defined below) with respect to a previous calendar year is otherwise payable as part of the Annual Distribution Amount, such Carryover Amount shall be paid last after all distributions due with respect to the applicable calendar year have been paid.</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Professional</w:t>
      </w:r>
      <w:r>
        <w:rPr>
          <w:rFonts w:ascii="Times New Roman" w:cs="Times New Roman" w:eastAsia="Times New Roman" w:hAnsi="Times New Roman"/>
          <w:sz w:val="22"/>
          <w:szCs w:val="22"/>
          <w:color w:val="auto"/>
        </w:rPr>
        <w:t>” has the meaning set forth in the LP Agreement.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200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Distribution Amount</w:t>
      </w:r>
      <w:r>
        <w:rPr>
          <w:rFonts w:ascii="Times New Roman" w:cs="Times New Roman" w:eastAsia="Times New Roman" w:hAnsi="Times New Roman"/>
          <w:sz w:val="22"/>
          <w:szCs w:val="22"/>
          <w:color w:val="auto"/>
        </w:rPr>
        <w:t>” means, for each applicable calendar year, the sum, if any, of (i) the cumulative amount set forth in the table below and (ii) any Carryover Amount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-259080</wp:posOffset>
            </wp:positionV>
            <wp:extent cx="44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450" cy="8255"/>
                    </a:xfrm>
                    <a:prstGeom prst="rect">
                      <a:avLst/>
                    </a:prstGeom>
                    <a:noFill/>
                  </pic:spPr>
                </pic:pic>
              </a:graphicData>
            </a:graphic>
          </wp:anchor>
        </w:drawing>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Annual Distribution Amount and/or each component thereof may be amended (including to zero) in the sole discretion of the General Partner prior to the commencement of any calendar year to which such definition will apply, and any such amendment shall be effective only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January 1 of the calendar year following the year in which such amendment was adopted. The Participant agrees that any decrease in the Annual Distribution Amount and/or each component thereof (including to zero), as determined in the sole discretion of the General Partner, shall not constitute “Good Reason” (or any similar concept) contained in any agreement between the Participant and the Partnership or any of its Affiliates.</w:t>
      </w:r>
    </w:p>
    <w:p>
      <w:pPr>
        <w:spacing w:after="0" w:line="176" w:lineRule="exact"/>
        <w:rPr>
          <w:sz w:val="20"/>
          <w:szCs w:val="20"/>
          <w:color w:val="auto"/>
        </w:rPr>
      </w:pPr>
    </w:p>
    <w:p>
      <w:pPr>
        <w:ind w:firstLine="1304"/>
        <w:spacing w:after="0" w:line="271" w:lineRule="auto"/>
        <w:tabs>
          <w:tab w:leader="none" w:pos="194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Carryover Amount</w:t>
      </w:r>
      <w:r>
        <w:rPr>
          <w:rFonts w:ascii="Times New Roman" w:cs="Times New Roman" w:eastAsia="Times New Roman" w:hAnsi="Times New Roman"/>
          <w:sz w:val="22"/>
          <w:szCs w:val="22"/>
          <w:color w:val="auto"/>
        </w:rPr>
        <w:t>” means the amount by which the Annual Distribution Amount for the applicable year exceeds the Reduced Distribution Amount, if any, for such year.</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Profits</w:t>
      </w:r>
      <w:r>
        <w:rPr>
          <w:rFonts w:ascii="Times New Roman" w:cs="Times New Roman" w:eastAsia="Times New Roman" w:hAnsi="Times New Roman"/>
          <w:sz w:val="22"/>
          <w:szCs w:val="22"/>
          <w:color w:val="auto"/>
        </w:rPr>
        <w:t>” means, for each Fiscal Year (as defined in the LP Agreement) of the Partnership, an amount equal to the Partnership’s Net Income (as defined in the LP Agreement), as determined without adjustment for clause (iii), (iv) or (vi) of the definition thereof in the LP Agreement (which clauses relate to adjustments in Gross Asset Value (as defined in the LP Agreement)).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Reduced Distribution Amount</w:t>
      </w:r>
      <w:r>
        <w:rPr>
          <w:rFonts w:ascii="Times New Roman" w:cs="Times New Roman" w:eastAsia="Times New Roman" w:hAnsi="Times New Roman"/>
          <w:sz w:val="22"/>
          <w:szCs w:val="22"/>
          <w:color w:val="auto"/>
        </w:rPr>
        <w:t>” means the product of (i) a fraction, (x) the numerator of which is the Annual Distribution Amount otherwise payable to the Participant for the applicable calendar year and (y) the denominator of which is the aggregate sum of all Annual Distribution Amounts to be made with respect to all issued and outstanding Series A PI Units of the Partnership for the applicable calendar year and (ii) Profits for the applicable calendar year.</w:t>
      </w:r>
    </w:p>
    <w:p>
      <w:pPr>
        <w:spacing w:after="0" w:line="19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w:t>
      </w:r>
      <w:r>
        <w:rPr>
          <w:rFonts w:ascii="Times New Roman" w:cs="Times New Roman" w:eastAsia="Times New Roman" w:hAnsi="Times New Roman"/>
          <w:sz w:val="22"/>
          <w:szCs w:val="22"/>
          <w:color w:val="auto"/>
        </w:rPr>
        <w:t xml:space="preserve">” means, with respect to any calendar year, revenues of Perella Weinberg Partners for such calendar year, as reported in the consolidated financial statements contained in the applicable Form 10-K of Perella Weinberg Partners,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for calendar year 2024, “Revenue” shall only include revenues of Perella Weinberg Partners for the portion of 2024 after the Grant Date.</w:t>
      </w:r>
    </w:p>
    <w:p>
      <w:pPr>
        <w:spacing w:after="0" w:line="179"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has the meaning set forth in the LP Agreement. The terms “Terminate,” “Terminating” and “Terminated” shall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2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Alexandra Gottschalk, certify that:</w:t>
      </w:r>
    </w:p>
    <w:p>
      <w:pPr>
        <w:spacing w:after="0" w:line="1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2024,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2024,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lvl w:ilvl="1">
      <w:lvlJc w:val="left"/>
      <w:lvlText w:val="%2"/>
      <w:numFmt w:val="decimal"/>
      <w:start w:val="104"/>
    </w:lvl>
  </w:abstractNum>
  <w:abstractNum w:abstractNumId="5">
    <w:nsid w:val="25E45D32"/>
    <w:multiLevelType w:val="hybridMultilevel"/>
    <w:lvl w:ilvl="0">
      <w:lvlJc w:val="left"/>
      <w:lvlText w:val="**"/>
      <w:numFmt w:val="bullet"/>
      <w:start w:val="1"/>
    </w:lvl>
    <w:lvl w:ilvl="1">
      <w:lvlJc w:val="left"/>
      <w:lvlText w:val="%2"/>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2"/>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3"/>
    </w:lvl>
    <w:lvl w:ilvl="1">
      <w:lvlJc w:val="left"/>
      <w:lvlText w:val="(%2)"/>
      <w:numFmt w:val="lowerLetter"/>
      <w:start w:val="1"/>
    </w:lvl>
  </w:abstractNum>
  <w:abstractNum w:abstractNumId="10">
    <w:nsid w:val="257130A3"/>
    <w:multiLevelType w:val="hybridMultilevel"/>
    <w:lvl w:ilvl="0">
      <w:lvlJc w:val="left"/>
      <w:lvlText w:val="%1"/>
      <w:numFmt w:val="decimal"/>
      <w:start w:val="1"/>
    </w:lvl>
    <w:lvl w:ilvl="1">
      <w:lvlJc w:val="left"/>
      <w:lvlText w:val="(%2)"/>
      <w:numFmt w:val="lowerLetter"/>
      <w:start w:val="2"/>
    </w:lvl>
  </w:abstractNum>
  <w:abstractNum w:abstractNumId="11">
    <w:nsid w:val="62BBD95A"/>
    <w:multiLevelType w:val="hybridMultilevel"/>
    <w:lvl w:ilvl="0">
      <w:lvlJc w:val="left"/>
      <w:lvlText w:val="%1."/>
      <w:numFmt w:val="decimal"/>
      <w:start w:val="4"/>
    </w:lvl>
    <w:lvl w:ilvl="1">
      <w:lvlJc w:val="left"/>
      <w:lvlText w:val="%2"/>
      <w:numFmt w:val="lowerLetter"/>
      <w:start w:val="1"/>
    </w:lvl>
  </w:abstractNum>
  <w:abstractNum w:abstractNumId="12">
    <w:nsid w:val="436C6125"/>
    <w:multiLevelType w:val="hybridMultilevel"/>
    <w:lvl w:ilvl="0">
      <w:lvlJc w:val="left"/>
      <w:lvlText w:val="%1."/>
      <w:numFmt w:val="decimal"/>
      <w:start w:val="9"/>
    </w:lvl>
  </w:abstractNum>
  <w:abstractNum w:abstractNumId="13">
    <w:nsid w:val="628C895D"/>
    <w:multiLevelType w:val="hybridMultilevel"/>
    <w:lvl w:ilvl="0">
      <w:lvlJc w:val="left"/>
      <w:lvlText w:val="%1."/>
      <w:numFmt w:val="decimal"/>
      <w:start w:val="17"/>
    </w:lvl>
    <w:lvl w:ilvl="1">
      <w:lvlJc w:val="left"/>
      <w:lvlText w:val="*"/>
      <w:numFmt w:val="bullet"/>
      <w:start w:val="1"/>
    </w:lvl>
  </w:abstractNum>
  <w:abstractNum w:abstractNumId="14">
    <w:nsid w:val="333AB105"/>
    <w:multiLevelType w:val="hybridMultilevel"/>
    <w:lvl w:ilvl="0">
      <w:lvlJc w:val="left"/>
      <w:lvlText w:val="%1."/>
      <w:numFmt w:val="decimal"/>
      <w:start w:val="1"/>
    </w:lvl>
    <w:lvl w:ilvl="1">
      <w:lvlJc w:val="left"/>
      <w:lvlText w:val="(%2)"/>
      <w:numFmt w:val="lowerLetter"/>
      <w:start w:val="1"/>
    </w:lvl>
  </w:abstractNum>
  <w:abstractNum w:abstractNumId="15">
    <w:nsid w:val="721DA317"/>
    <w:multiLevelType w:val="hybridMultilevel"/>
    <w:lvl w:ilvl="0">
      <w:lvlJc w:val="left"/>
      <w:lvlText w:val="%1."/>
      <w:numFmt w:val="decimal"/>
      <w:start w:val="2"/>
    </w:lvl>
    <w:lvl w:ilvl="1">
      <w:lvlJc w:val="left"/>
      <w:lvlText w:val="(%2)"/>
      <w:numFmt w:val="lowerLetter"/>
      <w:start w:val="1"/>
    </w:lvl>
  </w:abstractNum>
  <w:abstractNum w:abstractNumId="16">
    <w:nsid w:val="2443A858"/>
    <w:multiLevelType w:val="hybridMultilevel"/>
    <w:lvl w:ilvl="0">
      <w:lvlJc w:val="left"/>
      <w:lvlText w:val="%1."/>
      <w:numFmt w:val="decimal"/>
      <w:start w:val="5"/>
    </w:lvl>
    <w:lvl w:ilvl="1">
      <w:lvlJc w:val="left"/>
      <w:lvlText w:val="(%2)"/>
      <w:numFmt w:val="lowerLetter"/>
      <w:start w:val="1"/>
    </w:lvl>
  </w:abstractNum>
  <w:abstractNum w:abstractNumId="17">
    <w:nsid w:val="2D1D5AE9"/>
    <w:multiLevelType w:val="hybridMultilevel"/>
    <w:lvl w:ilvl="0">
      <w:lvlJc w:val="left"/>
      <w:lvlText w:val="(%1)"/>
      <w:numFmt w:val="lowerLetter"/>
      <w:start w:val="6"/>
    </w:lvl>
  </w:abstractNum>
  <w:abstractNum w:abstractNumId="18">
    <w:nsid w:val="6763845E"/>
    <w:multiLevelType w:val="hybridMultilevel"/>
    <w:lvl w:ilvl="0">
      <w:lvlJc w:val="left"/>
      <w:lvlText w:val="%1."/>
      <w:numFmt w:val="decimal"/>
      <w:start w:val="7"/>
    </w:lvl>
  </w:abstractNum>
  <w:abstractNum w:abstractNumId="19">
    <w:nsid w:val="75A2A8D4"/>
    <w:multiLevelType w:val="hybridMultilevel"/>
    <w:lvl w:ilvl="0">
      <w:lvlJc w:val="left"/>
      <w:lvlText w:val="%1."/>
      <w:numFmt w:val="decimal"/>
      <w:start w:val="11"/>
    </w:lvl>
  </w:abstractNum>
  <w:abstractNum w:abstractNumId="20">
    <w:nsid w:val="8EDBDAB"/>
    <w:multiLevelType w:val="hybridMultilevel"/>
    <w:lvl w:ilvl="0">
      <w:lvlJc w:val="left"/>
      <w:lvlText w:val="%1."/>
      <w:numFmt w:val="decimal"/>
      <w:start w:val="15"/>
    </w:lvl>
  </w:abstractNum>
  <w:abstractNum w:abstractNumId="21">
    <w:nsid w:val="79838CB2"/>
    <w:multiLevelType w:val="hybridMultilevel"/>
    <w:lvl w:ilvl="0">
      <w:lvlJc w:val="left"/>
      <w:lvlText w:val="%1."/>
      <w:numFmt w:val="decimal"/>
      <w:start w:val="2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2024-11-12T08:28:34Z</dcterms:created>
  <dcterms:modified xsi:type="dcterms:W3CDTF">2024-11-12T08:28:34Z</dcterms:modified>
</cp:coreProperties>
</file>