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690054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00545"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620395</wp:posOffset>
            </wp:positionV>
            <wp:extent cx="690054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00545" cy="17145"/>
                    </a:xfrm>
                    <a:prstGeom prst="rect">
                      <a:avLst/>
                    </a:prstGeom>
                    <a:noFill/>
                  </pic:spPr>
                </pic:pic>
              </a:graphicData>
            </a:graphic>
          </wp:anchor>
        </w:drawing>
        <w:t>UNITED STATES</w:t>
      </w:r>
    </w:p>
    <w:p>
      <w:pPr>
        <w:spacing w:after="0" w:line="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485140</wp:posOffset>
            </wp:positionH>
            <wp:positionV relativeFrom="paragraph">
              <wp:posOffset>73025</wp:posOffset>
            </wp:positionV>
            <wp:extent cx="61804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180455" cy="8255"/>
                    </a:xfrm>
                    <a:prstGeom prst="rect">
                      <a:avLst/>
                    </a:prstGeom>
                    <a:noFill/>
                  </pic:spPr>
                </pic:pic>
              </a:graphicData>
            </a:graphic>
          </wp:anchor>
        </w:drawing>
      </w:r>
    </w:p>
    <w:p>
      <w:pPr>
        <w:spacing w:after="0" w:line="2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485140</wp:posOffset>
            </wp:positionH>
            <wp:positionV relativeFrom="paragraph">
              <wp:posOffset>121285</wp:posOffset>
            </wp:positionV>
            <wp:extent cx="618045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180455"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ind w:left="4620"/>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33" w:lineRule="exact"/>
        <w:rPr>
          <w:sz w:val="24"/>
          <w:szCs w:val="24"/>
          <w:color w:val="auto"/>
        </w:rPr>
      </w:pPr>
    </w:p>
    <w:p>
      <w:pPr>
        <w:ind w:left="3760"/>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spacing w:after="0" w:line="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27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May 5, 2022</w:t>
      </w:r>
    </w:p>
    <w:p>
      <w:pPr>
        <w:spacing w:after="0" w:line="9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Commission File Number: 001-39558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485140</wp:posOffset>
            </wp:positionH>
            <wp:positionV relativeFrom="paragraph">
              <wp:posOffset>136525</wp:posOffset>
            </wp:positionV>
            <wp:extent cx="618045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180455" cy="8255"/>
                    </a:xfrm>
                    <a:prstGeom prst="rect">
                      <a:avLst/>
                    </a:prstGeom>
                    <a:noFill/>
                  </pic:spPr>
                </pic:pic>
              </a:graphicData>
            </a:graphic>
          </wp:anchor>
        </w:drawing>
      </w:r>
    </w:p>
    <w:p>
      <w:pPr>
        <w:spacing w:after="0" w:line="2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0"/>
          <w:szCs w:val="40"/>
          <w:b w:val="1"/>
          <w:bCs w:val="1"/>
          <w:color w:val="auto"/>
        </w:rPr>
        <w:t>PERELLA WEINBERG PARTNERS</w:t>
      </w: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485140</wp:posOffset>
            </wp:positionH>
            <wp:positionV relativeFrom="paragraph">
              <wp:posOffset>79375</wp:posOffset>
            </wp:positionV>
            <wp:extent cx="61804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180455" cy="8255"/>
                    </a:xfrm>
                    <a:prstGeom prst="rect">
                      <a:avLst/>
                    </a:prstGeom>
                    <a:noFill/>
                  </pic:spPr>
                </pic:pic>
              </a:graphicData>
            </a:graphic>
          </wp:anchor>
        </w:drawing>
      </w:r>
    </w:p>
    <w:p>
      <w:pPr>
        <w:spacing w:after="0" w:line="200" w:lineRule="exact"/>
        <w:rPr>
          <w:sz w:val="24"/>
          <w:szCs w:val="24"/>
          <w:color w:val="auto"/>
        </w:rPr>
      </w:pPr>
    </w:p>
    <w:p>
      <w:pPr>
        <w:spacing w:after="0" w:line="274" w:lineRule="exact"/>
        <w:rPr>
          <w:sz w:val="24"/>
          <w:szCs w:val="24"/>
          <w:color w:val="auto"/>
        </w:rPr>
      </w:pPr>
    </w:p>
    <w:tbl>
      <w:tblPr>
        <w:tblLayout w:type="fixed"/>
        <w:tblInd w:w="1020" w:type="dxa"/>
        <w:tblCellMar>
          <w:top w:w="0" w:type="dxa"/>
          <w:left w:w="0" w:type="dxa"/>
          <w:bottom w:w="0" w:type="dxa"/>
          <w:right w:w="0" w:type="dxa"/>
        </w:tblCellMar>
      </w:tblPr>
      <w:tr>
        <w:trPr>
          <w:trHeight w:val="232"/>
        </w:trPr>
        <w:tc>
          <w:tcPr>
            <w:tcW w:w="4800" w:type="dxa"/>
            <w:vAlign w:val="bottom"/>
          </w:tcPr>
          <w:p>
            <w:pPr>
              <w:jc w:val="center"/>
              <w:ind w:right="1421"/>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420" w:type="dxa"/>
            <w:vAlign w:val="bottom"/>
          </w:tcPr>
          <w:p>
            <w:pPr>
              <w:jc w:val="right"/>
              <w:ind w:right="444"/>
              <w:spacing w:after="0"/>
              <w:rPr>
                <w:sz w:val="20"/>
                <w:szCs w:val="20"/>
                <w:color w:val="auto"/>
              </w:rPr>
            </w:pPr>
            <w:r>
              <w:rPr>
                <w:rFonts w:ascii="Times New Roman" w:cs="Times New Roman" w:eastAsia="Times New Roman" w:hAnsi="Times New Roman"/>
                <w:sz w:val="18"/>
                <w:szCs w:val="18"/>
                <w:b w:val="1"/>
                <w:bCs w:val="1"/>
                <w:color w:val="auto"/>
              </w:rPr>
              <w:t>84-1770732</w:t>
            </w:r>
          </w:p>
        </w:tc>
        <w:tc>
          <w:tcPr>
            <w:tcW w:w="0" w:type="dxa"/>
            <w:vAlign w:val="bottom"/>
          </w:tcPr>
          <w:p>
            <w:pPr>
              <w:spacing w:after="0"/>
              <w:rPr>
                <w:sz w:val="1"/>
                <w:szCs w:val="1"/>
                <w:color w:val="auto"/>
              </w:rPr>
            </w:pPr>
          </w:p>
        </w:tc>
      </w:tr>
      <w:tr>
        <w:trPr>
          <w:trHeight w:val="180"/>
        </w:trPr>
        <w:tc>
          <w:tcPr>
            <w:tcW w:w="4800" w:type="dxa"/>
            <w:vAlign w:val="bottom"/>
          </w:tcPr>
          <w:p>
            <w:pPr>
              <w:jc w:val="center"/>
              <w:ind w:right="1441"/>
              <w:spacing w:after="0"/>
              <w:rPr>
                <w:sz w:val="20"/>
                <w:szCs w:val="20"/>
                <w:color w:val="auto"/>
              </w:rPr>
            </w:pPr>
            <w:r>
              <w:rPr>
                <w:rFonts w:ascii="Times New Roman" w:cs="Times New Roman" w:eastAsia="Times New Roman" w:hAnsi="Times New Roman"/>
                <w:sz w:val="13"/>
                <w:szCs w:val="13"/>
                <w:b w:val="1"/>
                <w:bCs w:val="1"/>
                <w:color w:val="auto"/>
                <w:w w:val="96"/>
              </w:rPr>
              <w:t>( State or other jurisdiction of incorporation or organization)</w:t>
            </w:r>
          </w:p>
        </w:tc>
        <w:tc>
          <w:tcPr>
            <w:tcW w:w="3420" w:type="dxa"/>
            <w:vAlign w:val="bottom"/>
          </w:tcPr>
          <w:p>
            <w:pPr>
              <w:jc w:val="center"/>
              <w:ind w:left="1424"/>
              <w:spacing w:after="0"/>
              <w:rPr>
                <w:sz w:val="20"/>
                <w:szCs w:val="20"/>
                <w:color w:val="auto"/>
              </w:rPr>
            </w:pPr>
            <w:r>
              <w:rPr>
                <w:rFonts w:ascii="Times New Roman" w:cs="Times New Roman" w:eastAsia="Times New Roman" w:hAnsi="Times New Roman"/>
                <w:sz w:val="13"/>
                <w:szCs w:val="13"/>
                <w:b w:val="1"/>
                <w:bCs w:val="1"/>
                <w:color w:val="auto"/>
                <w:w w:val="96"/>
              </w:rPr>
              <w:t>(I.R.S. Employer Identification No.)</w:t>
            </w:r>
          </w:p>
        </w:tc>
        <w:tc>
          <w:tcPr>
            <w:tcW w:w="0" w:type="dxa"/>
            <w:vAlign w:val="bottom"/>
          </w:tcPr>
          <w:p>
            <w:pPr>
              <w:spacing w:after="0"/>
              <w:rPr>
                <w:sz w:val="1"/>
                <w:szCs w:val="1"/>
                <w:color w:val="auto"/>
              </w:rPr>
            </w:pPr>
          </w:p>
        </w:tc>
      </w:tr>
      <w:tr>
        <w:trPr>
          <w:trHeight w:val="259"/>
        </w:trPr>
        <w:tc>
          <w:tcPr>
            <w:tcW w:w="4800" w:type="dxa"/>
            <w:vAlign w:val="bottom"/>
          </w:tcPr>
          <w:p>
            <w:pPr>
              <w:jc w:val="center"/>
              <w:ind w:right="1421"/>
              <w:spacing w:after="0"/>
              <w:rPr>
                <w:sz w:val="20"/>
                <w:szCs w:val="20"/>
                <w:color w:val="auto"/>
              </w:rPr>
            </w:pPr>
            <w:r>
              <w:rPr>
                <w:rFonts w:ascii="Times New Roman" w:cs="Times New Roman" w:eastAsia="Times New Roman" w:hAnsi="Times New Roman"/>
                <w:sz w:val="18"/>
                <w:szCs w:val="18"/>
                <w:b w:val="1"/>
                <w:bCs w:val="1"/>
                <w:color w:val="auto"/>
                <w:w w:val="98"/>
              </w:rPr>
              <w:t>767 Fifth Avenue</w:t>
            </w:r>
          </w:p>
        </w:tc>
        <w:tc>
          <w:tcPr>
            <w:tcW w:w="3420" w:type="dxa"/>
            <w:vAlign w:val="bottom"/>
            <w:vMerge w:val="restart"/>
          </w:tcPr>
          <w:p>
            <w:pPr>
              <w:jc w:val="right"/>
              <w:ind w:right="664"/>
              <w:spacing w:after="0"/>
              <w:rPr>
                <w:sz w:val="20"/>
                <w:szCs w:val="20"/>
                <w:color w:val="auto"/>
              </w:rPr>
            </w:pPr>
            <w:r>
              <w:rPr>
                <w:rFonts w:ascii="Times New Roman" w:cs="Times New Roman" w:eastAsia="Times New Roman" w:hAnsi="Times New Roman"/>
                <w:sz w:val="18"/>
                <w:szCs w:val="18"/>
                <w:b w:val="1"/>
                <w:bCs w:val="1"/>
                <w:color w:val="auto"/>
              </w:rPr>
              <w:t>10153</w:t>
            </w:r>
          </w:p>
        </w:tc>
        <w:tc>
          <w:tcPr>
            <w:tcW w:w="0" w:type="dxa"/>
            <w:vAlign w:val="bottom"/>
          </w:tcPr>
          <w:p>
            <w:pPr>
              <w:spacing w:after="0"/>
              <w:rPr>
                <w:sz w:val="1"/>
                <w:szCs w:val="1"/>
                <w:color w:val="auto"/>
              </w:rPr>
            </w:pPr>
          </w:p>
        </w:tc>
      </w:tr>
      <w:tr>
        <w:trPr>
          <w:trHeight w:val="236"/>
        </w:trPr>
        <w:tc>
          <w:tcPr>
            <w:tcW w:w="4800" w:type="dxa"/>
            <w:vAlign w:val="bottom"/>
          </w:tcPr>
          <w:p>
            <w:pPr>
              <w:jc w:val="center"/>
              <w:ind w:right="1421"/>
              <w:spacing w:after="0"/>
              <w:rPr>
                <w:sz w:val="20"/>
                <w:szCs w:val="20"/>
                <w:color w:val="auto"/>
              </w:rPr>
            </w:pPr>
            <w:r>
              <w:rPr>
                <w:rFonts w:ascii="Times New Roman" w:cs="Times New Roman" w:eastAsia="Times New Roman" w:hAnsi="Times New Roman"/>
                <w:sz w:val="18"/>
                <w:szCs w:val="18"/>
                <w:b w:val="1"/>
                <w:bCs w:val="1"/>
                <w:color w:val="auto"/>
                <w:w w:val="96"/>
              </w:rPr>
              <w:t>New York, NY</w:t>
            </w:r>
          </w:p>
        </w:tc>
        <w:tc>
          <w:tcPr>
            <w:tcW w:w="34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66"/>
        </w:trPr>
        <w:tc>
          <w:tcPr>
            <w:tcW w:w="4800" w:type="dxa"/>
            <w:vAlign w:val="bottom"/>
          </w:tcPr>
          <w:p>
            <w:pPr>
              <w:jc w:val="center"/>
              <w:ind w:right="1441"/>
              <w:spacing w:after="0"/>
              <w:rPr>
                <w:sz w:val="20"/>
                <w:szCs w:val="20"/>
                <w:color w:val="auto"/>
              </w:rPr>
            </w:pPr>
            <w:r>
              <w:rPr>
                <w:rFonts w:ascii="Times New Roman" w:cs="Times New Roman" w:eastAsia="Times New Roman" w:hAnsi="Times New Roman"/>
                <w:sz w:val="13"/>
                <w:szCs w:val="13"/>
                <w:b w:val="1"/>
                <w:bCs w:val="1"/>
                <w:color w:val="auto"/>
                <w:w w:val="96"/>
              </w:rPr>
              <w:t>(Address of principal executive offices)</w:t>
            </w:r>
          </w:p>
        </w:tc>
        <w:tc>
          <w:tcPr>
            <w:tcW w:w="3420" w:type="dxa"/>
            <w:vAlign w:val="bottom"/>
          </w:tcPr>
          <w:p>
            <w:pPr>
              <w:jc w:val="center"/>
              <w:ind w:left="1444"/>
              <w:spacing w:after="0"/>
              <w:rPr>
                <w:sz w:val="20"/>
                <w:szCs w:val="20"/>
                <w:color w:val="auto"/>
              </w:rPr>
            </w:pPr>
            <w:r>
              <w:rPr>
                <w:rFonts w:ascii="Times New Roman" w:cs="Times New Roman" w:eastAsia="Times New Roman" w:hAnsi="Times New Roman"/>
                <w:sz w:val="13"/>
                <w:szCs w:val="13"/>
                <w:b w:val="1"/>
                <w:bCs w:val="1"/>
                <w:color w:val="auto"/>
                <w:w w:val="96"/>
              </w:rPr>
              <w:t>(Zip Code)</w:t>
            </w:r>
          </w:p>
        </w:tc>
        <w:tc>
          <w:tcPr>
            <w:tcW w:w="0" w:type="dxa"/>
            <w:vAlign w:val="bottom"/>
          </w:tcPr>
          <w:p>
            <w:pPr>
              <w:spacing w:after="0"/>
              <w:rPr>
                <w:sz w:val="1"/>
                <w:szCs w:val="1"/>
                <w:color w:val="auto"/>
              </w:rPr>
            </w:pPr>
          </w:p>
        </w:tc>
      </w:tr>
    </w:tbl>
    <w:p>
      <w:pPr>
        <w:spacing w:after="0" w:line="37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(212) 287-3200</w:t>
      </w:r>
    </w:p>
    <w:p>
      <w:pPr>
        <w:spacing w:after="0" w:line="3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131"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89" w:lineRule="exact"/>
        <w:rPr>
          <w:sz w:val="24"/>
          <w:szCs w:val="24"/>
          <w:color w:val="auto"/>
        </w:rPr>
      </w:pPr>
    </w:p>
    <w:p>
      <w:pPr>
        <w:ind w:left="660" w:hanging="634"/>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660" w:hanging="634"/>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44" w:lineRule="exact"/>
        <w:rPr>
          <w:rFonts w:ascii="MS PGothic" w:cs="MS PGothic" w:eastAsia="MS PGothic" w:hAnsi="MS PGothic"/>
          <w:sz w:val="18"/>
          <w:szCs w:val="18"/>
          <w:color w:val="auto"/>
        </w:rPr>
      </w:pPr>
    </w:p>
    <w:p>
      <w:pPr>
        <w:ind w:left="660" w:hanging="634"/>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44" w:lineRule="exact"/>
        <w:rPr>
          <w:rFonts w:ascii="MS PGothic" w:cs="MS PGothic" w:eastAsia="MS PGothic" w:hAnsi="MS PGothic"/>
          <w:sz w:val="18"/>
          <w:szCs w:val="18"/>
          <w:color w:val="auto"/>
        </w:rPr>
      </w:pPr>
    </w:p>
    <w:p>
      <w:pPr>
        <w:ind w:left="660" w:hanging="634"/>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12" w:lineRule="exact"/>
        <w:rPr>
          <w:sz w:val="24"/>
          <w:szCs w:val="24"/>
          <w:color w:val="auto"/>
        </w:rPr>
      </w:pPr>
    </w:p>
    <w:tbl>
      <w:tblPr>
        <w:tblLayout w:type="fixed"/>
        <w:tblInd w:w="0" w:type="dxa"/>
        <w:tblCellMar>
          <w:top w:w="0" w:type="dxa"/>
          <w:left w:w="0" w:type="dxa"/>
          <w:bottom w:w="0" w:type="dxa"/>
          <w:right w:w="0" w:type="dxa"/>
        </w:tblCellMar>
      </w:tblPr>
      <w:tr>
        <w:trPr>
          <w:trHeight w:val="210"/>
        </w:trPr>
        <w:tc>
          <w:tcPr>
            <w:tcW w:w="7640" w:type="dxa"/>
            <w:vAlign w:val="bottom"/>
            <w:gridSpan w:val="4"/>
          </w:tcPr>
          <w:p>
            <w:pPr>
              <w:ind w:left="376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c>
          <w:tcPr>
            <w:tcW w:w="3600" w:type="dxa"/>
            <w:vAlign w:val="bottom"/>
          </w:tcPr>
          <w:p>
            <w:pPr>
              <w:spacing w:after="0"/>
              <w:rPr>
                <w:sz w:val="18"/>
                <w:szCs w:val="18"/>
                <w:color w:val="auto"/>
              </w:rPr>
            </w:pPr>
          </w:p>
        </w:tc>
      </w:tr>
      <w:tr>
        <w:trPr>
          <w:trHeight w:val="462"/>
        </w:trPr>
        <w:tc>
          <w:tcPr>
            <w:tcW w:w="56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20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Trading Symbol(s)</w:t>
            </w:r>
          </w:p>
        </w:tc>
        <w:tc>
          <w:tcPr>
            <w:tcW w:w="36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207"/>
        </w:trPr>
        <w:tc>
          <w:tcPr>
            <w:tcW w:w="55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Class A Common Stock, par value $0.0001 per share</w:t>
            </w:r>
          </w:p>
        </w:tc>
        <w:tc>
          <w:tcPr>
            <w:tcW w:w="140" w:type="dxa"/>
            <w:vAlign w:val="bottom"/>
          </w:tcPr>
          <w:p>
            <w:pPr>
              <w:spacing w:after="0"/>
              <w:rPr>
                <w:sz w:val="17"/>
                <w:szCs w:val="17"/>
                <w:color w:val="auto"/>
              </w:rPr>
            </w:pPr>
          </w:p>
        </w:tc>
        <w:tc>
          <w:tcPr>
            <w:tcW w:w="18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PWP</w:t>
            </w:r>
          </w:p>
        </w:tc>
        <w:tc>
          <w:tcPr>
            <w:tcW w:w="140" w:type="dxa"/>
            <w:vAlign w:val="bottom"/>
          </w:tcPr>
          <w:p>
            <w:pPr>
              <w:spacing w:after="0"/>
              <w:rPr>
                <w:sz w:val="17"/>
                <w:szCs w:val="17"/>
                <w:color w:val="auto"/>
              </w:rPr>
            </w:pPr>
          </w:p>
        </w:tc>
        <w:tc>
          <w:tcPr>
            <w:tcW w:w="36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Nasdaq Global Select Market</w:t>
            </w:r>
          </w:p>
        </w:tc>
      </w:tr>
      <w:tr>
        <w:trPr>
          <w:trHeight w:val="216"/>
        </w:trPr>
        <w:tc>
          <w:tcPr>
            <w:tcW w:w="56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Warrants, each whole warrant exercisable for one share of Class A common stock</w:t>
            </w:r>
          </w:p>
        </w:tc>
        <w:tc>
          <w:tcPr>
            <w:tcW w:w="20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PWPPW</w:t>
            </w:r>
          </w:p>
        </w:tc>
        <w:tc>
          <w:tcPr>
            <w:tcW w:w="3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Nasdaq Global Select Market</w:t>
            </w:r>
          </w:p>
        </w:tc>
      </w:tr>
    </w:tbl>
    <w:p>
      <w:pPr>
        <w:spacing w:after="0" w:line="325" w:lineRule="exact"/>
        <w:rPr>
          <w:sz w:val="24"/>
          <w:szCs w:val="24"/>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ind w:left="7700"/>
        <w:spacing w:after="0" w:line="207" w:lineRule="exact"/>
        <w:tabs>
          <w:tab w:leader="none" w:pos="10960" w:val="left"/>
        </w:tabs>
        <w:rPr>
          <w:sz w:val="20"/>
          <w:szCs w:val="20"/>
          <w:color w:val="auto"/>
        </w:rPr>
      </w:pPr>
      <w:r>
        <w:rPr>
          <w:rFonts w:ascii="Times New Roman" w:cs="Times New Roman" w:eastAsia="Times New Roman" w:hAnsi="Times New Roman"/>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112" w:lineRule="exact"/>
        <w:rPr>
          <w:sz w:val="24"/>
          <w:szCs w:val="24"/>
          <w:color w:val="auto"/>
        </w:rPr>
      </w:pPr>
    </w:p>
    <w:p>
      <w:pPr>
        <w:jc w:val="both"/>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746760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22225</wp:posOffset>
            </wp:positionV>
            <wp:extent cx="690054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0054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48260</wp:posOffset>
            </wp:positionV>
            <wp:extent cx="690054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00545" cy="8890"/>
                    </a:xfrm>
                    <a:prstGeom prst="rect">
                      <a:avLst/>
                    </a:prstGeom>
                    <a:noFill/>
                  </pic:spPr>
                </pic:pic>
              </a:graphicData>
            </a:graphic>
          </wp:anchor>
        </w:drawing>
      </w:r>
    </w:p>
    <w:p>
      <w:pPr>
        <w:sectPr>
          <w:pgSz w:w="11900" w:h="16838" w:orient="portrait"/>
          <w:cols w:equalWidth="0" w:num="1">
            <w:col w:w="11240"/>
          </w:cols>
          <w:pgMar w:left="320" w:top="1046" w:right="339" w:bottom="1440" w:gutter="0" w:footer="0" w:header="0"/>
        </w:sectPr>
      </w:pPr>
    </w:p>
    <w:bookmarkStart w:id="1" w:name="page2"/>
    <w:bookmarkEnd w:id="1"/>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4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May 5, 2022, Perella Weinberg Partners (the “Company”) issued a press release announcing its financial results for the fiscal quarter ended March 31, 2022. A copy of the press release is attached as Exhibit 99.1 to this Current Report on Form 8-K. The press release may contain hypertext links to information on the Company’s website. The information on the Company’s website is not incorporated by reference into and does not constitute a part of this Current Report on Form 8-K.</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information provided under this Item (including Exhibit 99.1) is being “furnished” and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a filing.</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43"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This Form 8-K contains forward-looking statements within the meaning of the “safe harbor” provisions of the United States Private Securities Litigation Reform Act of 1995, which reflect the Company’s current views with respect to, among other things, statements about the share repurchase program. You can identify these forward-looking statements by the use of words such as “estimates,” “projected,” “expects,” “estimated,” “anticipates,” “forecasts,” “plans,” “intends,” “believes,” “seeks,” “may,” “will,” “would,” “future,” “propose,” “target,” “goal,” “objective,” “outlook” and variations of these words or similar expressions (or the negative versions of such words or expressions) are intended to identify forward-looking statements. Such forward-looking statements are subject to various risks and uncertainties. Accordingly, there are or will be important factors that could cause actual outcomes or results to differ materially from those indicated in these statements. We undertake no obligation to publicly update or review any forward-looking statement, whether as a result of new information, future developments or otherwise. A further list and description of these risks, uncertainties and other factors can be found in the Company’s filings with the U.S. Securities and Exchange Commission. These filings and subsequent filings are or will be available online at www.sec.gov or on request from the Company.</w:t>
      </w:r>
    </w:p>
    <w:p>
      <w:pPr>
        <w:spacing w:after="0" w:line="229"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22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96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11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0000FF"/>
              </w:rPr>
              <w:t>99.</w:t>
            </w:r>
            <w:r>
              <w:rPr>
                <w:rFonts w:ascii="Times New Roman" w:cs="Times New Roman" w:eastAsia="Times New Roman" w:hAnsi="Times New Roman"/>
                <w:sz w:val="18"/>
                <w:szCs w:val="18"/>
                <w:u w:val="single" w:color="auto"/>
                <w:color w:val="0000FF"/>
              </w:rPr>
              <w:t>1</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120" w:type="dxa"/>
            <w:vAlign w:val="bottom"/>
            <w:tcBorders>
              <w:bottom w:val="single" w:sz="8" w:color="0000FF"/>
            </w:tcBorders>
          </w:tcPr>
          <w:p>
            <w:pPr>
              <w:spacing w:after="0" w:line="182" w:lineRule="exact"/>
              <w:rPr>
                <w:sz w:val="20"/>
                <w:szCs w:val="20"/>
                <w:color w:val="auto"/>
              </w:rPr>
            </w:pPr>
            <w:r>
              <w:rPr>
                <w:rFonts w:ascii="Times New Roman" w:cs="Times New Roman" w:eastAsia="Times New Roman" w:hAnsi="Times New Roman"/>
                <w:sz w:val="18"/>
                <w:szCs w:val="18"/>
                <w:color w:val="0000FF"/>
                <w:w w:val="99"/>
              </w:rPr>
              <w:t>Press Release Issued by the Company dated May 5, 2022</w:t>
            </w:r>
          </w:p>
        </w:tc>
        <w:tc>
          <w:tcPr>
            <w:tcW w:w="5740" w:type="dxa"/>
            <w:vAlign w:val="bottom"/>
            <w:gridSpan w:val="2"/>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34"/>
        </w:trPr>
        <w:tc>
          <w:tcPr>
            <w:tcW w:w="20" w:type="dxa"/>
            <w:vAlign w:val="bottom"/>
            <w:vMerge w:val="continue"/>
          </w:tcPr>
          <w:p>
            <w:pPr>
              <w:spacing w:after="0"/>
              <w:rPr>
                <w:sz w:val="2"/>
                <w:szCs w:val="2"/>
                <w:color w:val="auto"/>
              </w:rPr>
            </w:pPr>
          </w:p>
        </w:tc>
        <w:tc>
          <w:tcPr>
            <w:tcW w:w="1120" w:type="dxa"/>
            <w:vAlign w:val="bottom"/>
            <w:gridSpan w:val="2"/>
            <w:vMerge w:val="continue"/>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4120" w:type="dxa"/>
            <w:vAlign w:val="bottom"/>
          </w:tcPr>
          <w:p>
            <w:pPr>
              <w:spacing w:after="0"/>
              <w:rPr>
                <w:sz w:val="2"/>
                <w:szCs w:val="2"/>
                <w:color w:val="auto"/>
              </w:rPr>
            </w:pPr>
          </w:p>
        </w:tc>
        <w:tc>
          <w:tcPr>
            <w:tcW w:w="5740" w:type="dxa"/>
            <w:vAlign w:val="bottom"/>
            <w:gridSpan w:val="2"/>
            <w:vMerge w:val="continue"/>
          </w:tcPr>
          <w:p>
            <w:pPr>
              <w:spacing w:after="0"/>
              <w:rPr>
                <w:sz w:val="2"/>
                <w:szCs w:val="2"/>
                <w:color w:val="auto"/>
              </w:rPr>
            </w:pPr>
          </w:p>
        </w:tc>
        <w:tc>
          <w:tcPr>
            <w:tcW w:w="0" w:type="dxa"/>
            <w:vAlign w:val="bottom"/>
          </w:tcPr>
          <w:p>
            <w:pPr>
              <w:spacing w:after="0"/>
              <w:rPr>
                <w:sz w:val="1"/>
                <w:szCs w:val="1"/>
                <w:color w:val="auto"/>
              </w:rPr>
            </w:pPr>
          </w:p>
        </w:tc>
      </w:tr>
      <w:tr>
        <w:trPr>
          <w:trHeight w:val="304"/>
        </w:trPr>
        <w:tc>
          <w:tcPr>
            <w:tcW w:w="20" w:type="dxa"/>
            <w:vAlign w:val="bottom"/>
          </w:tcPr>
          <w:p>
            <w:pPr>
              <w:spacing w:after="0"/>
              <w:rPr>
                <w:sz w:val="24"/>
                <w:szCs w:val="24"/>
                <w:color w:val="auto"/>
              </w:rPr>
            </w:pPr>
          </w:p>
        </w:tc>
        <w:tc>
          <w:tcPr>
            <w:tcW w:w="32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8"/>
                <w:szCs w:val="18"/>
                <w:color w:val="auto"/>
              </w:rPr>
              <w:t>104</w:t>
            </w: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0" w:type="dxa"/>
            <w:vAlign w:val="bottom"/>
          </w:tcPr>
          <w:p>
            <w:pPr>
              <w:spacing w:after="0"/>
              <w:rPr>
                <w:sz w:val="1"/>
                <w:szCs w:val="1"/>
                <w:color w:val="auto"/>
              </w:rPr>
            </w:pPr>
          </w:p>
        </w:tc>
      </w:tr>
      <w:tr>
        <w:trPr>
          <w:trHeight w:val="857"/>
        </w:trPr>
        <w:tc>
          <w:tcPr>
            <w:tcW w:w="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120" w:type="dxa"/>
            <w:vAlign w:val="bottom"/>
            <w:tcBorders>
              <w:bottom w:val="single" w:sz="8" w:color="9A9A9A"/>
            </w:tcBorders>
          </w:tcPr>
          <w:p>
            <w:pPr>
              <w:spacing w:after="0"/>
              <w:rPr>
                <w:sz w:val="24"/>
                <w:szCs w:val="24"/>
                <w:color w:val="auto"/>
              </w:rPr>
            </w:pPr>
          </w:p>
        </w:tc>
        <w:tc>
          <w:tcPr>
            <w:tcW w:w="55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2" w:name="page3"/>
    <w:bookmarkEnd w:id="2"/>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70" w:lineRule="exact"/>
        <w:rPr>
          <w:sz w:val="20"/>
          <w:szCs w:val="20"/>
          <w:color w:val="auto"/>
        </w:rPr>
      </w:pPr>
    </w:p>
    <w:p>
      <w:pPr>
        <w:ind w:firstLine="648"/>
        <w:spacing w:after="0" w:line="313"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365" w:lineRule="exact"/>
        <w:rPr>
          <w:sz w:val="20"/>
          <w:szCs w:val="20"/>
          <w:color w:val="auto"/>
        </w:rPr>
      </w:pPr>
    </w:p>
    <w:p>
      <w:pPr>
        <w:ind w:left="6880"/>
        <w:spacing w:after="0"/>
        <w:rPr>
          <w:sz w:val="20"/>
          <w:szCs w:val="20"/>
          <w:color w:val="auto"/>
        </w:rPr>
      </w:pPr>
      <w:r>
        <w:rPr>
          <w:rFonts w:ascii="Times New Roman" w:cs="Times New Roman" w:eastAsia="Times New Roman" w:hAnsi="Times New Roman"/>
          <w:sz w:val="18"/>
          <w:szCs w:val="18"/>
          <w:color w:val="auto"/>
        </w:rPr>
        <w:t>PERELLA WEINBERG PARTNERS</w:t>
      </w:r>
    </w:p>
    <w:p>
      <w:pPr>
        <w:spacing w:after="0" w:line="293" w:lineRule="exact"/>
        <w:rPr>
          <w:sz w:val="20"/>
          <w:szCs w:val="20"/>
          <w:color w:val="auto"/>
        </w:rPr>
      </w:pPr>
    </w:p>
    <w:p>
      <w:pPr>
        <w:ind w:left="6880"/>
        <w:spacing w:after="0"/>
        <w:tabs>
          <w:tab w:leader="none" w:pos="75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Gary Barancik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4788535</wp:posOffset>
            </wp:positionH>
            <wp:positionV relativeFrom="paragraph">
              <wp:posOffset>17145</wp:posOffset>
            </wp:positionV>
            <wp:extent cx="234886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348865" cy="8255"/>
                    </a:xfrm>
                    <a:prstGeom prst="rect">
                      <a:avLst/>
                    </a:prstGeom>
                    <a:noFill/>
                  </pic:spPr>
                </pic:pic>
              </a:graphicData>
            </a:graphic>
          </wp:anchor>
        </w:drawing>
      </w:r>
    </w:p>
    <w:p>
      <w:pPr>
        <w:spacing w:after="0" w:line="26" w:lineRule="exact"/>
        <w:rPr>
          <w:sz w:val="20"/>
          <w:szCs w:val="20"/>
          <w:color w:val="auto"/>
        </w:rPr>
      </w:pPr>
    </w:p>
    <w:p>
      <w:pPr>
        <w:ind w:left="7560"/>
        <w:spacing w:after="0"/>
        <w:rPr>
          <w:sz w:val="20"/>
          <w:szCs w:val="20"/>
          <w:color w:val="auto"/>
        </w:rPr>
      </w:pPr>
      <w:r>
        <w:rPr>
          <w:rFonts w:ascii="Times New Roman" w:cs="Times New Roman" w:eastAsia="Times New Roman" w:hAnsi="Times New Roman"/>
          <w:sz w:val="18"/>
          <w:szCs w:val="18"/>
          <w:b w:val="1"/>
          <w:bCs w:val="1"/>
          <w:color w:val="auto"/>
        </w:rPr>
        <w:t>Gary Barancik</w:t>
      </w:r>
    </w:p>
    <w:p>
      <w:pPr>
        <w:spacing w:after="0" w:line="63" w:lineRule="exact"/>
        <w:rPr>
          <w:sz w:val="20"/>
          <w:szCs w:val="20"/>
          <w:color w:val="auto"/>
        </w:rPr>
      </w:pPr>
    </w:p>
    <w:p>
      <w:pPr>
        <w:ind w:left="756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28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May 5, 2022</w:t>
      </w:r>
    </w:p>
    <w:p>
      <w:pPr>
        <w:sectPr>
          <w:pgSz w:w="11900" w:h="16838" w:orient="portrait"/>
          <w:cols w:equalWidth="0" w:num="1">
            <w:col w:w="10920"/>
          </w:cols>
          <w:pgMar w:left="320" w:top="779" w:right="659" w:bottom="1440" w:gutter="0" w:footer="0" w:header="0"/>
        </w:sectPr>
      </w:pPr>
    </w:p>
    <w:bookmarkStart w:id="3" w:name="page4"/>
    <w:bookmarkEnd w:id="3"/>
    <w:p>
      <w:pPr>
        <w:spacing w:after="0" w:line="33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242570</wp:posOffset>
            </wp:positionH>
            <wp:positionV relativeFrom="page">
              <wp:posOffset>88900</wp:posOffset>
            </wp:positionV>
            <wp:extent cx="1234440" cy="6083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1234440" cy="608330"/>
                    </a:xfrm>
                    <a:prstGeom prst="rect">
                      <a:avLst/>
                    </a:prstGeom>
                    <a:noFill/>
                  </pic:spPr>
                </pic:pic>
              </a:graphicData>
            </a:graphic>
          </wp:anchor>
        </w:drawing>
      </w:r>
    </w:p>
    <w:p>
      <w:pPr>
        <w:jc w:val="right"/>
        <w:spacing w:after="0"/>
        <w:rPr>
          <w:sz w:val="20"/>
          <w:szCs w:val="20"/>
          <w:color w:val="auto"/>
        </w:rPr>
      </w:pPr>
      <w:r>
        <w:rPr>
          <w:rFonts w:ascii="Times New Roman" w:cs="Times New Roman" w:eastAsia="Times New Roman" w:hAnsi="Times New Roman"/>
          <w:sz w:val="16"/>
          <w:szCs w:val="16"/>
          <w:b w:val="1"/>
          <w:bCs w:val="1"/>
          <w:color w:val="auto"/>
        </w:rPr>
        <w:t>Exhibit 99.1</w:t>
      </w: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Perella Weinberg Partners Reports First Quarter 2022 Results</w:t>
      </w:r>
    </w:p>
    <w:p>
      <w:pPr>
        <w:spacing w:after="0" w:line="227" w:lineRule="exact"/>
        <w:rPr>
          <w:sz w:val="20"/>
          <w:szCs w:val="20"/>
          <w:color w:val="auto"/>
        </w:rPr>
      </w:pPr>
    </w:p>
    <w:p>
      <w:pPr>
        <w:ind w:left="580" w:hanging="329"/>
        <w:spacing w:after="0"/>
        <w:tabs>
          <w:tab w:leader="none" w:pos="580" w:val="left"/>
        </w:tabs>
        <w:numPr>
          <w:ilvl w:val="0"/>
          <w:numId w:val="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First Quarter 2022 Revenues of $151.9 Million</w:t>
      </w:r>
    </w:p>
    <w:p>
      <w:pPr>
        <w:spacing w:after="0" w:line="117" w:lineRule="exact"/>
        <w:rPr>
          <w:rFonts w:ascii="Times New Roman" w:cs="Times New Roman" w:eastAsia="Times New Roman" w:hAnsi="Times New Roman"/>
          <w:sz w:val="18"/>
          <w:szCs w:val="18"/>
          <w:i w:val="1"/>
          <w:iCs w:val="1"/>
          <w:color w:val="auto"/>
        </w:rPr>
      </w:pPr>
    </w:p>
    <w:p>
      <w:pPr>
        <w:ind w:left="580" w:right="660" w:hanging="329"/>
        <w:spacing w:after="0" w:line="284" w:lineRule="auto"/>
        <w:tabs>
          <w:tab w:leader="none" w:pos="575" w:val="left"/>
        </w:tabs>
        <w:numPr>
          <w:ilvl w:val="0"/>
          <w:numId w:val="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Adjusted Operating Income Margin of 14.8% for the First Quarter 2022; GAAP Operating Loss Margin of (6.8)% for the First Quarter 2022</w:t>
      </w:r>
    </w:p>
    <w:p>
      <w:pPr>
        <w:spacing w:after="0" w:line="50" w:lineRule="exact"/>
        <w:rPr>
          <w:rFonts w:ascii="Times New Roman" w:cs="Times New Roman" w:eastAsia="Times New Roman" w:hAnsi="Times New Roman"/>
          <w:sz w:val="18"/>
          <w:szCs w:val="18"/>
          <w:i w:val="1"/>
          <w:iCs w:val="1"/>
          <w:color w:val="auto"/>
        </w:rPr>
      </w:pPr>
    </w:p>
    <w:p>
      <w:pPr>
        <w:ind w:left="580" w:hanging="329"/>
        <w:spacing w:after="0"/>
        <w:tabs>
          <w:tab w:leader="none" w:pos="580" w:val="left"/>
        </w:tabs>
        <w:numPr>
          <w:ilvl w:val="0"/>
          <w:numId w:val="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Adjusted Net Income of $20.5 Million for the First Quarter 2022; GAAP Net Income of $1.1 Million for the First Quarter 2022</w:t>
      </w:r>
    </w:p>
    <w:p>
      <w:pPr>
        <w:spacing w:after="0" w:line="117" w:lineRule="exact"/>
        <w:rPr>
          <w:rFonts w:ascii="Times New Roman" w:cs="Times New Roman" w:eastAsia="Times New Roman" w:hAnsi="Times New Roman"/>
          <w:sz w:val="18"/>
          <w:szCs w:val="18"/>
          <w:i w:val="1"/>
          <w:iCs w:val="1"/>
          <w:color w:val="auto"/>
        </w:rPr>
      </w:pPr>
    </w:p>
    <w:p>
      <w:pPr>
        <w:ind w:left="580" w:right="660" w:hanging="329"/>
        <w:spacing w:after="0" w:line="284" w:lineRule="auto"/>
        <w:tabs>
          <w:tab w:leader="none" w:pos="575" w:val="left"/>
        </w:tabs>
        <w:numPr>
          <w:ilvl w:val="0"/>
          <w:numId w:val="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Year-to-Date have Added Four Advisory Partners, with an Additional Partner Joining the Firm in the Second Quarter; Continue to Add Talent to Support Strategic Growth And Expand Coverage and Expertise</w:t>
      </w:r>
    </w:p>
    <w:p>
      <w:pPr>
        <w:spacing w:after="0" w:line="50" w:lineRule="exact"/>
        <w:rPr>
          <w:rFonts w:ascii="Times New Roman" w:cs="Times New Roman" w:eastAsia="Times New Roman" w:hAnsi="Times New Roman"/>
          <w:sz w:val="18"/>
          <w:szCs w:val="18"/>
          <w:i w:val="1"/>
          <w:iCs w:val="1"/>
          <w:color w:val="auto"/>
        </w:rPr>
      </w:pPr>
    </w:p>
    <w:p>
      <w:pPr>
        <w:ind w:left="580" w:hanging="329"/>
        <w:spacing w:after="0"/>
        <w:tabs>
          <w:tab w:leader="none" w:pos="580" w:val="left"/>
        </w:tabs>
        <w:numPr>
          <w:ilvl w:val="0"/>
          <w:numId w:val="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No Outstanding Indebtedness; Strong Balance Sheet</w:t>
      </w:r>
    </w:p>
    <w:p>
      <w:pPr>
        <w:spacing w:after="0" w:line="117" w:lineRule="exact"/>
        <w:rPr>
          <w:rFonts w:ascii="Times New Roman" w:cs="Times New Roman" w:eastAsia="Times New Roman" w:hAnsi="Times New Roman"/>
          <w:sz w:val="18"/>
          <w:szCs w:val="18"/>
          <w:i w:val="1"/>
          <w:iCs w:val="1"/>
          <w:color w:val="auto"/>
        </w:rPr>
      </w:pPr>
    </w:p>
    <w:p>
      <w:pPr>
        <w:ind w:left="580" w:right="660" w:hanging="329"/>
        <w:spacing w:after="0" w:line="284" w:lineRule="auto"/>
        <w:tabs>
          <w:tab w:leader="none" w:pos="575" w:val="left"/>
        </w:tabs>
        <w:numPr>
          <w:ilvl w:val="0"/>
          <w:numId w:val="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Repurchased Equivalent of Approximately 730,000 Shares, Including 559,000 Shares from Net Settlement and 172,000 Shares via Open Market Repurchase Program which Began on March 25, 2022</w:t>
      </w:r>
    </w:p>
    <w:p>
      <w:pPr>
        <w:spacing w:after="0" w:line="50" w:lineRule="exact"/>
        <w:rPr>
          <w:rFonts w:ascii="Times New Roman" w:cs="Times New Roman" w:eastAsia="Times New Roman" w:hAnsi="Times New Roman"/>
          <w:sz w:val="18"/>
          <w:szCs w:val="18"/>
          <w:i w:val="1"/>
          <w:iCs w:val="1"/>
          <w:color w:val="auto"/>
        </w:rPr>
      </w:pPr>
    </w:p>
    <w:p>
      <w:pPr>
        <w:ind w:left="580" w:hanging="329"/>
        <w:spacing w:after="0"/>
        <w:tabs>
          <w:tab w:leader="none" w:pos="580" w:val="left"/>
        </w:tabs>
        <w:numPr>
          <w:ilvl w:val="0"/>
          <w:numId w:val="2"/>
        </w:numPr>
        <w:rPr>
          <w:rFonts w:ascii="Arial" w:cs="Arial" w:eastAsia="Arial" w:hAnsi="Arial"/>
          <w:sz w:val="18"/>
          <w:szCs w:val="18"/>
          <w:i w:val="1"/>
          <w:iCs w:val="1"/>
          <w:color w:val="auto"/>
        </w:rPr>
      </w:pPr>
      <w:r>
        <w:rPr>
          <w:rFonts w:ascii="Times New Roman" w:cs="Times New Roman" w:eastAsia="Times New Roman" w:hAnsi="Times New Roman"/>
          <w:sz w:val="18"/>
          <w:szCs w:val="18"/>
          <w:i w:val="1"/>
          <w:iCs w:val="1"/>
          <w:color w:val="auto"/>
        </w:rPr>
        <w:t>Declared Quarterly Dividend of $0.07 Per Share</w:t>
      </w:r>
    </w:p>
    <w:p>
      <w:pPr>
        <w:spacing w:after="0" w:line="36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NEW YORK, NY, May 5, 2022 – Perella Weinberg Partners (the “Firm” or “PWP”) (NASDAQ:PWP) today reported financial results for the first quarter ended March 31, 2022. The Firm reported first quarter revenues of $151.9 million for the three months ended March 31, 2022, compared with $169.8 million for the three months ended March 31, 2021. GAAP net income and adjusted net income were $1.1 million and $20.5 million, respectively, for the three months ended March 31, 2022, compared with GAAP net income of $22.5 million and adjusted net income of $31.5 million for the three months ended March 31, 2021. GAAP diluted net income per Class A share and adjusted diluted if-converted net income per Class A share were $0.00 and $0.19, respectively, for the three months ended March 31, 2022.</w:t>
      </w:r>
    </w:p>
    <w:p>
      <w:pPr>
        <w:spacing w:after="0" w:line="309"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“PWP’s first quarter revenues represented our second highest first quarter revenues in the history of the firm and follow a record year in 2021. Our performance was driven by diversified revenue contribution across our industry groups, products and regions. Near term market volatility aside, our growth opportunity, our growth plan and our growth destination remain unchanged from when we were introduced to the public equity markets and we continue to execute against these initiatives. Our focus remains simple: providing trusted, expert advice to our clients, developing and attracting the best people to our firm and delivering maximum value to PWP shareholders.” stated Peter Weinberg, Chief Executive Officer.</w:t>
      </w:r>
    </w:p>
    <w:p>
      <w:pPr>
        <w:spacing w:after="0" w:line="321" w:lineRule="exact"/>
        <w:rPr>
          <w:sz w:val="20"/>
          <w:szCs w:val="20"/>
          <w:color w:val="auto"/>
        </w:rPr>
      </w:pPr>
    </w:p>
    <w:p>
      <w:pPr>
        <w:ind w:firstLine="8"/>
        <w:spacing w:after="0" w:line="298" w:lineRule="auto"/>
        <w:tabs>
          <w:tab w:leader="none" w:pos="119"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Throughout this release, adjusted figures represent Non-GAAP information. See “Non-GAAP Financial Measures” and the tables at the end of this release for an explanation of the adjustments and reconciliations to the comparable GAAP numbers.</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40"/>
          </w:cols>
          <w:pgMar w:left="320" w:top="1440" w:right="339" w:bottom="1440" w:gutter="0" w:footer="0" w:header="0"/>
        </w:sectPr>
      </w:pPr>
    </w:p>
    <w:bookmarkStart w:id="4" w:name="page5"/>
    <w:bookmarkEnd w:id="4"/>
    <w:p>
      <w:pPr>
        <w:spacing w:after="0" w:line="7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242570</wp:posOffset>
            </wp:positionH>
            <wp:positionV relativeFrom="page">
              <wp:posOffset>88900</wp:posOffset>
            </wp:positionV>
            <wp:extent cx="1234440" cy="6083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1234440" cy="608330"/>
                    </a:xfrm>
                    <a:prstGeom prst="rect">
                      <a:avLst/>
                    </a:prstGeom>
                    <a:noFill/>
                  </pic:spPr>
                </pic:pic>
              </a:graphicData>
            </a:graphic>
          </wp:anchor>
        </w:drawing>
      </w:r>
    </w:p>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Selected Financial Data (Unaudited)</w:t>
      </w:r>
    </w:p>
    <w:tbl>
      <w:tblPr>
        <w:tblLayout w:type="fixed"/>
        <w:tblInd w:w="20" w:type="dxa"/>
        <w:tblCellMar>
          <w:top w:w="0" w:type="dxa"/>
          <w:left w:w="0" w:type="dxa"/>
          <w:bottom w:w="0" w:type="dxa"/>
          <w:right w:w="0" w:type="dxa"/>
        </w:tblCellMar>
      </w:tblPr>
      <w:tr>
        <w:trPr>
          <w:trHeight w:val="212"/>
        </w:trPr>
        <w:tc>
          <w:tcPr>
            <w:tcW w:w="7460" w:type="dxa"/>
            <w:vAlign w:val="bottom"/>
            <w:gridSpan w:val="3"/>
          </w:tcPr>
          <w:p>
            <w:pPr>
              <w:ind w:left="3840"/>
              <w:spacing w:after="0"/>
              <w:rPr>
                <w:sz w:val="20"/>
                <w:szCs w:val="20"/>
                <w:color w:val="auto"/>
              </w:rPr>
            </w:pPr>
            <w:r>
              <w:rPr>
                <w:rFonts w:ascii="Times New Roman" w:cs="Times New Roman" w:eastAsia="Times New Roman" w:hAnsi="Times New Roman"/>
                <w:sz w:val="16"/>
                <w:szCs w:val="16"/>
                <w:b w:val="1"/>
                <w:bCs w:val="1"/>
                <w:color w:val="auto"/>
              </w:rPr>
              <w:t>(Dollars in Thousands, Except Per Share Amounts)</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42"/>
        </w:trPr>
        <w:tc>
          <w:tcPr>
            <w:tcW w:w="62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U.S. GAAP</w:t>
            </w:r>
          </w:p>
        </w:tc>
        <w:tc>
          <w:tcPr>
            <w:tcW w:w="7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gridSpan w:val="3"/>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Adjusted</w:t>
            </w:r>
          </w:p>
        </w:tc>
        <w:tc>
          <w:tcPr>
            <w:tcW w:w="8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62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40" w:type="dxa"/>
            <w:vAlign w:val="bottom"/>
            <w:tcBorders>
              <w:bottom w:val="single" w:sz="8" w:color="auto"/>
            </w:tcBorders>
            <w:gridSpan w:val="5"/>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8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2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2022</w:t>
            </w:r>
          </w:p>
        </w:tc>
        <w:tc>
          <w:tcPr>
            <w:tcW w:w="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2021</w:t>
            </w:r>
          </w:p>
        </w:tc>
        <w:tc>
          <w:tcPr>
            <w:tcW w:w="0" w:type="dxa"/>
            <w:vAlign w:val="bottom"/>
          </w:tcPr>
          <w:p>
            <w:pPr>
              <w:spacing w:after="0"/>
              <w:rPr>
                <w:sz w:val="1"/>
                <w:szCs w:val="1"/>
                <w:color w:val="auto"/>
              </w:rPr>
            </w:pPr>
          </w:p>
        </w:tc>
      </w:tr>
      <w:tr>
        <w:trPr>
          <w:trHeight w:val="211"/>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Revenues</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151,876</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169,802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151,876</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169,802</w:t>
            </w:r>
          </w:p>
        </w:tc>
        <w:tc>
          <w:tcPr>
            <w:tcW w:w="0" w:type="dxa"/>
            <w:vAlign w:val="bottom"/>
          </w:tcPr>
          <w:p>
            <w:pPr>
              <w:spacing w:after="0"/>
              <w:rPr>
                <w:sz w:val="1"/>
                <w:szCs w:val="1"/>
                <w:color w:val="auto"/>
              </w:rPr>
            </w:pPr>
          </w:p>
        </w:tc>
      </w:tr>
      <w:tr>
        <w:trPr>
          <w:trHeight w:val="213"/>
        </w:trPr>
        <w:tc>
          <w:tcPr>
            <w:tcW w:w="6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compensation and benefits</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128,135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115,627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97,201</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109,305</w:t>
            </w:r>
          </w:p>
        </w:tc>
        <w:tc>
          <w:tcPr>
            <w:tcW w:w="0" w:type="dxa"/>
            <w:vAlign w:val="bottom"/>
          </w:tcPr>
          <w:p>
            <w:pPr>
              <w:spacing w:after="0"/>
              <w:rPr>
                <w:sz w:val="1"/>
                <w:szCs w:val="1"/>
                <w:color w:val="auto"/>
              </w:rPr>
            </w:pPr>
          </w:p>
        </w:tc>
      </w:tr>
      <w:tr>
        <w:trPr>
          <w:trHeight w:val="213"/>
        </w:trPr>
        <w:tc>
          <w:tcPr>
            <w:tcW w:w="62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Non-compensation expenses</w:t>
            </w: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34,100</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26,131</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32,168</w:t>
            </w:r>
          </w:p>
        </w:tc>
        <w:tc>
          <w:tcPr>
            <w:tcW w:w="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24,486</w:t>
            </w:r>
          </w:p>
        </w:tc>
        <w:tc>
          <w:tcPr>
            <w:tcW w:w="0" w:type="dxa"/>
            <w:vAlign w:val="bottom"/>
          </w:tcPr>
          <w:p>
            <w:pPr>
              <w:spacing w:after="0"/>
              <w:rPr>
                <w:sz w:val="1"/>
                <w:szCs w:val="1"/>
                <w:color w:val="auto"/>
              </w:rPr>
            </w:pPr>
          </w:p>
        </w:tc>
      </w:tr>
      <w:tr>
        <w:trPr>
          <w:trHeight w:val="212"/>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income (loss)</w:t>
            </w: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(10,359)</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28,044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22,507</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36,011</w:t>
            </w:r>
          </w:p>
        </w:tc>
        <w:tc>
          <w:tcPr>
            <w:tcW w:w="0" w:type="dxa"/>
            <w:vAlign w:val="bottom"/>
          </w:tcPr>
          <w:p>
            <w:pPr>
              <w:spacing w:after="0"/>
              <w:rPr>
                <w:sz w:val="1"/>
                <w:szCs w:val="1"/>
                <w:color w:val="auto"/>
              </w:rPr>
            </w:pPr>
          </w:p>
        </w:tc>
      </w:tr>
      <w:tr>
        <w:trPr>
          <w:trHeight w:val="213"/>
        </w:trPr>
        <w:tc>
          <w:tcPr>
            <w:tcW w:w="62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Total non-operating income (expenses)</w:t>
            </w: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14,407</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(3,513)</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2,438</w:t>
            </w:r>
          </w:p>
        </w:tc>
        <w:tc>
          <w:tcPr>
            <w:tcW w:w="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(2,479)</w:t>
            </w:r>
          </w:p>
        </w:tc>
        <w:tc>
          <w:tcPr>
            <w:tcW w:w="0" w:type="dxa"/>
            <w:vAlign w:val="bottom"/>
          </w:tcPr>
          <w:p>
            <w:pPr>
              <w:spacing w:after="0"/>
              <w:rPr>
                <w:sz w:val="1"/>
                <w:szCs w:val="1"/>
                <w:color w:val="auto"/>
              </w:rPr>
            </w:pPr>
          </w:p>
        </w:tc>
      </w:tr>
      <w:tr>
        <w:trPr>
          <w:trHeight w:val="212"/>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(loss) before provision for income taxes</w:t>
            </w: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4,048</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24,531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24,945</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33,532</w:t>
            </w:r>
          </w:p>
        </w:tc>
        <w:tc>
          <w:tcPr>
            <w:tcW w:w="0" w:type="dxa"/>
            <w:vAlign w:val="bottom"/>
          </w:tcPr>
          <w:p>
            <w:pPr>
              <w:spacing w:after="0"/>
              <w:rPr>
                <w:sz w:val="1"/>
                <w:szCs w:val="1"/>
                <w:color w:val="auto"/>
              </w:rPr>
            </w:pPr>
          </w:p>
        </w:tc>
      </w:tr>
      <w:tr>
        <w:trPr>
          <w:trHeight w:val="213"/>
        </w:trPr>
        <w:tc>
          <w:tcPr>
            <w:tcW w:w="62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Income tax benefit (expense)</w:t>
            </w: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(2,996)</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(2,024)</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(4,438)</w:t>
            </w:r>
          </w:p>
        </w:tc>
        <w:tc>
          <w:tcPr>
            <w:tcW w:w="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(2,024)</w:t>
            </w:r>
          </w:p>
        </w:tc>
        <w:tc>
          <w:tcPr>
            <w:tcW w:w="0" w:type="dxa"/>
            <w:vAlign w:val="bottom"/>
          </w:tcPr>
          <w:p>
            <w:pPr>
              <w:spacing w:after="0"/>
              <w:rPr>
                <w:sz w:val="1"/>
                <w:szCs w:val="1"/>
                <w:color w:val="auto"/>
              </w:rPr>
            </w:pPr>
          </w:p>
        </w:tc>
      </w:tr>
      <w:tr>
        <w:trPr>
          <w:trHeight w:val="237"/>
        </w:trPr>
        <w:tc>
          <w:tcPr>
            <w:tcW w:w="6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1,052</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22,507</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20,507</w:t>
            </w: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31,508</w:t>
            </w:r>
          </w:p>
        </w:tc>
        <w:tc>
          <w:tcPr>
            <w:tcW w:w="0" w:type="dxa"/>
            <w:vAlign w:val="bottom"/>
          </w:tcPr>
          <w:p>
            <w:pPr>
              <w:spacing w:after="0"/>
              <w:rPr>
                <w:sz w:val="1"/>
                <w:szCs w:val="1"/>
                <w:color w:val="auto"/>
              </w:rPr>
            </w:pPr>
          </w:p>
        </w:tc>
      </w:tr>
      <w:tr>
        <w:trPr>
          <w:trHeight w:val="20"/>
        </w:trPr>
        <w:tc>
          <w:tcPr>
            <w:tcW w:w="62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Net income (loss) attributable to non-controlling interests</w:t>
            </w:r>
          </w:p>
        </w:tc>
        <w:tc>
          <w:tcPr>
            <w:tcW w:w="2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(7,842)</w:t>
            </w: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6260" w:type="dxa"/>
            <w:vAlign w:val="bottom"/>
            <w:tcBorders>
              <w:bottom w:val="single" w:sz="8" w:color="CCEEFF"/>
            </w:tcBorders>
            <w:vMerge w:val="continue"/>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vMerge w:val="continue"/>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360" w:type="dxa"/>
            <w:vAlign w:val="bottom"/>
            <w:tcBorders>
              <w:bottom w:val="single" w:sz="8" w:color="CCEEFF"/>
            </w:tcBorders>
          </w:tcPr>
          <w:p>
            <w:pPr>
              <w:spacing w:after="0"/>
              <w:rPr>
                <w:sz w:val="13"/>
                <w:szCs w:val="13"/>
                <w:color w:val="auto"/>
              </w:rPr>
            </w:pPr>
          </w:p>
        </w:tc>
        <w:tc>
          <w:tcPr>
            <w:tcW w:w="76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220" w:type="dxa"/>
            <w:vAlign w:val="bottom"/>
            <w:tcBorders>
              <w:bottom w:val="single" w:sz="8" w:color="CCEEFF"/>
            </w:tcBorders>
          </w:tcPr>
          <w:p>
            <w:pPr>
              <w:spacing w:after="0"/>
              <w:rPr>
                <w:sz w:val="13"/>
                <w:szCs w:val="13"/>
                <w:color w:val="auto"/>
              </w:rPr>
            </w:pPr>
          </w:p>
        </w:tc>
        <w:tc>
          <w:tcPr>
            <w:tcW w:w="100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320" w:type="dxa"/>
            <w:vAlign w:val="bottom"/>
            <w:tcBorders>
              <w:bottom w:val="single" w:sz="8" w:color="CCEEFF"/>
            </w:tcBorders>
          </w:tcPr>
          <w:p>
            <w:pPr>
              <w:spacing w:after="0"/>
              <w:rPr>
                <w:sz w:val="13"/>
                <w:szCs w:val="13"/>
                <w:color w:val="auto"/>
              </w:rPr>
            </w:pPr>
          </w:p>
        </w:tc>
        <w:tc>
          <w:tcPr>
            <w:tcW w:w="80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237"/>
        </w:trPr>
        <w:tc>
          <w:tcPr>
            <w:tcW w:w="6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(loss) attributable to Perella Weinberg Partners</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8,894</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2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CCEEFF"/>
            </w:tcBorders>
            <w:vMerge w:val="restart"/>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20,507</w:t>
            </w: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626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vMerge w:val="continue"/>
          </w:tcPr>
          <w:p>
            <w:pPr>
              <w:spacing w:after="0"/>
              <w:rPr>
                <w:sz w:val="13"/>
                <w:szCs w:val="13"/>
                <w:color w:val="auto"/>
              </w:rPr>
            </w:pPr>
          </w:p>
        </w:tc>
        <w:tc>
          <w:tcPr>
            <w:tcW w:w="10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Adjusted income tax benefit (expense)</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4,438</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Add: If-converted tax impact</w:t>
            </w:r>
          </w:p>
        </w:tc>
        <w:tc>
          <w:tcPr>
            <w:tcW w:w="220" w:type="dxa"/>
            <w:vAlign w:val="bottom"/>
            <w:tcBorders>
              <w:bottom w:val="single" w:sz="8" w:color="CCEEFF"/>
            </w:tcBorders>
          </w:tcPr>
          <w:p>
            <w:pPr>
              <w:spacing w:after="0"/>
              <w:rPr>
                <w:sz w:val="18"/>
                <w:szCs w:val="18"/>
                <w:color w:val="auto"/>
              </w:rPr>
            </w:pPr>
          </w:p>
        </w:tc>
        <w:tc>
          <w:tcPr>
            <w:tcW w:w="9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CCEEFF"/>
            </w:tcBorders>
          </w:tcPr>
          <w:p>
            <w:pPr>
              <w:spacing w:after="0"/>
              <w:rPr>
                <w:sz w:val="18"/>
                <w:szCs w:val="18"/>
                <w:color w:val="auto"/>
              </w:rPr>
            </w:pPr>
          </w:p>
        </w:tc>
        <w:tc>
          <w:tcPr>
            <w:tcW w:w="7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(7,557)</w:t>
            </w:r>
          </w:p>
        </w:tc>
        <w:tc>
          <w:tcPr>
            <w:tcW w:w="80" w:type="dxa"/>
            <w:vAlign w:val="bottom"/>
            <w:tcBorders>
              <w:bottom w:val="single" w:sz="8" w:color="CCEEFF"/>
            </w:tcBorders>
          </w:tcPr>
          <w:p>
            <w:pPr>
              <w:spacing w:after="0"/>
              <w:rPr>
                <w:sz w:val="18"/>
                <w:szCs w:val="18"/>
                <w:color w:val="auto"/>
              </w:rPr>
            </w:pPr>
          </w:p>
        </w:tc>
        <w:tc>
          <w:tcPr>
            <w:tcW w:w="320" w:type="dxa"/>
            <w:vAlign w:val="bottom"/>
            <w:tcBorders>
              <w:bottom w:val="single" w:sz="8" w:color="CCEEFF"/>
            </w:tcBorders>
          </w:tcPr>
          <w:p>
            <w:pPr>
              <w:spacing w:after="0"/>
              <w:rPr>
                <w:sz w:val="18"/>
                <w:szCs w:val="18"/>
                <w:color w:val="auto"/>
              </w:rPr>
            </w:pPr>
          </w:p>
        </w:tc>
        <w:tc>
          <w:tcPr>
            <w:tcW w:w="8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6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Adjusted if-converted net income (loss)</w:t>
            </w:r>
          </w:p>
        </w:tc>
        <w:tc>
          <w:tcPr>
            <w:tcW w:w="2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17,388</w:t>
            </w: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2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Net income (loss) per share attributable to Class A common shareholders (1)</w:t>
            </w:r>
          </w:p>
        </w:tc>
        <w:tc>
          <w:tcPr>
            <w:tcW w:w="2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626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Basic</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Diluted</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Diluted, If-Converted</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0.19</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Weighted-average shares of Class A common stock outstanding (1)</w:t>
            </w: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Basic</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45,917,935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Diluted</w:t>
            </w:r>
          </w:p>
        </w:tc>
        <w:tc>
          <w:tcPr>
            <w:tcW w:w="220" w:type="dxa"/>
            <w:vAlign w:val="bottom"/>
          </w:tcPr>
          <w:p>
            <w:pPr>
              <w:spacing w:after="0"/>
              <w:rPr>
                <w:sz w:val="18"/>
                <w:szCs w:val="18"/>
                <w:color w:val="auto"/>
              </w:rPr>
            </w:pPr>
          </w:p>
        </w:tc>
        <w:tc>
          <w:tcPr>
            <w:tcW w:w="9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93,231,332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93,526,548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59" w:lineRule="exact"/>
        <w:rPr>
          <w:sz w:val="20"/>
          <w:szCs w:val="20"/>
          <w:color w:val="auto"/>
        </w:rPr>
      </w:pPr>
    </w:p>
    <w:p>
      <w:pPr>
        <w:ind w:left="380" w:right="560" w:hanging="372"/>
        <w:spacing w:after="0" w:line="234" w:lineRule="auto"/>
        <w:tabs>
          <w:tab w:leader="none" w:pos="376"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analyzed the calculation of net income (loss) per share for periods prior to June 24, 2021, the date of the business combination with FinTech Acquisition Corp. IV on June 24, 2021 (the “Business Combination”) and determined that it resulted in values that would not be meaningful to the users of the condensed consolidated financial statements; therefore, net income (loss) per share information has not been presented for periods prior to the Business Combination. Similarly, adjusted net income (loss) per Class A share - Diluted, If Converted for the three months ended March 31, 2021 is not meaningful or comparative to GAAP diluted earnings per share, as it excludes activity prior to the Business Combination on June 24, 2021.</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firstLine="8"/>
        <w:spacing w:after="0" w:line="280" w:lineRule="auto"/>
        <w:tabs>
          <w:tab w:leader="none" w:pos="119" w:val="left"/>
        </w:tabs>
        <w:numPr>
          <w:ilvl w:val="0"/>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Throughout this release, adjusted figures represent Non-GAAP information. See “Non-GAAP Financial Measures” and the tables at the end of this release for an explanation of the adjustments and reconciliations to the comparable GAAP numbers.</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1440"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242570</wp:posOffset>
            </wp:positionH>
            <wp:positionV relativeFrom="page">
              <wp:posOffset>88900</wp:posOffset>
            </wp:positionV>
            <wp:extent cx="1234440" cy="6083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1234440" cy="608330"/>
                    </a:xfrm>
                    <a:prstGeom prst="rect">
                      <a:avLst/>
                    </a:prstGeom>
                    <a:noFill/>
                  </pic:spPr>
                </pic:pic>
              </a:graphicData>
            </a:graphic>
          </wp:anchor>
        </w:drawing>
        <w:t>Revenues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the first quarter 2022, revenues were $151.9 million, a decrease of 11% from $169.8 million for the first quarter 2021, which represented a record first quarter for the firm. The period-over-period decline was largely driven by a reduction in mergers and acquisition activity in our U.S. business, partially offset by an increase in non-U.S. mergers and acquisitions completions. The decrease in revenues can be attributed to fewer advisory transaction completions despite a moderate increase in average fee size per client, as compared to the same period in 2021.</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Expenses</w:t>
      </w:r>
    </w:p>
    <w:p>
      <w:pPr>
        <w:spacing w:after="0" w:line="299" w:lineRule="exact"/>
        <w:rPr>
          <w:sz w:val="20"/>
          <w:szCs w:val="20"/>
          <w:color w:val="auto"/>
        </w:rPr>
      </w:pPr>
    </w:p>
    <w:tbl>
      <w:tblPr>
        <w:tblLayout w:type="fixed"/>
        <w:tblInd w:w="220" w:type="dxa"/>
        <w:tblCellMar>
          <w:top w:w="0" w:type="dxa"/>
          <w:left w:w="0" w:type="dxa"/>
          <w:bottom w:w="0" w:type="dxa"/>
          <w:right w:w="0" w:type="dxa"/>
        </w:tblCellMar>
      </w:tblPr>
      <w:tr>
        <w:trPr>
          <w:trHeight w:val="215"/>
        </w:trPr>
        <w:tc>
          <w:tcPr>
            <w:tcW w:w="49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U.S. GAAP</w:t>
            </w:r>
          </w:p>
        </w:tc>
        <w:tc>
          <w:tcPr>
            <w:tcW w:w="9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3"/>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Adjusted</w:t>
            </w:r>
          </w:p>
        </w:tc>
        <w:tc>
          <w:tcPr>
            <w:tcW w:w="960" w:type="dxa"/>
            <w:vAlign w:val="bottom"/>
            <w:tcBorders>
              <w:bottom w:val="single" w:sz="8" w:color="auto"/>
            </w:tcBorders>
          </w:tcPr>
          <w:p>
            <w:pPr>
              <w:spacing w:after="0"/>
              <w:rPr>
                <w:sz w:val="18"/>
                <w:szCs w:val="18"/>
                <w:color w:val="auto"/>
              </w:rPr>
            </w:pPr>
          </w:p>
        </w:tc>
      </w:tr>
      <w:tr>
        <w:trPr>
          <w:trHeight w:val="211"/>
        </w:trPr>
        <w:tc>
          <w:tcPr>
            <w:tcW w:w="4980" w:type="dxa"/>
            <w:vAlign w:val="bottom"/>
          </w:tcPr>
          <w:p>
            <w:pPr>
              <w:spacing w:after="0"/>
              <w:rPr>
                <w:sz w:val="20"/>
                <w:szCs w:val="20"/>
                <w:color w:val="auto"/>
              </w:rPr>
            </w:pPr>
            <w:r>
              <w:rPr>
                <w:rFonts w:ascii="Times New Roman" w:cs="Times New Roman" w:eastAsia="Times New Roman" w:hAnsi="Times New Roman"/>
                <w:sz w:val="13"/>
                <w:szCs w:val="13"/>
                <w:b w:val="1"/>
                <w:bCs w:val="1"/>
                <w:i w:val="1"/>
                <w:iCs w:val="1"/>
                <w:color w:val="auto"/>
              </w:rPr>
              <w:t>(Dollars in thousands)</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270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3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r>
      <w:tr>
        <w:trPr>
          <w:trHeight w:val="209"/>
        </w:trPr>
        <w:tc>
          <w:tcPr>
            <w:tcW w:w="49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2021</w:t>
            </w:r>
          </w:p>
        </w:tc>
        <w:tc>
          <w:tcPr>
            <w:tcW w:w="26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11"/>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Operating expenses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13"/>
        </w:trPr>
        <w:tc>
          <w:tcPr>
            <w:tcW w:w="4980" w:type="dxa"/>
            <w:vAlign w:val="bottom"/>
          </w:tcPr>
          <w:p>
            <w:pPr>
              <w:spacing w:after="0"/>
              <w:rPr>
                <w:sz w:val="20"/>
                <w:szCs w:val="20"/>
                <w:color w:val="auto"/>
              </w:rPr>
            </w:pPr>
            <w:r>
              <w:rPr>
                <w:rFonts w:ascii="Times New Roman" w:cs="Times New Roman" w:eastAsia="Times New Roman" w:hAnsi="Times New Roman"/>
                <w:sz w:val="16"/>
                <w:szCs w:val="16"/>
                <w:color w:val="auto"/>
              </w:rPr>
              <w:t>Total compensation and benefits</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128,135</w:t>
            </w:r>
          </w:p>
        </w:tc>
        <w:tc>
          <w:tcPr>
            <w:tcW w:w="12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115,627</w:t>
            </w:r>
          </w:p>
        </w:tc>
        <w:tc>
          <w:tcPr>
            <w:tcW w:w="26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97,201</w:t>
            </w:r>
          </w:p>
        </w:tc>
        <w:tc>
          <w:tcPr>
            <w:tcW w:w="12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109,305</w:t>
            </w:r>
          </w:p>
        </w:tc>
      </w:tr>
      <w:tr>
        <w:trPr>
          <w:trHeight w:val="219"/>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i w:val="1"/>
                <w:iCs w:val="1"/>
                <w:color w:val="auto"/>
              </w:rPr>
              <w:t>% of Revenues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84 %</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68 %</w:t>
            </w:r>
          </w:p>
        </w:tc>
        <w:tc>
          <w:tcPr>
            <w:tcW w:w="2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64 %</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64 %</w:t>
            </w:r>
          </w:p>
        </w:tc>
      </w:tr>
      <w:tr>
        <w:trPr>
          <w:trHeight w:val="213"/>
        </w:trPr>
        <w:tc>
          <w:tcPr>
            <w:tcW w:w="4980" w:type="dxa"/>
            <w:vAlign w:val="bottom"/>
          </w:tcPr>
          <w:p>
            <w:pPr>
              <w:spacing w:after="0"/>
              <w:rPr>
                <w:sz w:val="20"/>
                <w:szCs w:val="20"/>
                <w:color w:val="auto"/>
              </w:rPr>
            </w:pPr>
            <w:r>
              <w:rPr>
                <w:rFonts w:ascii="Times New Roman" w:cs="Times New Roman" w:eastAsia="Times New Roman" w:hAnsi="Times New Roman"/>
                <w:sz w:val="16"/>
                <w:szCs w:val="16"/>
                <w:color w:val="auto"/>
              </w:rPr>
              <w:t>Non-compensation expenses</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34,100</w:t>
            </w:r>
          </w:p>
        </w:tc>
        <w:tc>
          <w:tcPr>
            <w:tcW w:w="12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26,131</w:t>
            </w:r>
          </w:p>
        </w:tc>
        <w:tc>
          <w:tcPr>
            <w:tcW w:w="26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32,168</w:t>
            </w:r>
          </w:p>
        </w:tc>
        <w:tc>
          <w:tcPr>
            <w:tcW w:w="12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24,486</w:t>
            </w:r>
          </w:p>
        </w:tc>
      </w:tr>
      <w:tr>
        <w:trPr>
          <w:trHeight w:val="219"/>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i w:val="1"/>
                <w:iCs w:val="1"/>
                <w:color w:val="auto"/>
              </w:rPr>
              <w:t>% of Revenues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22 %</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15 %</w:t>
            </w:r>
          </w:p>
        </w:tc>
        <w:tc>
          <w:tcPr>
            <w:tcW w:w="2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21 %</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14 %</w:t>
            </w:r>
          </w:p>
        </w:tc>
      </w:tr>
    </w:tbl>
    <w:p>
      <w:pPr>
        <w:spacing w:after="0" w:line="3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GAAP total compensation and benefits were $128.1 million for the three months ended March 31, 2022, compared to $115.6 million for the three months ended March 31, 2021. Adjusted total compensation and benefits were $97.2 million for the three months ended March 31, 2022, compared to $109.3 million for the three months ended March 31, 2021. The increase in GAAP total compensation and benefits was due to increased equity-based compensation related to RSUs issued in connection with the Business Combination partially offset by a smaller bonus accrual associated with the decrease in revenues. The decrease in adjusted total compensation and benefits for the three months ended March 31, 2022 compared to the three months ended March 31, 2021 was due to a smaller bonus accrual associated with lower revenues.</w:t>
      </w:r>
    </w:p>
    <w:p>
      <w:pPr>
        <w:spacing w:after="0" w:line="32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GAAP non-compensation expenses were $34.1 million for the three months ended March 31, 2022, compared with $26.1 million for the three months ended March 31, 2021. Adjusted non-compensation expenses were $32.2 million for the three months ended March 31, 2022, compared with $24.5 million for the three months ended March 31, 2021. The increase experienced in both GAAP non-compensation expenses and non-compensation expenses on an adjusted basis was primarily driven by an increase in professional fees related to consulting, recruiting and general legal expenses, increased public company costs including D&amp;O insurance, and an increase in travel and related expenses as pandemic-related travel restrictions began to ease in 2022.</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Provision for Income Taxes</w:t>
      </w:r>
    </w:p>
    <w:p>
      <w:pPr>
        <w:spacing w:after="0" w:line="25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Perella Weinberg Partners currently owns 50.35% of the operating partnership (PWP Holdings LP) and is subject to corporate U.S. federal and state income tax. Income earned by the operating partnership is subject to certain state and foreign income taxes.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Prior to the close of the Business Combination on June 24, 2021, all of our operating income was derived from the predecessor PWP entity and was not subject to corporate U.S. income tax.</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31, 2022, for purposes of calculating adjusted if-converted net income, we have presented our results as if all partnership units had been converted to shares of Class A Common Stock, and as if all of our income was subjected to a 30% blended effective rate applicable to the adjusted net income.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Balance Sheet and Capital Management</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March 31, 2022, PWP had $223.1 million of cash and cash equivalents. The Firm has no outstanding indebtedness and has an undrawn revolving credit facility.</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Board of Directors of PWP has declared a quarterly dividend of $0.07 per share of Class A common stock. The dividend will be paid on June 2, 2022 to Class A common stockholders of record on May 19, 2022.</w:t>
      </w:r>
    </w:p>
    <w:p>
      <w:pPr>
        <w:spacing w:after="0" w:line="176"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During the first quarter, PWP net settled 559,403 share equivalents to satisfy tax withholding obligations at an average price per share of $10.86, and repurchased 172,303 shares during the last five trading days of the quarter at an average price per share of $9.26 in open market transactions pursuant to PWP’s Class A common stock repurchase program which went into effect on March 25, 2022. The aggregate 731,706 shares were acquired at an average price per share of $10.48.</w:t>
      </w:r>
    </w:p>
    <w:p>
      <w:pPr>
        <w:spacing w:after="0" w:line="200" w:lineRule="exact"/>
        <w:rPr>
          <w:sz w:val="20"/>
          <w:szCs w:val="20"/>
          <w:color w:val="auto"/>
        </w:rPr>
      </w:pPr>
    </w:p>
    <w:p>
      <w:pPr>
        <w:spacing w:after="0" w:line="373" w:lineRule="exact"/>
        <w:rPr>
          <w:sz w:val="20"/>
          <w:szCs w:val="20"/>
          <w:color w:val="auto"/>
        </w:rPr>
      </w:pPr>
    </w:p>
    <w:p>
      <w:pPr>
        <w:ind w:firstLine="8"/>
        <w:spacing w:after="0" w:line="280" w:lineRule="auto"/>
        <w:tabs>
          <w:tab w:leader="none" w:pos="119" w:val="left"/>
        </w:tabs>
        <w:numPr>
          <w:ilvl w:val="0"/>
          <w:numId w:val="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Throughout this release, adjusted figures represent Non-GAAP information. See “Non-GAAP Financial Measures” and the tables at the end of this release for an explanation of the adjustments and reconciliations to the comparable GAAP numbers.</w:t>
      </w:r>
    </w:p>
    <w:p>
      <w:pPr>
        <w:sectPr>
          <w:pgSz w:w="11900" w:h="16838" w:orient="portrait"/>
          <w:cols w:equalWidth="0" w:num="1">
            <w:col w:w="11240"/>
          </w:cols>
          <w:pgMar w:left="320" w:top="1278" w:right="339" w:bottom="1091" w:gutter="0" w:footer="0" w:header="0"/>
        </w:sect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ectPr>
          <w:pgSz w:w="11900" w:h="16838" w:orient="portrait"/>
          <w:cols w:equalWidth="0" w:num="1">
            <w:col w:w="11240"/>
          </w:cols>
          <w:pgMar w:left="320" w:top="1278" w:right="339" w:bottom="1091" w:gutter="0" w:footer="0" w:header="0"/>
          <w:type w:val="continuous"/>
        </w:sectPr>
      </w:pPr>
    </w:p>
    <w:bookmarkStart w:id="6" w:name="page7"/>
    <w:bookmarkEnd w:id="6"/>
    <w:p>
      <w:pPr>
        <w:spacing w:after="0" w:line="8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242570</wp:posOffset>
            </wp:positionH>
            <wp:positionV relativeFrom="page">
              <wp:posOffset>88900</wp:posOffset>
            </wp:positionV>
            <wp:extent cx="1234440" cy="6083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1234440" cy="60833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Conference Call and Webcast</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Management will host a webcast and conference call on Thursday, May 5, 2022 at 9:00 am ET to discuss PWP’s financial results for the first quarter ended March 31, 2022.</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conference call will be made available in the Investors section of PWP’s website at https://investors.pwpartners.com/.</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conference call can also be accessed by the following dial-in information:</w:t>
      </w:r>
    </w:p>
    <w:p>
      <w:pPr>
        <w:spacing w:after="0" w:line="239" w:lineRule="exact"/>
        <w:rPr>
          <w:sz w:val="20"/>
          <w:szCs w:val="20"/>
          <w:color w:val="auto"/>
        </w:rPr>
      </w:pPr>
    </w:p>
    <w:p>
      <w:pPr>
        <w:ind w:left="860" w:hanging="366"/>
        <w:spacing w:after="0"/>
        <w:tabs>
          <w:tab w:leader="none" w:pos="8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Domestic: (844) 826-3033</w:t>
      </w:r>
    </w:p>
    <w:p>
      <w:pPr>
        <w:spacing w:after="0" w:line="225" w:lineRule="exact"/>
        <w:rPr>
          <w:rFonts w:ascii="Times New Roman" w:cs="Times New Roman" w:eastAsia="Times New Roman" w:hAnsi="Times New Roman"/>
          <w:sz w:val="18"/>
          <w:szCs w:val="18"/>
          <w:color w:val="auto"/>
        </w:rPr>
      </w:pPr>
    </w:p>
    <w:p>
      <w:pPr>
        <w:ind w:left="860" w:hanging="366"/>
        <w:spacing w:after="0"/>
        <w:tabs>
          <w:tab w:leader="none" w:pos="8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International: (412) 317-5185</w:t>
      </w:r>
    </w:p>
    <w:p>
      <w:pPr>
        <w:spacing w:after="0" w:line="211" w:lineRule="exact"/>
        <w:rPr>
          <w:rFonts w:ascii="Times New Roman" w:cs="Times New Roman" w:eastAsia="Times New Roman" w:hAnsi="Times New Roman"/>
          <w:sz w:val="18"/>
          <w:szCs w:val="18"/>
          <w:color w:val="auto"/>
        </w:rPr>
      </w:pPr>
    </w:p>
    <w:p>
      <w:pPr>
        <w:ind w:left="860" w:hanging="366"/>
        <w:spacing w:after="0"/>
        <w:tabs>
          <w:tab w:leader="none" w:pos="8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Conference ID: 10165467</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Replay</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replay of the call will also be available on PWP’s website approximately two hours after the live call through May 19, 2022. To access the replay, dial</w:t>
      </w:r>
    </w:p>
    <w:p>
      <w:pPr>
        <w:spacing w:after="0" w:line="27" w:lineRule="exact"/>
        <w:rPr>
          <w:sz w:val="20"/>
          <w:szCs w:val="20"/>
          <w:color w:val="auto"/>
        </w:rPr>
      </w:pPr>
    </w:p>
    <w:p>
      <w:pPr>
        <w:ind w:firstLine="8"/>
        <w:spacing w:after="0" w:line="260" w:lineRule="auto"/>
        <w:tabs>
          <w:tab w:leader="none" w:pos="43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512-2921 (Domestic) or (412) 317-6671 (International). The replay pin number is 10165467. The replay can also be accessed on the investors section of PWP’s website at https://investors.pwpartners.com/.</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PWP</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Perella Weinberg Partners is a leading global independent advisory firm, providing strategic and financial advice to a broad client base, including corporations, institutions, governments, sovereign wealth funds and the financial sponsor community. The firm offers a wide range of advisory services to clients in the most active industry sectors and global markets. With approximately 600 employees, PWP currently maintains offices in New York, Houston, London, Calgary, Chicago, Denver, Los Angeles, Paris, Munich, and San Francisco. The financial information of PWP herein refers to the business operations of PWP Holdings LP and Subsidiaries.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Information</w:t>
      </w:r>
    </w:p>
    <w:p>
      <w:pPr>
        <w:spacing w:after="0" w:line="24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additional information that management believes to be useful for investors, please refer to the latest presentation posted on the Investors section of PWP’s website at https://investors.pwpartners.com/.</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Contacts</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Perella Weinberg Partners Investor Relations: investors@pwpartners.com</w:t>
      </w:r>
    </w:p>
    <w:p>
      <w:pPr>
        <w:spacing w:after="0"/>
        <w:rPr>
          <w:sz w:val="20"/>
          <w:szCs w:val="20"/>
          <w:color w:val="auto"/>
        </w:rPr>
      </w:pPr>
      <w:r>
        <w:rPr>
          <w:rFonts w:ascii="Times New Roman" w:cs="Times New Roman" w:eastAsia="Times New Roman" w:hAnsi="Times New Roman"/>
          <w:sz w:val="18"/>
          <w:szCs w:val="18"/>
          <w:color w:val="auto"/>
        </w:rPr>
        <w:t>For Perella Weinberg Partners Media: media@pwpartners.com</w:t>
      </w:r>
    </w:p>
    <w:p>
      <w:pPr>
        <w:spacing w:after="0" w:line="301" w:lineRule="exact"/>
        <w:rPr>
          <w:sz w:val="20"/>
          <w:szCs w:val="20"/>
          <w:color w:val="auto"/>
        </w:rPr>
      </w:pPr>
    </w:p>
    <w:p>
      <w:pPr>
        <w:ind w:firstLine="8"/>
        <w:spacing w:after="0" w:line="298" w:lineRule="auto"/>
        <w:tabs>
          <w:tab w:leader="none" w:pos="119" w:val="left"/>
        </w:tabs>
        <w:numPr>
          <w:ilvl w:val="0"/>
          <w:numId w:val="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Throughout this release, adjusted figures represent Non-GAAP information. See “Non-GAAP Financial Measures” and the tables at the end of this release for an explanation of the adjustments and reconciliations to the comparable GAAP numbers.</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40"/>
          </w:cols>
          <w:pgMar w:left="320" w:top="1440"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242570</wp:posOffset>
            </wp:positionH>
            <wp:positionV relativeFrom="page">
              <wp:posOffset>88900</wp:posOffset>
            </wp:positionV>
            <wp:extent cx="1234440" cy="6083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1234440" cy="608330"/>
                    </a:xfrm>
                    <a:prstGeom prst="rect">
                      <a:avLst/>
                    </a:prstGeom>
                    <a:noFill/>
                  </pic:spPr>
                </pic:pic>
              </a:graphicData>
            </a:graphic>
          </wp:anchor>
        </w:drawing>
        <w:t>Non-GAAP Financial Measures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to financial measures presented in accordance with GAAP, we monitor certain non-GAAP financial measures to manage our business, make planning decisions, evaluate our performance and allocate resources. We believe that these non-GAAP financial measures are key financial indicators of our business performance over the long term and provide useful information regarding whether cash provided by operating activities is sufficient to maintain and grow our business. We believe that the methodology for determining these non-GAAP financial measures can provide useful supplemental information to help investors better understand the economics of our platform.</w:t>
      </w:r>
    </w:p>
    <w:p>
      <w:pPr>
        <w:spacing w:after="0" w:line="21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These non-GAAP financial measures have limitations as analytical tools and should not be considered in isolation from, or as a substitute for, the analysis of other GAAP financial measures. These non-GAAP financial measures are not universally consistent calculations, limiting their usefulness as comparative measures. Other companies may calculate similarly titled financial measures differently. Additionally, these non-GAAP financial measures are not measurements of financial performance or liquidity under GAAP. In order to facilitate a clear understanding of our consolidated historical operating results, you should examine our non-GAAP financial measures in conjunction with our historical consolidated financial statements and notes thereto included elsewhere in this press release.</w:t>
      </w:r>
    </w:p>
    <w:p>
      <w:pPr>
        <w:spacing w:after="0" w:line="21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Management compensates for the inherent limitations associated with using these non-GAAP financial measures through disclosure of such limitations, presentation of our financial statements in accordance with GAAP and reconciliation of such non-GAAP financial measures to the most directly comparable GAAP financial measures. See “Non-GAAP Financial Measures” and the tables at the end of this release for an explanation of the adjustments and reconciliations to the comparable GAAP numbers.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 Looking Statements</w:t>
      </w:r>
    </w:p>
    <w:p>
      <w:pPr>
        <w:spacing w:after="0" w:line="2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Certain statements made in this press release, and oral statements made from time to time by representatives of PWP are “forward-looking statements” within the meaning of the federal securities laws, including the Private Securities Litigation Reform Act of 1995, Section 27A of the Securities Act of 1933, as amended, and Section 21E of the Securities Exchange Act of 1934, as amended. Statements regarding the expectations regarding the combined business are “forward looking statements.” In addition, words such as “estimates,” “projected,” “expects,” “estimated,” “anticipates,” “forecasts,” “plans,” “intends,” “believes,” “seeks,” “may,” “will,” “would,” “future,” “propose,” “target,” “goal,” “objective,” “outlook” and variations of these words or similar expressions (or the negative versions of such words or expressions) are intended to identify forward-looking statements. These forward-looking statements are not guarantees of future performance, conditions or results, and involve a number of known and unknown risks, uncertainties, assumptions and other important factors, many of which are outside the control of the parties, that could cause actual results or outcomes to differ materially from those discussed in the forward-looking statements. Important factors, among others, that may affect actual results or outcomes include:</w:t>
      </w:r>
    </w:p>
    <w:p>
      <w:pPr>
        <w:spacing w:after="0" w:line="215" w:lineRule="exact"/>
        <w:rPr>
          <w:sz w:val="20"/>
          <w:szCs w:val="20"/>
          <w:color w:val="auto"/>
        </w:rPr>
      </w:pPr>
    </w:p>
    <w:p>
      <w:pPr>
        <w:ind w:left="640" w:hanging="366"/>
        <w:spacing w:after="0"/>
        <w:tabs>
          <w:tab w:leader="none" w:pos="64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projected financial information, anticipated growth rate, and market opportunity of the Firm;</w:t>
      </w:r>
    </w:p>
    <w:p>
      <w:pPr>
        <w:spacing w:after="0" w:line="117" w:lineRule="exact"/>
        <w:rPr>
          <w:rFonts w:ascii="Times New Roman" w:cs="Times New Roman" w:eastAsia="Times New Roman" w:hAnsi="Times New Roman"/>
          <w:sz w:val="18"/>
          <w:szCs w:val="18"/>
          <w:color w:val="auto"/>
        </w:rPr>
      </w:pPr>
    </w:p>
    <w:p>
      <w:pPr>
        <w:ind w:left="640" w:hanging="366"/>
        <w:spacing w:after="0"/>
        <w:tabs>
          <w:tab w:leader="none" w:pos="64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maintain the listing of the Firm’s Class A common stock and warrants on Nasdaq following the Business Combination;</w:t>
      </w:r>
    </w:p>
    <w:p>
      <w:pPr>
        <w:spacing w:after="0" w:line="117" w:lineRule="exact"/>
        <w:rPr>
          <w:rFonts w:ascii="Times New Roman" w:cs="Times New Roman" w:eastAsia="Times New Roman" w:hAnsi="Times New Roman"/>
          <w:sz w:val="18"/>
          <w:szCs w:val="18"/>
          <w:color w:val="auto"/>
        </w:rPr>
      </w:pPr>
    </w:p>
    <w:p>
      <w:pPr>
        <w:ind w:left="640" w:hanging="366"/>
        <w:spacing w:after="0"/>
        <w:tabs>
          <w:tab w:leader="none" w:pos="64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public securities’ potential liquidity and trading;</w:t>
      </w:r>
    </w:p>
    <w:p>
      <w:pPr>
        <w:spacing w:after="0" w:line="117" w:lineRule="exact"/>
        <w:rPr>
          <w:rFonts w:ascii="Times New Roman" w:cs="Times New Roman" w:eastAsia="Times New Roman" w:hAnsi="Times New Roman"/>
          <w:sz w:val="18"/>
          <w:szCs w:val="18"/>
          <w:color w:val="auto"/>
        </w:rPr>
      </w:pPr>
    </w:p>
    <w:p>
      <w:pPr>
        <w:ind w:left="660" w:right="580" w:hanging="386"/>
        <w:spacing w:after="0" w:line="282" w:lineRule="auto"/>
        <w:tabs>
          <w:tab w:leader="none" w:pos="652"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success in retaining or recruiting partners and other employees, or changes related to, our officers, key employees or directors following the completion of the Business Combination;</w:t>
      </w:r>
    </w:p>
    <w:p>
      <w:pPr>
        <w:spacing w:after="0" w:line="53" w:lineRule="exact"/>
        <w:rPr>
          <w:rFonts w:ascii="Times New Roman" w:cs="Times New Roman" w:eastAsia="Times New Roman" w:hAnsi="Times New Roman"/>
          <w:sz w:val="18"/>
          <w:szCs w:val="18"/>
          <w:color w:val="auto"/>
        </w:rPr>
      </w:pPr>
    </w:p>
    <w:p>
      <w:pPr>
        <w:ind w:left="640" w:hanging="366"/>
        <w:spacing w:after="0"/>
        <w:tabs>
          <w:tab w:leader="none" w:pos="64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members of our management team allocating their time to other businesses and potentially having conflicts of interest with our business;</w:t>
      </w:r>
    </w:p>
    <w:p>
      <w:pPr>
        <w:spacing w:after="0" w:line="117" w:lineRule="exact"/>
        <w:rPr>
          <w:rFonts w:ascii="Times New Roman" w:cs="Times New Roman" w:eastAsia="Times New Roman" w:hAnsi="Times New Roman"/>
          <w:sz w:val="18"/>
          <w:szCs w:val="18"/>
          <w:color w:val="auto"/>
        </w:rPr>
      </w:pPr>
    </w:p>
    <w:p>
      <w:pPr>
        <w:ind w:left="640" w:hanging="366"/>
        <w:spacing w:after="0"/>
        <w:tabs>
          <w:tab w:leader="none" w:pos="64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factors relating to the business, operations and financial performance of the Firm, including:</w:t>
      </w:r>
    </w:p>
    <w:p>
      <w:pPr>
        <w:spacing w:after="0" w:line="117" w:lineRule="exact"/>
        <w:rPr>
          <w:rFonts w:ascii="Times New Roman" w:cs="Times New Roman" w:eastAsia="Times New Roman" w:hAnsi="Times New Roman"/>
          <w:sz w:val="18"/>
          <w:szCs w:val="18"/>
          <w:color w:val="auto"/>
        </w:rPr>
      </w:pPr>
    </w:p>
    <w:p>
      <w:pPr>
        <w:ind w:left="900" w:hanging="283"/>
        <w:spacing w:after="0"/>
        <w:tabs>
          <w:tab w:leader="none" w:pos="900" w:val="left"/>
        </w:tabs>
        <w:numPr>
          <w:ilvl w:val="2"/>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Firm realizes all or any of the anticipated benefits from the Business Combination;</w:t>
      </w:r>
    </w:p>
    <w:p>
      <w:pPr>
        <w:spacing w:after="0" w:line="117" w:lineRule="exact"/>
        <w:rPr>
          <w:rFonts w:ascii="Times New Roman" w:cs="Times New Roman" w:eastAsia="Times New Roman" w:hAnsi="Times New Roman"/>
          <w:sz w:val="18"/>
          <w:szCs w:val="18"/>
          <w:color w:val="auto"/>
        </w:rPr>
      </w:pPr>
    </w:p>
    <w:p>
      <w:pPr>
        <w:ind w:left="920" w:right="260" w:hanging="303"/>
        <w:spacing w:after="0" w:line="282" w:lineRule="auto"/>
        <w:tabs>
          <w:tab w:leader="none" w:pos="915" w:val="left"/>
        </w:tabs>
        <w:numPr>
          <w:ilvl w:val="2"/>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Business Combination results in any increased or unforeseen costs or has an impact on the Firm’s ability to retain or compete for professional talent or investor capital;</w:t>
      </w:r>
    </w:p>
    <w:p>
      <w:pPr>
        <w:spacing w:after="0" w:line="53" w:lineRule="exact"/>
        <w:rPr>
          <w:rFonts w:ascii="Times New Roman" w:cs="Times New Roman" w:eastAsia="Times New Roman" w:hAnsi="Times New Roman"/>
          <w:sz w:val="18"/>
          <w:szCs w:val="18"/>
          <w:color w:val="auto"/>
        </w:rPr>
      </w:pPr>
    </w:p>
    <w:p>
      <w:pPr>
        <w:jc w:val="both"/>
        <w:ind w:left="920" w:right="320" w:hanging="303"/>
        <w:spacing w:after="0" w:line="266" w:lineRule="auto"/>
        <w:tabs>
          <w:tab w:leader="none" w:pos="915" w:val="left"/>
        </w:tabs>
        <w:numPr>
          <w:ilvl w:val="2"/>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economic, business, market and geopolitical conditions, including the impact of public health crises, such as the ongoing rapid, worldwide spread of a novel strain of coronavirus and the pandemic caused thereby (collectively, “COVID-19”) as well as the impact of recent hostilities between Russia and Ukraine;</w:t>
      </w:r>
    </w:p>
    <w:p>
      <w:pPr>
        <w:spacing w:after="0" w:line="67" w:lineRule="exact"/>
        <w:rPr>
          <w:rFonts w:ascii="Times New Roman" w:cs="Times New Roman" w:eastAsia="Times New Roman" w:hAnsi="Times New Roman"/>
          <w:sz w:val="18"/>
          <w:szCs w:val="18"/>
          <w:color w:val="auto"/>
        </w:rPr>
      </w:pPr>
    </w:p>
    <w:p>
      <w:pPr>
        <w:ind w:left="900" w:hanging="283"/>
        <w:spacing w:after="0"/>
        <w:tabs>
          <w:tab w:leader="none" w:pos="900" w:val="left"/>
        </w:tabs>
        <w:numPr>
          <w:ilvl w:val="2"/>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Firm’s dependence on and ability to retain working partners and other key employees;</w:t>
      </w:r>
    </w:p>
    <w:p>
      <w:pPr>
        <w:spacing w:after="0" w:line="76" w:lineRule="exact"/>
        <w:rPr>
          <w:rFonts w:ascii="Times New Roman" w:cs="Times New Roman" w:eastAsia="Times New Roman" w:hAnsi="Times New Roman"/>
          <w:sz w:val="18"/>
          <w:szCs w:val="18"/>
          <w:color w:val="auto"/>
        </w:rPr>
      </w:pPr>
    </w:p>
    <w:p>
      <w:pPr>
        <w:ind w:left="900" w:hanging="283"/>
        <w:spacing w:after="0"/>
        <w:tabs>
          <w:tab w:leader="none" w:pos="900" w:val="left"/>
        </w:tabs>
        <w:numPr>
          <w:ilvl w:val="2"/>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Firm’s ability to successfully identify, recruit and develop talent;</w:t>
      </w:r>
    </w:p>
    <w:p>
      <w:pPr>
        <w:spacing w:after="0" w:line="90" w:lineRule="exact"/>
        <w:rPr>
          <w:rFonts w:ascii="Times New Roman" w:cs="Times New Roman" w:eastAsia="Times New Roman" w:hAnsi="Times New Roman"/>
          <w:sz w:val="18"/>
          <w:szCs w:val="18"/>
          <w:color w:val="auto"/>
        </w:rPr>
      </w:pPr>
    </w:p>
    <w:p>
      <w:pPr>
        <w:ind w:left="900" w:hanging="283"/>
        <w:spacing w:after="0"/>
        <w:tabs>
          <w:tab w:leader="none" w:pos="900" w:val="left"/>
        </w:tabs>
        <w:numPr>
          <w:ilvl w:val="2"/>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strategic transactions, such as joint ventures, strategic investments, acquisitions and dispositions;</w:t>
      </w:r>
    </w:p>
    <w:p>
      <w:pPr>
        <w:spacing w:after="0" w:line="117" w:lineRule="exact"/>
        <w:rPr>
          <w:rFonts w:ascii="Times New Roman" w:cs="Times New Roman" w:eastAsia="Times New Roman" w:hAnsi="Times New Roman"/>
          <w:sz w:val="18"/>
          <w:szCs w:val="18"/>
          <w:color w:val="auto"/>
        </w:rPr>
      </w:pPr>
    </w:p>
    <w:p>
      <w:pPr>
        <w:ind w:left="900" w:hanging="283"/>
        <w:spacing w:after="0"/>
        <w:tabs>
          <w:tab w:leader="none" w:pos="900" w:val="left"/>
        </w:tabs>
        <w:numPr>
          <w:ilvl w:val="2"/>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conditions impacting the corporate advisory industry;</w:t>
      </w:r>
    </w:p>
    <w:p>
      <w:pPr>
        <w:spacing w:after="0" w:line="200" w:lineRule="exact"/>
        <w:rPr>
          <w:rFonts w:ascii="Times New Roman" w:cs="Times New Roman" w:eastAsia="Times New Roman" w:hAnsi="Times New Roman"/>
          <w:sz w:val="18"/>
          <w:szCs w:val="18"/>
          <w:color w:val="auto"/>
        </w:rPr>
      </w:pPr>
    </w:p>
    <w:p>
      <w:pPr>
        <w:spacing w:after="0" w:line="255" w:lineRule="exact"/>
        <w:rPr>
          <w:rFonts w:ascii="Times New Roman" w:cs="Times New Roman" w:eastAsia="Times New Roman" w:hAnsi="Times New Roman"/>
          <w:sz w:val="18"/>
          <w:szCs w:val="18"/>
          <w:color w:val="auto"/>
        </w:rPr>
      </w:pPr>
    </w:p>
    <w:p>
      <w:pPr>
        <w:spacing w:after="0" w:line="29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5"/>
          <w:szCs w:val="15"/>
          <w:color w:val="auto"/>
        </w:rPr>
        <w:t>* Throughout this release, adjusted figures represent Non-GAAP information. See “Non-GAAP Financial Measures” and the tables at the end of this release for an explanation of the adjustments and reconciliations to the comparable GAAP numbers.</w:t>
      </w:r>
    </w:p>
    <w:p>
      <w:pPr>
        <w:sectPr>
          <w:pgSz w:w="11900" w:h="16838" w:orient="portrait"/>
          <w:cols w:equalWidth="0" w:num="1">
            <w:col w:w="11240"/>
          </w:cols>
          <w:pgMar w:left="320" w:top="1278" w:right="339" w:bottom="1440" w:gutter="0" w:footer="0" w:header="0"/>
        </w:sectPr>
      </w:pP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ectPr>
          <w:pgSz w:w="11900" w:h="16838" w:orient="portrait"/>
          <w:cols w:equalWidth="0" w:num="1">
            <w:col w:w="11240"/>
          </w:cols>
          <w:pgMar w:left="320" w:top="1278" w:right="339" w:bottom="1440" w:gutter="0" w:footer="0" w:header="0"/>
          <w:type w:val="continuous"/>
        </w:sectPr>
      </w:pPr>
    </w:p>
    <w:bookmarkStart w:id="8" w:name="page9"/>
    <w:bookmarkEnd w:id="8"/>
    <w:p>
      <w:pPr>
        <w:ind w:left="920" w:right="460" w:hanging="303"/>
        <w:spacing w:after="0" w:line="282" w:lineRule="auto"/>
        <w:tabs>
          <w:tab w:leader="none" w:pos="91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242570</wp:posOffset>
            </wp:positionH>
            <wp:positionV relativeFrom="page">
              <wp:posOffset>88900</wp:posOffset>
            </wp:positionV>
            <wp:extent cx="1234440" cy="6083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1234440" cy="608330"/>
                    </a:xfrm>
                    <a:prstGeom prst="rect">
                      <a:avLst/>
                    </a:prstGeom>
                    <a:noFill/>
                  </pic:spPr>
                </pic:pic>
              </a:graphicData>
            </a:graphic>
          </wp:anchor>
        </w:drawing>
        <w:t>the Firm’s dependence on its fee-paying clients and fluctuating revenues from its non-exclusive, engagement-by-engagement business model;</w:t>
      </w:r>
    </w:p>
    <w:p>
      <w:pPr>
        <w:spacing w:after="0" w:line="53" w:lineRule="exact"/>
        <w:rPr>
          <w:rFonts w:ascii="Times New Roman" w:cs="Times New Roman" w:eastAsia="Times New Roman" w:hAnsi="Times New Roman"/>
          <w:sz w:val="18"/>
          <w:szCs w:val="18"/>
          <w:color w:val="auto"/>
        </w:rPr>
      </w:pPr>
    </w:p>
    <w:p>
      <w:pPr>
        <w:ind w:left="920" w:right="120" w:hanging="303"/>
        <w:spacing w:after="0" w:line="282" w:lineRule="auto"/>
        <w:tabs>
          <w:tab w:leader="none" w:pos="91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high volatility of the Firm’s revenues as a result of its reliance on advisory fees that are largely contingent on the completion of events which may be out of its control;</w:t>
      </w:r>
    </w:p>
    <w:p>
      <w:pPr>
        <w:spacing w:after="0" w:line="53" w:lineRule="exact"/>
        <w:rPr>
          <w:rFonts w:ascii="Times New Roman" w:cs="Times New Roman" w:eastAsia="Times New Roman" w:hAnsi="Times New Roman"/>
          <w:sz w:val="18"/>
          <w:szCs w:val="18"/>
          <w:color w:val="auto"/>
        </w:rPr>
      </w:pPr>
    </w:p>
    <w:p>
      <w:pPr>
        <w:ind w:left="900" w:hanging="283"/>
        <w:spacing w:after="0"/>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the Firm’s clients to pay for its services, including its restructuring clients;</w:t>
      </w:r>
    </w:p>
    <w:p>
      <w:pPr>
        <w:spacing w:after="0" w:line="117" w:lineRule="exact"/>
        <w:rPr>
          <w:rFonts w:ascii="Times New Roman" w:cs="Times New Roman" w:eastAsia="Times New Roman" w:hAnsi="Times New Roman"/>
          <w:sz w:val="18"/>
          <w:szCs w:val="18"/>
          <w:color w:val="auto"/>
        </w:rPr>
      </w:pPr>
    </w:p>
    <w:p>
      <w:pPr>
        <w:ind w:left="920" w:right="240" w:hanging="303"/>
        <w:spacing w:after="0" w:line="282" w:lineRule="auto"/>
        <w:tabs>
          <w:tab w:leader="none" w:pos="91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Firm’s ability to appropriately manage conflicts of interest and tax and other regulatory factors relevant to the Firm’s business, including actual, potential or perceived conflicts of interest and other factors that may damage its business and reputation;</w:t>
      </w:r>
    </w:p>
    <w:p>
      <w:pPr>
        <w:spacing w:after="0" w:line="53" w:lineRule="exact"/>
        <w:rPr>
          <w:rFonts w:ascii="Times New Roman" w:cs="Times New Roman" w:eastAsia="Times New Roman" w:hAnsi="Times New Roman"/>
          <w:sz w:val="18"/>
          <w:szCs w:val="18"/>
          <w:color w:val="auto"/>
        </w:rPr>
      </w:pPr>
    </w:p>
    <w:p>
      <w:pPr>
        <w:ind w:left="900" w:hanging="283"/>
        <w:spacing w:after="0"/>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strong competition from other financial advisory and investment banking firms;</w:t>
      </w:r>
    </w:p>
    <w:p>
      <w:pPr>
        <w:spacing w:after="0" w:line="117" w:lineRule="exact"/>
        <w:rPr>
          <w:rFonts w:ascii="Times New Roman" w:cs="Times New Roman" w:eastAsia="Times New Roman" w:hAnsi="Times New Roman"/>
          <w:sz w:val="18"/>
          <w:szCs w:val="18"/>
          <w:color w:val="auto"/>
        </w:rPr>
      </w:pPr>
    </w:p>
    <w:p>
      <w:pPr>
        <w:ind w:left="900" w:hanging="283"/>
        <w:spacing w:after="0"/>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impairment of goodwill and other intangible assets, which represent a significant portion of the Firm’s assets;</w:t>
      </w:r>
    </w:p>
    <w:p>
      <w:pPr>
        <w:spacing w:after="0" w:line="117" w:lineRule="exact"/>
        <w:rPr>
          <w:rFonts w:ascii="Times New Roman" w:cs="Times New Roman" w:eastAsia="Times New Roman" w:hAnsi="Times New Roman"/>
          <w:sz w:val="18"/>
          <w:szCs w:val="18"/>
          <w:color w:val="auto"/>
        </w:rPr>
      </w:pPr>
    </w:p>
    <w:p>
      <w:pPr>
        <w:ind w:left="900" w:hanging="283"/>
        <w:spacing w:after="0"/>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Firm’s successful formulation and execution of its business and growth strategies;</w:t>
      </w:r>
    </w:p>
    <w:p>
      <w:pPr>
        <w:spacing w:after="0" w:line="117" w:lineRule="exact"/>
        <w:rPr>
          <w:rFonts w:ascii="Times New Roman" w:cs="Times New Roman" w:eastAsia="Times New Roman" w:hAnsi="Times New Roman"/>
          <w:sz w:val="18"/>
          <w:szCs w:val="18"/>
          <w:color w:val="auto"/>
        </w:rPr>
      </w:pPr>
    </w:p>
    <w:p>
      <w:pPr>
        <w:ind w:left="900" w:hanging="283"/>
        <w:spacing w:after="0"/>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of third-party litigation involving the Firm;</w:t>
      </w:r>
    </w:p>
    <w:p>
      <w:pPr>
        <w:spacing w:after="0" w:line="117" w:lineRule="exact"/>
        <w:rPr>
          <w:rFonts w:ascii="Times New Roman" w:cs="Times New Roman" w:eastAsia="Times New Roman" w:hAnsi="Times New Roman"/>
          <w:sz w:val="18"/>
          <w:szCs w:val="18"/>
          <w:color w:val="auto"/>
        </w:rPr>
      </w:pPr>
    </w:p>
    <w:p>
      <w:pPr>
        <w:ind w:left="900" w:hanging="283"/>
        <w:spacing w:after="0"/>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litigation risks in the financial services industry;</w:t>
      </w:r>
    </w:p>
    <w:p>
      <w:pPr>
        <w:spacing w:after="0" w:line="117" w:lineRule="exact"/>
        <w:rPr>
          <w:rFonts w:ascii="Times New Roman" w:cs="Times New Roman" w:eastAsia="Times New Roman" w:hAnsi="Times New Roman"/>
          <w:sz w:val="18"/>
          <w:szCs w:val="18"/>
          <w:color w:val="auto"/>
        </w:rPr>
      </w:pPr>
    </w:p>
    <w:p>
      <w:pPr>
        <w:ind w:left="900" w:hanging="283"/>
        <w:spacing w:after="0"/>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cybersecurity and other operational risks;</w:t>
      </w:r>
    </w:p>
    <w:p>
      <w:pPr>
        <w:spacing w:after="0" w:line="117" w:lineRule="exact"/>
        <w:rPr>
          <w:rFonts w:ascii="Times New Roman" w:cs="Times New Roman" w:eastAsia="Times New Roman" w:hAnsi="Times New Roman"/>
          <w:sz w:val="18"/>
          <w:szCs w:val="18"/>
          <w:color w:val="auto"/>
        </w:rPr>
      </w:pPr>
    </w:p>
    <w:p>
      <w:pPr>
        <w:ind w:left="900" w:hanging="283"/>
        <w:spacing w:after="0"/>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Firm’s ability to expand into new markets and lines of businesses for the advisory business;</w:t>
      </w:r>
    </w:p>
    <w:p>
      <w:pPr>
        <w:spacing w:after="0" w:line="117" w:lineRule="exact"/>
        <w:rPr>
          <w:rFonts w:ascii="Times New Roman" w:cs="Times New Roman" w:eastAsia="Times New Roman" w:hAnsi="Times New Roman"/>
          <w:sz w:val="18"/>
          <w:szCs w:val="18"/>
          <w:color w:val="auto"/>
        </w:rPr>
      </w:pPr>
    </w:p>
    <w:p>
      <w:pPr>
        <w:ind w:left="900" w:hanging="283"/>
        <w:spacing w:after="0"/>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exposure to fluctuations in foreign currency exchange rates;</w:t>
      </w:r>
    </w:p>
    <w:p>
      <w:pPr>
        <w:spacing w:after="0" w:line="117" w:lineRule="exact"/>
        <w:rPr>
          <w:rFonts w:ascii="Times New Roman" w:cs="Times New Roman" w:eastAsia="Times New Roman" w:hAnsi="Times New Roman"/>
          <w:sz w:val="18"/>
          <w:szCs w:val="18"/>
          <w:color w:val="auto"/>
        </w:rPr>
      </w:pPr>
    </w:p>
    <w:p>
      <w:pPr>
        <w:ind w:left="900" w:hanging="283"/>
        <w:spacing w:after="0"/>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assumptions relating to the Firm’s operations, financial results, financial condition, business prospects, growth strategy and liquidity; and</w:t>
      </w:r>
    </w:p>
    <w:p>
      <w:pPr>
        <w:spacing w:after="0" w:line="117" w:lineRule="exact"/>
        <w:rPr>
          <w:rFonts w:ascii="Times New Roman" w:cs="Times New Roman" w:eastAsia="Times New Roman" w:hAnsi="Times New Roman"/>
          <w:sz w:val="18"/>
          <w:szCs w:val="18"/>
          <w:color w:val="auto"/>
        </w:rPr>
      </w:pPr>
    </w:p>
    <w:p>
      <w:pPr>
        <w:ind w:left="920" w:right="220" w:hanging="303"/>
        <w:spacing w:after="0" w:line="282" w:lineRule="auto"/>
        <w:tabs>
          <w:tab w:leader="none" w:pos="91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extensive regulation of the corporate advisory industry and U.S. and foreign regulatory developments relating to, among other things, financial institutions and markets, government oversight, fiscal and tax policy and laws (including the treatment of carried interest)</w:t>
      </w:r>
    </w:p>
    <w:p>
      <w:pPr>
        <w:spacing w:after="0" w:line="29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forward-looking statements in this press release and oral statements made from time to time by representatives of PWP are based on current expectations and beliefs concerning future developments and their potential effects on the Firm. There can be no assurance that future developments affecting the Firm will be those that the Firm has anticipated. These forward-looking statements involve a number of risks, uncertainties (some of which are beyond the Firm’s control) or other assumptions that may cause actual results or performance to be materially different from those expressed or implied by these forward-looking statements. These risks and uncertainties include, but are not limited to, those factors described in the section entitled “Risk Factors” in our Annual Report on Form 10-K filed with the SEC on March 11, 2022 and the other documents filed by the Firm from time to time with the SEC. Should one or more of these risks or uncertainties materialize, or should any of our assumptions prove incorrect, actual results may vary in material respects from those projected in these forward-looking statements. The Firm undertakes no obligation to update or revise any forward-looking statements, whether as a result of new information, future events or otherwise, except as may be required under applicable securities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firstLine="8"/>
        <w:spacing w:after="0" w:line="280" w:lineRule="auto"/>
        <w:tabs>
          <w:tab w:leader="none" w:pos="119" w:val="left"/>
        </w:tabs>
        <w:numPr>
          <w:ilvl w:val="0"/>
          <w:numId w:val="1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Throughout this release, adjusted figures represent Non-GAAP information. See “Non-GAAP Financial Measures” and the tables at the end of this release for an explanation of the adjustments and reconciliations to the comparable GAAP numbers.</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240"/>
          </w:cols>
          <w:pgMar w:left="320" w:top="1282" w:right="339" w:bottom="1440" w:gutter="0" w:footer="0" w:header="0"/>
        </w:sectPr>
      </w:pPr>
    </w:p>
    <w:bookmarkStart w:id="9" w:name="page10"/>
    <w:bookmarkEnd w:id="9"/>
    <w:p>
      <w:pPr>
        <w:ind w:left="3840"/>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242570</wp:posOffset>
            </wp:positionH>
            <wp:positionV relativeFrom="page">
              <wp:posOffset>88900</wp:posOffset>
            </wp:positionV>
            <wp:extent cx="1234440" cy="6083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clrChange>
                        <a:clrFrom>
                          <a:srgbClr val="FFFFFF"/>
                        </a:clrFrom>
                        <a:clrTo>
                          <a:srgbClr val="FFFFFF">
                            <a:alpha val="0"/>
                          </a:srgbClr>
                        </a:clrTo>
                      </a:clrChange>
                      <a:extLst>
                        <a:ext uri="{28A0092B-C50C-407E-A947-70E740481C1C}"/>
                      </a:extLst>
                    </a:blip>
                    <a:srcRect/>
                    <a:stretch>
                      <a:fillRect/>
                    </a:stretch>
                  </pic:blipFill>
                  <pic:spPr bwMode="auto">
                    <a:xfrm>
                      <a:off x="0" y="0"/>
                      <a:ext cx="1234440" cy="608330"/>
                    </a:xfrm>
                    <a:prstGeom prst="rect">
                      <a:avLst/>
                    </a:prstGeom>
                    <a:noFill/>
                  </pic:spPr>
                </pic:pic>
              </a:graphicData>
            </a:graphic>
          </wp:anchor>
        </w:drawing>
        <w:t>Consolidated Statements of Operations (Unaudited)</w:t>
      </w:r>
    </w:p>
    <w:p>
      <w:pPr>
        <w:ind w:left="3860"/>
        <w:spacing w:after="0"/>
        <w:rPr>
          <w:sz w:val="20"/>
          <w:szCs w:val="20"/>
          <w:color w:val="auto"/>
        </w:rPr>
      </w:pPr>
      <w:r>
        <w:rPr>
          <w:rFonts w:ascii="Times New Roman" w:cs="Times New Roman" w:eastAsia="Times New Roman" w:hAnsi="Times New Roman"/>
          <w:sz w:val="16"/>
          <w:szCs w:val="16"/>
          <w:b w:val="1"/>
          <w:bCs w:val="1"/>
          <w:color w:val="auto"/>
        </w:rPr>
        <w:t>(Dollars in Thousands, Except Per Share Amounts)</w:t>
      </w:r>
    </w:p>
    <w:p>
      <w:pPr>
        <w:spacing w:after="0" w:line="269"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6"/>
          <w:szCs w:val="16"/>
          <w:b w:val="1"/>
          <w:bCs w:val="1"/>
          <w:color w:val="auto"/>
        </w:rPr>
        <w:t>Three Months Ended</w:t>
      </w:r>
    </w:p>
    <w:p>
      <w:pPr>
        <w:spacing w:after="0" w:line="28"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6"/>
          <w:szCs w:val="16"/>
          <w:b w:val="1"/>
          <w:bCs w:val="1"/>
          <w:color w:val="auto"/>
        </w:rPr>
        <w:t>March 31,</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856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top w:val="single" w:sz="8" w:color="auto"/>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11"/>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Revenues</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151,876</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169,802</w:t>
            </w:r>
          </w:p>
        </w:tc>
      </w:tr>
      <w:tr>
        <w:trPr>
          <w:trHeight w:val="214"/>
        </w:trPr>
        <w:tc>
          <w:tcPr>
            <w:tcW w:w="85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Expenses</w:t>
            </w: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8"/>
        </w:trPr>
        <w:tc>
          <w:tcPr>
            <w:tcW w:w="8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Compensation and benefits</w:t>
            </w: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87,245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109,470</w:t>
            </w:r>
          </w:p>
        </w:tc>
      </w:tr>
      <w:tr>
        <w:trPr>
          <w:trHeight w:val="213"/>
        </w:trPr>
        <w:tc>
          <w:tcPr>
            <w:tcW w:w="85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Equity-based compensation</w:t>
            </w: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40,890</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6,157</w:t>
            </w:r>
          </w:p>
        </w:tc>
      </w:tr>
      <w:tr>
        <w:trPr>
          <w:trHeight w:val="212"/>
        </w:trPr>
        <w:tc>
          <w:tcPr>
            <w:tcW w:w="85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 compensation and benefits</w:t>
            </w: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128,135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115,627</w:t>
            </w:r>
          </w:p>
        </w:tc>
      </w:tr>
      <w:tr>
        <w:trPr>
          <w:trHeight w:val="213"/>
        </w:trPr>
        <w:tc>
          <w:tcPr>
            <w:tcW w:w="85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Professional fees</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10,303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5,728</w:t>
            </w:r>
          </w:p>
        </w:tc>
      </w:tr>
      <w:tr>
        <w:trPr>
          <w:trHeight w:val="219"/>
        </w:trPr>
        <w:tc>
          <w:tcPr>
            <w:tcW w:w="8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Technology and infrastructure</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7,556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6,956</w:t>
            </w:r>
          </w:p>
        </w:tc>
      </w:tr>
      <w:tr>
        <w:trPr>
          <w:trHeight w:val="213"/>
        </w:trPr>
        <w:tc>
          <w:tcPr>
            <w:tcW w:w="85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Rent and occupancy</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5,729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6,702</w:t>
            </w:r>
          </w:p>
        </w:tc>
      </w:tr>
      <w:tr>
        <w:trPr>
          <w:trHeight w:val="219"/>
        </w:trPr>
        <w:tc>
          <w:tcPr>
            <w:tcW w:w="8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Travel and related expenses</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661</w:t>
            </w:r>
          </w:p>
        </w:tc>
      </w:tr>
      <w:tr>
        <w:trPr>
          <w:trHeight w:val="213"/>
        </w:trPr>
        <w:tc>
          <w:tcPr>
            <w:tcW w:w="85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General, administrative and other expenses</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5,275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2,204</w:t>
            </w:r>
          </w:p>
        </w:tc>
      </w:tr>
      <w:tr>
        <w:trPr>
          <w:trHeight w:val="219"/>
        </w:trPr>
        <w:tc>
          <w:tcPr>
            <w:tcW w:w="8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2,943</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3,880</w:t>
            </w:r>
          </w:p>
        </w:tc>
      </w:tr>
      <w:tr>
        <w:trPr>
          <w:trHeight w:val="207"/>
        </w:trPr>
        <w:tc>
          <w:tcPr>
            <w:tcW w:w="85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Total expenses</w:t>
            </w: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162,235</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141,758</w:t>
            </w:r>
          </w:p>
        </w:tc>
      </w:tr>
      <w:tr>
        <w:trPr>
          <w:trHeight w:val="212"/>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income (loss)</w:t>
            </w: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(10,359)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28,044</w:t>
            </w:r>
          </w:p>
        </w:tc>
      </w:tr>
      <w:tr>
        <w:trPr>
          <w:trHeight w:val="214"/>
        </w:trPr>
        <w:tc>
          <w:tcPr>
            <w:tcW w:w="85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Non-operating income (expenses)</w:t>
            </w: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8"/>
        </w:trPr>
        <w:tc>
          <w:tcPr>
            <w:tcW w:w="8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Related party income</w:t>
            </w: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2,209</w:t>
            </w:r>
          </w:p>
        </w:tc>
      </w:tr>
      <w:tr>
        <w:trPr>
          <w:trHeight w:val="213"/>
        </w:trPr>
        <w:tc>
          <w:tcPr>
            <w:tcW w:w="85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Other income (expense)</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1,911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(1,854)</w:t>
            </w:r>
          </w:p>
        </w:tc>
      </w:tr>
      <w:tr>
        <w:trPr>
          <w:trHeight w:val="219"/>
        </w:trPr>
        <w:tc>
          <w:tcPr>
            <w:tcW w:w="8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Change in fair value of warrant liabilities</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12,006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85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Interest expense</w:t>
            </w: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(3,868)</w:t>
            </w:r>
          </w:p>
        </w:tc>
      </w:tr>
      <w:tr>
        <w:trPr>
          <w:trHeight w:val="212"/>
        </w:trPr>
        <w:tc>
          <w:tcPr>
            <w:tcW w:w="85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 non-operating income (expenses)</w:t>
            </w:r>
          </w:p>
        </w:tc>
        <w:tc>
          <w:tcPr>
            <w:tcW w:w="3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14,407</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(3,513)</w:t>
            </w:r>
          </w:p>
        </w:tc>
      </w:tr>
      <w:tr>
        <w:trPr>
          <w:trHeight w:val="207"/>
        </w:trPr>
        <w:tc>
          <w:tcPr>
            <w:tcW w:w="85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Income (loss) before income taxes</w:t>
            </w:r>
          </w:p>
        </w:tc>
        <w:tc>
          <w:tcPr>
            <w:tcW w:w="3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4,048</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24,531</w:t>
            </w:r>
          </w:p>
        </w:tc>
      </w:tr>
      <w:tr>
        <w:trPr>
          <w:trHeight w:val="219"/>
        </w:trPr>
        <w:tc>
          <w:tcPr>
            <w:tcW w:w="8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Income tax benefit (expense)</w:t>
            </w: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(2,996)</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(2,024)</w:t>
            </w:r>
          </w:p>
        </w:tc>
      </w:tr>
      <w:tr>
        <w:trPr>
          <w:trHeight w:val="209"/>
        </w:trPr>
        <w:tc>
          <w:tcPr>
            <w:tcW w:w="85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 (loss)</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1,052</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22,507</w:t>
            </w:r>
          </w:p>
        </w:tc>
      </w:tr>
      <w:tr>
        <w:trPr>
          <w:trHeight w:val="20"/>
        </w:trPr>
        <w:tc>
          <w:tcPr>
            <w:tcW w:w="85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181"/>
        </w:trPr>
        <w:tc>
          <w:tcPr>
            <w:tcW w:w="856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6"/>
                <w:szCs w:val="16"/>
                <w:b w:val="1"/>
                <w:bCs w:val="1"/>
                <w:color w:val="auto"/>
              </w:rPr>
              <w:t>Less: Net income (loss) attributable to non-controlling interests</w:t>
            </w:r>
          </w:p>
        </w:tc>
        <w:tc>
          <w:tcPr>
            <w:tcW w:w="30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line="181" w:lineRule="exact"/>
              <w:rPr>
                <w:sz w:val="20"/>
                <w:szCs w:val="20"/>
                <w:color w:val="auto"/>
              </w:rPr>
            </w:pPr>
            <w:r>
              <w:rPr>
                <w:rFonts w:ascii="Times New Roman" w:cs="Times New Roman" w:eastAsia="Times New Roman" w:hAnsi="Times New Roman"/>
                <w:sz w:val="16"/>
                <w:szCs w:val="16"/>
                <w:color w:val="auto"/>
              </w:rPr>
              <w:t>(7,842)</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r>
      <w:tr>
        <w:trPr>
          <w:trHeight w:val="211"/>
        </w:trPr>
        <w:tc>
          <w:tcPr>
            <w:tcW w:w="85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 (loss) attributable to Perella Weinberg Partners</w:t>
            </w: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8,894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0"/>
        </w:trPr>
        <w:tc>
          <w:tcPr>
            <w:tcW w:w="85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CCEEFF"/>
            </w:tcBorders>
          </w:tcPr>
          <w:p>
            <w:pPr>
              <w:spacing w:after="0" w:line="20" w:lineRule="exact"/>
              <w:rPr>
                <w:sz w:val="1"/>
                <w:szCs w:val="1"/>
                <w:color w:val="auto"/>
              </w:rPr>
            </w:pPr>
          </w:p>
        </w:tc>
      </w:tr>
      <w:tr>
        <w:trPr>
          <w:trHeight w:val="183"/>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 (loss) per share attributable to Class A common shareholders (1)</w:t>
            </w:r>
          </w:p>
        </w:tc>
        <w:tc>
          <w:tcPr>
            <w:tcW w:w="3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r>
      <w:tr>
        <w:trPr>
          <w:trHeight w:val="213"/>
        </w:trPr>
        <w:tc>
          <w:tcPr>
            <w:tcW w:w="85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Basic</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9"/>
        </w:trPr>
        <w:tc>
          <w:tcPr>
            <w:tcW w:w="8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Diluted</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14"/>
        </w:trPr>
        <w:tc>
          <w:tcPr>
            <w:tcW w:w="85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Weighted-average shares of Class A common stock outstanding (1)</w:t>
            </w: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8"/>
        </w:trPr>
        <w:tc>
          <w:tcPr>
            <w:tcW w:w="8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Basic</w:t>
            </w: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45,917,935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10"/>
        </w:trPr>
        <w:tc>
          <w:tcPr>
            <w:tcW w:w="85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Diluted</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93,231,332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r>
    </w:tbl>
    <w:p>
      <w:pPr>
        <w:spacing w:after="0" w:line="329" w:lineRule="exact"/>
        <w:rPr>
          <w:sz w:val="20"/>
          <w:szCs w:val="20"/>
          <w:color w:val="auto"/>
        </w:rPr>
      </w:pPr>
    </w:p>
    <w:p>
      <w:pPr>
        <w:ind w:left="380" w:right="320" w:hanging="372"/>
        <w:spacing w:after="0" w:line="290" w:lineRule="auto"/>
        <w:tabs>
          <w:tab w:leader="none" w:pos="376"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analyzed the calculation of net income (loss) per share for periods prior to June 24, 2021, the date of the Business Combination and determined that it resulted in values that would not be meaningful to the users of the condensed consolidated financial statements; therefore, net income (loss) per share information has not been presented for periods prior to the Business Combination.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firstLine="8"/>
        <w:spacing w:after="0" w:line="298" w:lineRule="auto"/>
        <w:tabs>
          <w:tab w:leader="none" w:pos="119" w:val="left"/>
        </w:tabs>
        <w:numPr>
          <w:ilvl w:val="0"/>
          <w:numId w:val="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Throughout this release, adjusted figures represent Non-GAAP information. See “Non-GAAP Financial Measures” and the tables at the end of this release for an explanation of the adjustments and reconciliations to the comparable GAAP numbers.</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240"/>
          </w:cols>
          <w:pgMar w:left="320" w:top="1269" w:right="339" w:bottom="1440" w:gutter="0" w:footer="0" w:header="0"/>
        </w:sectPr>
      </w:pPr>
    </w:p>
    <w:bookmarkStart w:id="10" w:name="page11"/>
    <w:bookmarkEnd w:id="10"/>
    <w:p>
      <w:pPr>
        <w:jc w:val="center"/>
        <w:ind w:right="8"/>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242570</wp:posOffset>
            </wp:positionH>
            <wp:positionV relativeFrom="page">
              <wp:posOffset>88900</wp:posOffset>
            </wp:positionV>
            <wp:extent cx="1234440" cy="6083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clrChange>
                        <a:clrFrom>
                          <a:srgbClr val="FFFFFF"/>
                        </a:clrFrom>
                        <a:clrTo>
                          <a:srgbClr val="FFFFFF">
                            <a:alpha val="0"/>
                          </a:srgbClr>
                        </a:clrTo>
                      </a:clrChange>
                      <a:extLst>
                        <a:ext uri="{28A0092B-C50C-407E-A947-70E740481C1C}"/>
                      </a:extLst>
                    </a:blip>
                    <a:srcRect/>
                    <a:stretch>
                      <a:fillRect/>
                    </a:stretch>
                  </pic:blipFill>
                  <pic:spPr bwMode="auto">
                    <a:xfrm>
                      <a:off x="0" y="0"/>
                      <a:ext cx="1234440" cy="608330"/>
                    </a:xfrm>
                    <a:prstGeom prst="rect">
                      <a:avLst/>
                    </a:prstGeom>
                    <a:noFill/>
                  </pic:spPr>
                </pic:pic>
              </a:graphicData>
            </a:graphic>
          </wp:anchor>
        </w:drawing>
        <w:t>U.S. GAAP Reconciliation of Adjusted Results (Unaudited)</w:t>
      </w:r>
    </w:p>
    <w:p>
      <w:pPr>
        <w:jc w:val="center"/>
        <w:ind w:right="8"/>
        <w:spacing w:after="0"/>
        <w:rPr>
          <w:sz w:val="20"/>
          <w:szCs w:val="20"/>
          <w:color w:val="auto"/>
        </w:rPr>
      </w:pPr>
      <w:r>
        <w:rPr>
          <w:rFonts w:ascii="Times New Roman" w:cs="Times New Roman" w:eastAsia="Times New Roman" w:hAnsi="Times New Roman"/>
          <w:sz w:val="16"/>
          <w:szCs w:val="16"/>
          <w:b w:val="1"/>
          <w:bCs w:val="1"/>
          <w:color w:val="auto"/>
        </w:rPr>
        <w:t>(Dollars in Thousands)</w:t>
      </w:r>
    </w:p>
    <w:p>
      <w:pPr>
        <w:spacing w:after="0" w:line="111" w:lineRule="exact"/>
        <w:rPr>
          <w:sz w:val="20"/>
          <w:szCs w:val="20"/>
          <w:color w:val="auto"/>
        </w:rPr>
      </w:pPr>
    </w:p>
    <w:tbl>
      <w:tblPr>
        <w:tblLayout w:type="fixed"/>
        <w:tblInd w:w="12" w:type="dxa"/>
        <w:tblCellMar>
          <w:top w:w="0" w:type="dxa"/>
          <w:left w:w="0" w:type="dxa"/>
          <w:bottom w:w="0" w:type="dxa"/>
          <w:right w:w="0" w:type="dxa"/>
        </w:tblCellMar>
      </w:tblPr>
      <w:tr>
        <w:trPr>
          <w:trHeight w:val="190"/>
        </w:trPr>
        <w:tc>
          <w:tcPr>
            <w:tcW w:w="8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540" w:type="dxa"/>
            <w:vAlign w:val="bottom"/>
            <w:gridSpan w:val="4"/>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3"/>
        </w:trPr>
        <w:tc>
          <w:tcPr>
            <w:tcW w:w="8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90"/>
        </w:trPr>
        <w:tc>
          <w:tcPr>
            <w:tcW w:w="836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02"/>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compensation and benefits—GAAP</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128,135</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115,627</w:t>
            </w:r>
          </w:p>
        </w:tc>
      </w:tr>
      <w:tr>
        <w:trPr>
          <w:trHeight w:val="195"/>
        </w:trPr>
        <w:tc>
          <w:tcPr>
            <w:tcW w:w="84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Equity-based compensation not dilutive to investors in PWP or PWP OpCo (1)</w:t>
            </w:r>
          </w:p>
        </w:tc>
        <w:tc>
          <w:tcPr>
            <w:tcW w:w="2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(18,710)</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(6,157)</w:t>
            </w:r>
          </w:p>
        </w:tc>
      </w:tr>
      <w:tr>
        <w:trPr>
          <w:trHeight w:val="203"/>
        </w:trPr>
        <w:tc>
          <w:tcPr>
            <w:tcW w:w="8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Public company transaction related incentives (2)</w:t>
            </w:r>
          </w:p>
        </w:tc>
        <w:tc>
          <w:tcPr>
            <w:tcW w:w="2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(12,224)</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w:t>
            </w:r>
          </w:p>
        </w:tc>
      </w:tr>
      <w:tr>
        <w:trPr>
          <w:trHeight w:val="203"/>
        </w:trPr>
        <w:tc>
          <w:tcPr>
            <w:tcW w:w="84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Adjusted total compensation and benefits</w:t>
            </w:r>
          </w:p>
        </w:tc>
        <w:tc>
          <w:tcPr>
            <w:tcW w:w="22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97,201</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109,305</w:t>
            </w:r>
          </w:p>
        </w:tc>
      </w:tr>
      <w:tr>
        <w:trPr>
          <w:trHeight w:val="20"/>
        </w:trPr>
        <w:tc>
          <w:tcPr>
            <w:tcW w:w="83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129"/>
        </w:trPr>
        <w:tc>
          <w:tcPr>
            <w:tcW w:w="83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r>
      <w:tr>
        <w:trPr>
          <w:trHeight w:val="196"/>
        </w:trPr>
        <w:tc>
          <w:tcPr>
            <w:tcW w:w="84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Non-compensation expense—GAAP</w:t>
            </w: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34,100</w:t>
            </w:r>
          </w:p>
        </w:tc>
        <w:tc>
          <w:tcPr>
            <w:tcW w:w="100" w:type="dxa"/>
            <w:vAlign w:val="bottom"/>
          </w:tcPr>
          <w:p>
            <w:pPr>
              <w:spacing w:after="0"/>
              <w:rPr>
                <w:sz w:val="17"/>
                <w:szCs w:val="17"/>
                <w:color w:val="auto"/>
              </w:rPr>
            </w:pPr>
          </w:p>
        </w:tc>
        <w:tc>
          <w:tcPr>
            <w:tcW w:w="3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26,131</w:t>
            </w:r>
          </w:p>
        </w:tc>
      </w:tr>
      <w:tr>
        <w:trPr>
          <w:trHeight w:val="209"/>
        </w:trPr>
        <w:tc>
          <w:tcPr>
            <w:tcW w:w="8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TPH business combination related expenses (3)</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(1,645)</w:t>
            </w:r>
          </w:p>
        </w:tc>
      </w:tr>
      <w:tr>
        <w:trPr>
          <w:trHeight w:val="196"/>
        </w:trPr>
        <w:tc>
          <w:tcPr>
            <w:tcW w:w="84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Business Combination transaction expenses (4)</w:t>
            </w:r>
          </w:p>
        </w:tc>
        <w:tc>
          <w:tcPr>
            <w:tcW w:w="2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(287)</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28"/>
        </w:trPr>
        <w:tc>
          <w:tcPr>
            <w:tcW w:w="84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Adjusted non-compensation expense (5)</w:t>
            </w:r>
          </w:p>
        </w:tc>
        <w:tc>
          <w:tcPr>
            <w:tcW w:w="22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32,168</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24,486</w:t>
            </w:r>
          </w:p>
        </w:tc>
      </w:tr>
      <w:tr>
        <w:trPr>
          <w:trHeight w:val="20"/>
        </w:trPr>
        <w:tc>
          <w:tcPr>
            <w:tcW w:w="83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r>
        <w:trPr>
          <w:trHeight w:val="109"/>
        </w:trPr>
        <w:tc>
          <w:tcPr>
            <w:tcW w:w="8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40" w:type="dxa"/>
            <w:vAlign w:val="bottom"/>
          </w:tcPr>
          <w:p>
            <w:pPr>
              <w:spacing w:after="0"/>
              <w:rPr>
                <w:sz w:val="9"/>
                <w:szCs w:val="9"/>
                <w:color w:val="auto"/>
              </w:rPr>
            </w:pPr>
          </w:p>
        </w:tc>
      </w:tr>
      <w:tr>
        <w:trPr>
          <w:trHeight w:val="203"/>
        </w:trPr>
        <w:tc>
          <w:tcPr>
            <w:tcW w:w="8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income (loss)—GAAP</w:t>
            </w:r>
          </w:p>
        </w:tc>
        <w:tc>
          <w:tcPr>
            <w:tcW w:w="2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(10,359)</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28,044</w:t>
            </w:r>
          </w:p>
        </w:tc>
      </w:tr>
      <w:tr>
        <w:trPr>
          <w:trHeight w:val="195"/>
        </w:trPr>
        <w:tc>
          <w:tcPr>
            <w:tcW w:w="84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Equity-based compensation not dilutive to investors in PWP or PWP OpCo (1)</w:t>
            </w:r>
          </w:p>
        </w:tc>
        <w:tc>
          <w:tcPr>
            <w:tcW w:w="2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18,710</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6,157</w:t>
            </w:r>
          </w:p>
        </w:tc>
      </w:tr>
      <w:tr>
        <w:trPr>
          <w:trHeight w:val="210"/>
        </w:trPr>
        <w:tc>
          <w:tcPr>
            <w:tcW w:w="8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Public company transaction related incentives (2)</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12,224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w:t>
            </w:r>
          </w:p>
        </w:tc>
      </w:tr>
      <w:tr>
        <w:trPr>
          <w:trHeight w:val="195"/>
        </w:trPr>
        <w:tc>
          <w:tcPr>
            <w:tcW w:w="84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TPH business combination related expenses (3)</w:t>
            </w:r>
          </w:p>
        </w:tc>
        <w:tc>
          <w:tcPr>
            <w:tcW w:w="2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1,645</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1,645</w:t>
            </w:r>
          </w:p>
        </w:tc>
      </w:tr>
      <w:tr>
        <w:trPr>
          <w:trHeight w:val="203"/>
        </w:trPr>
        <w:tc>
          <w:tcPr>
            <w:tcW w:w="8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Business Combination transaction expenses (4)</w:t>
            </w:r>
          </w:p>
        </w:tc>
        <w:tc>
          <w:tcPr>
            <w:tcW w:w="2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287</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3"/>
        </w:trPr>
        <w:tc>
          <w:tcPr>
            <w:tcW w:w="84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Adjusted operating income (loss)</w:t>
            </w:r>
          </w:p>
        </w:tc>
        <w:tc>
          <w:tcPr>
            <w:tcW w:w="22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22,507</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36,011</w:t>
            </w:r>
          </w:p>
        </w:tc>
      </w:tr>
      <w:tr>
        <w:trPr>
          <w:trHeight w:val="20"/>
        </w:trPr>
        <w:tc>
          <w:tcPr>
            <w:tcW w:w="83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129"/>
        </w:trPr>
        <w:tc>
          <w:tcPr>
            <w:tcW w:w="83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r>
      <w:tr>
        <w:trPr>
          <w:trHeight w:val="196"/>
        </w:trPr>
        <w:tc>
          <w:tcPr>
            <w:tcW w:w="84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Non-operating income (expense)—GAAP</w:t>
            </w: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14,407</w:t>
            </w:r>
          </w:p>
        </w:tc>
        <w:tc>
          <w:tcPr>
            <w:tcW w:w="100" w:type="dxa"/>
            <w:vAlign w:val="bottom"/>
          </w:tcPr>
          <w:p>
            <w:pPr>
              <w:spacing w:after="0"/>
              <w:rPr>
                <w:sz w:val="17"/>
                <w:szCs w:val="17"/>
                <w:color w:val="auto"/>
              </w:rPr>
            </w:pPr>
          </w:p>
        </w:tc>
        <w:tc>
          <w:tcPr>
            <w:tcW w:w="3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(3,513)</w:t>
            </w:r>
          </w:p>
        </w:tc>
      </w:tr>
      <w:tr>
        <w:trPr>
          <w:trHeight w:val="209"/>
        </w:trPr>
        <w:tc>
          <w:tcPr>
            <w:tcW w:w="8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Change in fair value of warrant liabilities (6)</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(12,006)</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6"/>
        </w:trPr>
        <w:tc>
          <w:tcPr>
            <w:tcW w:w="84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Amortization of debt costs (7)</w:t>
            </w:r>
          </w:p>
        </w:tc>
        <w:tc>
          <w:tcPr>
            <w:tcW w:w="2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1,034</w:t>
            </w:r>
          </w:p>
        </w:tc>
      </w:tr>
      <w:tr>
        <w:trPr>
          <w:trHeight w:val="228"/>
        </w:trPr>
        <w:tc>
          <w:tcPr>
            <w:tcW w:w="84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Adjusted non-operating income (expense)</w:t>
            </w:r>
          </w:p>
        </w:tc>
        <w:tc>
          <w:tcPr>
            <w:tcW w:w="22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2,438</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(2,479)</w:t>
            </w:r>
          </w:p>
        </w:tc>
      </w:tr>
      <w:tr>
        <w:trPr>
          <w:trHeight w:val="20"/>
        </w:trPr>
        <w:tc>
          <w:tcPr>
            <w:tcW w:w="83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r>
        <w:trPr>
          <w:trHeight w:val="109"/>
        </w:trPr>
        <w:tc>
          <w:tcPr>
            <w:tcW w:w="8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40" w:type="dxa"/>
            <w:vAlign w:val="bottom"/>
          </w:tcPr>
          <w:p>
            <w:pPr>
              <w:spacing w:after="0"/>
              <w:rPr>
                <w:sz w:val="9"/>
                <w:szCs w:val="9"/>
                <w:color w:val="auto"/>
              </w:rPr>
            </w:pPr>
          </w:p>
        </w:tc>
      </w:tr>
      <w:tr>
        <w:trPr>
          <w:trHeight w:val="203"/>
        </w:trPr>
        <w:tc>
          <w:tcPr>
            <w:tcW w:w="8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Income (loss) before income taxes—GAAP</w:t>
            </w:r>
          </w:p>
        </w:tc>
        <w:tc>
          <w:tcPr>
            <w:tcW w:w="2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4,048</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24,531</w:t>
            </w:r>
          </w:p>
        </w:tc>
      </w:tr>
      <w:tr>
        <w:trPr>
          <w:trHeight w:val="195"/>
        </w:trPr>
        <w:tc>
          <w:tcPr>
            <w:tcW w:w="84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Equity-based compensation not dilutive to investors in PWP or PWP OpCo (1)</w:t>
            </w:r>
          </w:p>
        </w:tc>
        <w:tc>
          <w:tcPr>
            <w:tcW w:w="2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18,710</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6,157</w:t>
            </w:r>
          </w:p>
        </w:tc>
      </w:tr>
      <w:tr>
        <w:trPr>
          <w:trHeight w:val="210"/>
        </w:trPr>
        <w:tc>
          <w:tcPr>
            <w:tcW w:w="8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Public company transaction related incentives (2)</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12,224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w:t>
            </w:r>
          </w:p>
        </w:tc>
      </w:tr>
      <w:tr>
        <w:trPr>
          <w:trHeight w:val="195"/>
        </w:trPr>
        <w:tc>
          <w:tcPr>
            <w:tcW w:w="84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TPH business combination related expenses (3)</w:t>
            </w:r>
          </w:p>
        </w:tc>
        <w:tc>
          <w:tcPr>
            <w:tcW w:w="2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1,645</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1,645</w:t>
            </w:r>
          </w:p>
        </w:tc>
      </w:tr>
      <w:tr>
        <w:trPr>
          <w:trHeight w:val="210"/>
        </w:trPr>
        <w:tc>
          <w:tcPr>
            <w:tcW w:w="8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Business Combination transaction expenses (4)</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5"/>
        </w:trPr>
        <w:tc>
          <w:tcPr>
            <w:tcW w:w="84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Change in fair value of warrant liabilities (6)</w:t>
            </w:r>
          </w:p>
        </w:tc>
        <w:tc>
          <w:tcPr>
            <w:tcW w:w="2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(12,006)</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3"/>
        </w:trPr>
        <w:tc>
          <w:tcPr>
            <w:tcW w:w="8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Amortization of debt costs (7)</w:t>
            </w:r>
          </w:p>
        </w:tc>
        <w:tc>
          <w:tcPr>
            <w:tcW w:w="2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1,034</w:t>
            </w:r>
          </w:p>
        </w:tc>
      </w:tr>
      <w:tr>
        <w:trPr>
          <w:trHeight w:val="203"/>
        </w:trPr>
        <w:tc>
          <w:tcPr>
            <w:tcW w:w="84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Adjusted income (loss) before income taxes</w:t>
            </w:r>
          </w:p>
        </w:tc>
        <w:tc>
          <w:tcPr>
            <w:tcW w:w="22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24,945</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33,532</w:t>
            </w:r>
          </w:p>
        </w:tc>
      </w:tr>
      <w:tr>
        <w:trPr>
          <w:trHeight w:val="20"/>
        </w:trPr>
        <w:tc>
          <w:tcPr>
            <w:tcW w:w="83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129"/>
        </w:trPr>
        <w:tc>
          <w:tcPr>
            <w:tcW w:w="83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r>
      <w:tr>
        <w:trPr>
          <w:trHeight w:val="196"/>
        </w:trPr>
        <w:tc>
          <w:tcPr>
            <w:tcW w:w="84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Income tax benefit (expense)—GAAP</w:t>
            </w: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(2,996)</w:t>
            </w:r>
          </w:p>
        </w:tc>
        <w:tc>
          <w:tcPr>
            <w:tcW w:w="100" w:type="dxa"/>
            <w:vAlign w:val="bottom"/>
          </w:tcPr>
          <w:p>
            <w:pPr>
              <w:spacing w:after="0"/>
              <w:rPr>
                <w:sz w:val="17"/>
                <w:szCs w:val="17"/>
                <w:color w:val="auto"/>
              </w:rPr>
            </w:pPr>
          </w:p>
        </w:tc>
        <w:tc>
          <w:tcPr>
            <w:tcW w:w="3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(2,024)</w:t>
            </w:r>
          </w:p>
        </w:tc>
      </w:tr>
      <w:tr>
        <w:trPr>
          <w:trHeight w:val="202"/>
        </w:trPr>
        <w:tc>
          <w:tcPr>
            <w:tcW w:w="8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Tax impact of non-GAAP adjustments(8)</w:t>
            </w:r>
          </w:p>
        </w:tc>
        <w:tc>
          <w:tcPr>
            <w:tcW w:w="2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(1,442)</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3"/>
        </w:trPr>
        <w:tc>
          <w:tcPr>
            <w:tcW w:w="84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Adjusted income tax benefit (expense)</w:t>
            </w:r>
          </w:p>
        </w:tc>
        <w:tc>
          <w:tcPr>
            <w:tcW w:w="22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(4,438)</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(2,024)</w:t>
            </w:r>
          </w:p>
        </w:tc>
      </w:tr>
      <w:tr>
        <w:trPr>
          <w:trHeight w:val="20"/>
        </w:trPr>
        <w:tc>
          <w:tcPr>
            <w:tcW w:w="83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129"/>
        </w:trPr>
        <w:tc>
          <w:tcPr>
            <w:tcW w:w="83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r>
      <w:tr>
        <w:trPr>
          <w:trHeight w:val="196"/>
        </w:trPr>
        <w:tc>
          <w:tcPr>
            <w:tcW w:w="84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Net income (loss)—GAAP</w:t>
            </w: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1,052</w:t>
            </w:r>
          </w:p>
        </w:tc>
        <w:tc>
          <w:tcPr>
            <w:tcW w:w="100" w:type="dxa"/>
            <w:vAlign w:val="bottom"/>
          </w:tcPr>
          <w:p>
            <w:pPr>
              <w:spacing w:after="0"/>
              <w:rPr>
                <w:sz w:val="17"/>
                <w:szCs w:val="17"/>
                <w:color w:val="auto"/>
              </w:rPr>
            </w:pPr>
          </w:p>
        </w:tc>
        <w:tc>
          <w:tcPr>
            <w:tcW w:w="3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22,507</w:t>
            </w:r>
          </w:p>
        </w:tc>
      </w:tr>
      <w:tr>
        <w:trPr>
          <w:trHeight w:val="209"/>
        </w:trPr>
        <w:tc>
          <w:tcPr>
            <w:tcW w:w="8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Equity-based compensation not dilutive to investors in PWP or PWP OpCo (1)</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18,710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6,157</w:t>
            </w:r>
          </w:p>
        </w:tc>
      </w:tr>
      <w:tr>
        <w:trPr>
          <w:trHeight w:val="195"/>
        </w:trPr>
        <w:tc>
          <w:tcPr>
            <w:tcW w:w="84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Public company transaction related incentives (2)</w:t>
            </w:r>
          </w:p>
        </w:tc>
        <w:tc>
          <w:tcPr>
            <w:tcW w:w="2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12,224</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165</w:t>
            </w:r>
          </w:p>
        </w:tc>
      </w:tr>
      <w:tr>
        <w:trPr>
          <w:trHeight w:val="210"/>
        </w:trPr>
        <w:tc>
          <w:tcPr>
            <w:tcW w:w="8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TPH business combination related expenses (3)</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1,645</w:t>
            </w:r>
          </w:p>
        </w:tc>
      </w:tr>
      <w:tr>
        <w:trPr>
          <w:trHeight w:val="195"/>
        </w:trPr>
        <w:tc>
          <w:tcPr>
            <w:tcW w:w="84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Business Combination transaction expenses (4)</w:t>
            </w:r>
          </w:p>
        </w:tc>
        <w:tc>
          <w:tcPr>
            <w:tcW w:w="2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287</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0"/>
        </w:trPr>
        <w:tc>
          <w:tcPr>
            <w:tcW w:w="8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Change in fair value of warrant liabilities (6)</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(12,006)</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5"/>
        </w:trPr>
        <w:tc>
          <w:tcPr>
            <w:tcW w:w="84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Amortization of debt costs (7)</w:t>
            </w:r>
          </w:p>
        </w:tc>
        <w:tc>
          <w:tcPr>
            <w:tcW w:w="2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1,034</w:t>
            </w:r>
          </w:p>
        </w:tc>
      </w:tr>
      <w:tr>
        <w:trPr>
          <w:trHeight w:val="203"/>
        </w:trPr>
        <w:tc>
          <w:tcPr>
            <w:tcW w:w="8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Tax impact of non-GAAP adjustments (8)</w:t>
            </w:r>
          </w:p>
        </w:tc>
        <w:tc>
          <w:tcPr>
            <w:tcW w:w="2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(1,442)</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3"/>
        </w:trPr>
        <w:tc>
          <w:tcPr>
            <w:tcW w:w="84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Adjusted net income (loss)</w:t>
            </w:r>
          </w:p>
        </w:tc>
        <w:tc>
          <w:tcPr>
            <w:tcW w:w="22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20,507</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31,508</w:t>
            </w:r>
          </w:p>
        </w:tc>
      </w:tr>
      <w:tr>
        <w:trPr>
          <w:trHeight w:val="20"/>
        </w:trPr>
        <w:tc>
          <w:tcPr>
            <w:tcW w:w="83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129"/>
        </w:trPr>
        <w:tc>
          <w:tcPr>
            <w:tcW w:w="83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r>
    </w:tbl>
    <w:p>
      <w:pPr>
        <w:spacing w:after="0" w:line="1" w:lineRule="exact"/>
        <w:rPr>
          <w:sz w:val="20"/>
          <w:szCs w:val="20"/>
          <w:color w:val="auto"/>
        </w:rPr>
      </w:pPr>
    </w:p>
    <w:p>
      <w:pPr>
        <w:sectPr>
          <w:pgSz w:w="11900" w:h="16838" w:orient="portrait"/>
          <w:cols w:equalWidth="0" w:num="1">
            <w:col w:w="11232"/>
          </w:cols>
          <w:pgMar w:left="328" w:top="1404" w:right="339" w:bottom="1440" w:gutter="0" w:footer="0" w:header="0"/>
        </w:sectPr>
      </w:pPr>
    </w:p>
    <w:p>
      <w:pPr>
        <w:ind w:left="32"/>
        <w:spacing w:after="0"/>
        <w:rPr>
          <w:sz w:val="20"/>
          <w:szCs w:val="20"/>
          <w:color w:val="auto"/>
        </w:rPr>
      </w:pPr>
      <w:r>
        <w:rPr>
          <w:rFonts w:ascii="Times New Roman" w:cs="Times New Roman" w:eastAsia="Times New Roman" w:hAnsi="Times New Roman"/>
          <w:sz w:val="14"/>
          <w:szCs w:val="14"/>
          <w:color w:val="auto"/>
        </w:rPr>
        <w:t>Less: Adjusted income tax benefit (expense)</w:t>
      </w:r>
    </w:p>
    <w:p>
      <w:pPr>
        <w:spacing w:after="0" w:line="32" w:lineRule="exact"/>
        <w:rPr>
          <w:sz w:val="20"/>
          <w:szCs w:val="20"/>
          <w:color w:val="auto"/>
        </w:rPr>
      </w:pPr>
    </w:p>
    <w:p>
      <w:pPr>
        <w:ind w:left="32"/>
        <w:spacing w:after="0"/>
        <w:rPr>
          <w:sz w:val="20"/>
          <w:szCs w:val="20"/>
          <w:color w:val="auto"/>
        </w:rPr>
      </w:pPr>
      <w:r>
        <w:rPr>
          <w:rFonts w:ascii="Times New Roman" w:cs="Times New Roman" w:eastAsia="Times New Roman" w:hAnsi="Times New Roman"/>
          <w:sz w:val="14"/>
          <w:szCs w:val="14"/>
          <w:color w:val="auto"/>
        </w:rPr>
        <w:t>Add: If-converted tax impact (9)</w:t>
      </w:r>
    </w:p>
    <w:p>
      <w:pPr>
        <w:spacing w:after="0" w:line="82" w:lineRule="exact"/>
        <w:rPr>
          <w:sz w:val="20"/>
          <w:szCs w:val="20"/>
          <w:color w:val="auto"/>
        </w:rPr>
      </w:pPr>
    </w:p>
    <w:p>
      <w:pPr>
        <w:ind w:left="32"/>
        <w:spacing w:after="0"/>
        <w:rPr>
          <w:sz w:val="20"/>
          <w:szCs w:val="20"/>
          <w:color w:val="auto"/>
        </w:rPr>
      </w:pPr>
      <w:r>
        <w:rPr>
          <w:rFonts w:ascii="Times New Roman" w:cs="Times New Roman" w:eastAsia="Times New Roman" w:hAnsi="Times New Roman"/>
          <w:sz w:val="14"/>
          <w:szCs w:val="14"/>
          <w:color w:val="auto"/>
        </w:rPr>
        <w:t>Adjusted if-converted net income (loss)</w:t>
      </w:r>
    </w:p>
    <w:p>
      <w:pPr>
        <w:spacing w:after="0" w:line="20" w:lineRule="exact"/>
        <w:rPr>
          <w:sz w:val="20"/>
          <w:szCs w:val="20"/>
          <w:color w:val="auto"/>
        </w:rPr>
      </w:pPr>
      <w:r>
        <w:rPr>
          <w:sz w:val="20"/>
          <w:szCs w:val="20"/>
          <w:color w:val="auto"/>
        </w:rPr>
        <w:br w:type="column"/>
      </w:r>
    </w:p>
    <w:p>
      <w:pPr>
        <w:ind w:left="940"/>
        <w:spacing w:after="0"/>
        <w:rPr>
          <w:sz w:val="20"/>
          <w:szCs w:val="20"/>
          <w:color w:val="auto"/>
        </w:rPr>
      </w:pPr>
      <w:r>
        <w:rPr>
          <w:rFonts w:ascii="Times New Roman" w:cs="Times New Roman" w:eastAsia="Times New Roman" w:hAnsi="Times New Roman"/>
          <w:sz w:val="14"/>
          <w:szCs w:val="14"/>
          <w:color w:val="auto"/>
        </w:rPr>
        <w:t>4,438</w:t>
      </w:r>
    </w:p>
    <w:p>
      <w:pPr>
        <w:spacing w:after="0" w:line="32" w:lineRule="exact"/>
        <w:rPr>
          <w:sz w:val="20"/>
          <w:szCs w:val="20"/>
          <w:color w:val="auto"/>
        </w:rPr>
      </w:pPr>
    </w:p>
    <w:p>
      <w:pPr>
        <w:jc w:val="right"/>
        <w:ind w:right="1460"/>
        <w:spacing w:after="0"/>
        <w:rPr>
          <w:sz w:val="20"/>
          <w:szCs w:val="20"/>
          <w:color w:val="auto"/>
        </w:rPr>
      </w:pPr>
      <w:r>
        <w:rPr>
          <w:rFonts w:ascii="Times New Roman" w:cs="Times New Roman" w:eastAsia="Times New Roman" w:hAnsi="Times New Roman"/>
          <w:sz w:val="14"/>
          <w:szCs w:val="14"/>
          <w:color w:val="auto"/>
        </w:rPr>
        <w:t>(7,557)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-5370195</wp:posOffset>
            </wp:positionH>
            <wp:positionV relativeFrom="paragraph">
              <wp:posOffset>-95885</wp:posOffset>
            </wp:positionV>
            <wp:extent cx="7123430" cy="1371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23430" cy="137160"/>
                    </a:xfrm>
                    <a:prstGeom prst="rect">
                      <a:avLst/>
                    </a:prstGeom>
                    <a:noFill/>
                  </pic:spPr>
                </pic:pic>
              </a:graphicData>
            </a:graphic>
          </wp:anchor>
        </w:drawing>
      </w:r>
    </w:p>
    <w:p>
      <w:pPr>
        <w:spacing w:after="0" w:line="35" w:lineRule="exact"/>
        <w:rPr>
          <w:sz w:val="20"/>
          <w:szCs w:val="20"/>
          <w:color w:val="auto"/>
        </w:rPr>
      </w:pPr>
    </w:p>
    <w:p>
      <w:pPr>
        <w:ind w:left="860" w:hanging="856"/>
        <w:spacing w:after="0"/>
        <w:tabs>
          <w:tab w:leader="none" w:pos="86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17,388</w:t>
      </w:r>
    </w:p>
    <w:p>
      <w:pPr>
        <w:spacing w:after="0" w:line="50" w:lineRule="exact"/>
        <w:rPr>
          <w:sz w:val="20"/>
          <w:szCs w:val="20"/>
          <w:color w:val="auto"/>
        </w:rPr>
      </w:pPr>
    </w:p>
    <w:p>
      <w:pPr>
        <w:sectPr>
          <w:pgSz w:w="11900" w:h="16838" w:orient="portrait"/>
          <w:cols w:equalWidth="0" w:num="2">
            <w:col w:w="7752" w:space="720"/>
            <w:col w:w="2760"/>
          </w:cols>
          <w:pgMar w:left="328" w:top="1404" w:right="339" w:bottom="1440" w:gutter="0" w:footer="0" w:header="0"/>
          <w:type w:val="continuous"/>
        </w:sectPr>
      </w:pPr>
    </w:p>
    <w:tbl>
      <w:tblPr>
        <w:tblLayout w:type="fixed"/>
        <w:tblInd w:w="12" w:type="dxa"/>
        <w:tblCellMar>
          <w:top w:w="0" w:type="dxa"/>
          <w:left w:w="0" w:type="dxa"/>
          <w:bottom w:w="0" w:type="dxa"/>
          <w:right w:w="0" w:type="dxa"/>
        </w:tblCellMar>
      </w:tblPr>
      <w:tr>
        <w:trPr>
          <w:trHeight w:val="169"/>
        </w:trPr>
        <w:tc>
          <w:tcPr>
            <w:tcW w:w="846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spacing w:after="0"/>
              <w:rPr>
                <w:sz w:val="14"/>
                <w:szCs w:val="14"/>
                <w:color w:val="auto"/>
              </w:rPr>
            </w:pPr>
          </w:p>
        </w:tc>
        <w:tc>
          <w:tcPr>
            <w:tcW w:w="1440" w:type="dxa"/>
            <w:vAlign w:val="bottom"/>
            <w:tcBorders>
              <w:top w:val="single" w:sz="8" w:color="CCEEFF"/>
            </w:tcBorders>
            <w:shd w:val="clear" w:color="auto" w:fill="CCEEFF"/>
          </w:tcPr>
          <w:p>
            <w:pPr>
              <w:spacing w:after="0"/>
              <w:rPr>
                <w:sz w:val="14"/>
                <w:szCs w:val="14"/>
                <w:color w:val="auto"/>
              </w:rPr>
            </w:pPr>
          </w:p>
        </w:tc>
      </w:tr>
      <w:tr>
        <w:trPr>
          <w:trHeight w:val="195"/>
        </w:trPr>
        <w:tc>
          <w:tcPr>
            <w:tcW w:w="8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Weighted-average adjusted diluted shares of Class A common stock outstanding</w:t>
            </w:r>
          </w:p>
        </w:tc>
        <w:tc>
          <w:tcPr>
            <w:tcW w:w="3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93,526,548</w:t>
            </w:r>
          </w:p>
        </w:tc>
        <w:tc>
          <w:tcPr>
            <w:tcW w:w="1440" w:type="dxa"/>
            <w:vAlign w:val="bottom"/>
          </w:tcPr>
          <w:p>
            <w:pPr>
              <w:spacing w:after="0"/>
              <w:rPr>
                <w:sz w:val="16"/>
                <w:szCs w:val="16"/>
                <w:color w:val="auto"/>
              </w:rPr>
            </w:pPr>
          </w:p>
        </w:tc>
      </w:tr>
      <w:tr>
        <w:trPr>
          <w:trHeight w:val="169"/>
        </w:trPr>
        <w:tc>
          <w:tcPr>
            <w:tcW w:w="84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r>
      <w:tr>
        <w:trPr>
          <w:trHeight w:val="188"/>
        </w:trPr>
        <w:tc>
          <w:tcPr>
            <w:tcW w:w="8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Adjusted net income (loss) per Class A share—diluted, if—converted (10)</w:t>
            </w:r>
          </w:p>
        </w:tc>
        <w:tc>
          <w:tcPr>
            <w:tcW w:w="34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0.19</w:t>
            </w:r>
          </w:p>
        </w:tc>
        <w:tc>
          <w:tcPr>
            <w:tcW w:w="1440" w:type="dxa"/>
            <w:vAlign w:val="bottom"/>
          </w:tcPr>
          <w:p>
            <w:pPr>
              <w:spacing w:after="0"/>
              <w:rPr>
                <w:sz w:val="16"/>
                <w:szCs w:val="16"/>
                <w:color w:val="auto"/>
              </w:rPr>
            </w:pPr>
          </w:p>
        </w:tc>
      </w:tr>
    </w:tbl>
    <w:p>
      <w:pPr>
        <w:spacing w:after="0" w:line="294" w:lineRule="exact"/>
        <w:rPr>
          <w:sz w:val="20"/>
          <w:szCs w:val="20"/>
          <w:color w:val="auto"/>
        </w:rPr>
      </w:pPr>
    </w:p>
    <w:p>
      <w:pPr>
        <w:ind w:left="-8" w:firstLine="8"/>
        <w:spacing w:after="0" w:line="298" w:lineRule="auto"/>
        <w:tabs>
          <w:tab w:leader="none" w:pos="111" w:val="left"/>
        </w:tabs>
        <w:numPr>
          <w:ilvl w:val="0"/>
          <w:numId w:val="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Throughout this release, adjusted figures represent Non-GAAP information. See “Non-GAAP Financial Measures” and the tables at the end of this release for an explanation of the adjustments and reconciliations to the comparable GAAP numbers.</w:t>
      </w:r>
    </w:p>
    <w:p>
      <w:pPr>
        <w:sectPr>
          <w:pgSz w:w="11900" w:h="16838" w:orient="portrait"/>
          <w:cols w:equalWidth="0" w:num="1">
            <w:col w:w="11232"/>
          </w:cols>
          <w:pgMar w:left="328" w:top="1404" w:right="339" w:bottom="1440" w:gutter="0" w:footer="0" w:header="0"/>
          <w:type w:val="continuous"/>
        </w:sectPr>
      </w:pPr>
    </w:p>
    <w:p>
      <w:pPr>
        <w:spacing w:after="0" w:line="178"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6"/>
          <w:szCs w:val="16"/>
          <w:color w:val="auto"/>
        </w:rPr>
        <w:t>8</w:t>
      </w:r>
    </w:p>
    <w:p>
      <w:pPr>
        <w:sectPr>
          <w:pgSz w:w="11900" w:h="16838" w:orient="portrait"/>
          <w:cols w:equalWidth="0" w:num="1">
            <w:col w:w="11232"/>
          </w:cols>
          <w:pgMar w:left="328" w:top="1404" w:right="339" w:bottom="1440"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242570</wp:posOffset>
            </wp:positionH>
            <wp:positionV relativeFrom="page">
              <wp:posOffset>88900</wp:posOffset>
            </wp:positionV>
            <wp:extent cx="1234440" cy="6083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clrChange>
                        <a:clrFrom>
                          <a:srgbClr val="FFFFFF"/>
                        </a:clrFrom>
                        <a:clrTo>
                          <a:srgbClr val="FFFFFF">
                            <a:alpha val="0"/>
                          </a:srgbClr>
                        </a:clrTo>
                      </a:clrChange>
                      <a:extLst>
                        <a:ext uri="{28A0092B-C50C-407E-A947-70E740481C1C}"/>
                      </a:extLst>
                    </a:blip>
                    <a:srcRect/>
                    <a:stretch>
                      <a:fillRect/>
                    </a:stretch>
                  </pic:blipFill>
                  <pic:spPr bwMode="auto">
                    <a:xfrm>
                      <a:off x="0" y="0"/>
                      <a:ext cx="1234440" cy="608330"/>
                    </a:xfrm>
                    <a:prstGeom prst="rect">
                      <a:avLst/>
                    </a:prstGeom>
                    <a:noFill/>
                  </pic:spPr>
                </pic:pic>
              </a:graphicData>
            </a:graphic>
          </wp:anchor>
        </w:drawing>
        <w:t>Notes to U.S. GAAP Reconciliation of Adjusted Results:</w:t>
      </w:r>
    </w:p>
    <w:p>
      <w:pPr>
        <w:spacing w:after="0" w:line="250" w:lineRule="exact"/>
        <w:rPr>
          <w:sz w:val="20"/>
          <w:szCs w:val="20"/>
          <w:color w:val="auto"/>
        </w:rPr>
      </w:pPr>
    </w:p>
    <w:p>
      <w:pPr>
        <w:jc w:val="both"/>
        <w:ind w:left="500" w:hanging="492"/>
        <w:spacing w:after="0" w:line="263" w:lineRule="auto"/>
        <w:tabs>
          <w:tab w:leader="none" w:pos="496"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Equity-based compensation not dilutive to investors in PWP or PWP Holdings LP (“PWP OpCo”) includes amortization of legacy awards granted to certain partners prior to the Business Combination and PWP Professional Partners LP (“Professional Partners”) ACU and VCU awards. The vesting of these awards does not dilute PWP shareholders relative to Professional Partners as Professional Partners’ interest in PWP OpCo does not change as a result of granting those equity awards to its working partners.</w:t>
      </w:r>
    </w:p>
    <w:p>
      <w:pPr>
        <w:spacing w:after="0" w:line="219" w:lineRule="exact"/>
        <w:rPr>
          <w:rFonts w:ascii="Times New Roman" w:cs="Times New Roman" w:eastAsia="Times New Roman" w:hAnsi="Times New Roman"/>
          <w:sz w:val="16"/>
          <w:szCs w:val="16"/>
          <w:color w:val="auto"/>
        </w:rPr>
      </w:pPr>
    </w:p>
    <w:p>
      <w:pPr>
        <w:jc w:val="both"/>
        <w:ind w:left="500" w:right="120" w:hanging="492"/>
        <w:spacing w:after="0" w:line="263" w:lineRule="auto"/>
        <w:tabs>
          <w:tab w:leader="none" w:pos="496"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Public company transaction related incentives includes discretionary bonus payments as well as equity-based compensation for transaction-related restricted stock units (“RSUs”) which are directly related to milestone events that were part of the Business Combination process and reorganization. These payments were outside of PWP’s normal and recurring bonus and compensation processes.</w:t>
      </w:r>
    </w:p>
    <w:p>
      <w:pPr>
        <w:spacing w:after="0" w:line="218" w:lineRule="exact"/>
        <w:rPr>
          <w:rFonts w:ascii="Times New Roman" w:cs="Times New Roman" w:eastAsia="Times New Roman" w:hAnsi="Times New Roman"/>
          <w:sz w:val="16"/>
          <w:szCs w:val="16"/>
          <w:color w:val="auto"/>
        </w:rPr>
      </w:pPr>
    </w:p>
    <w:p>
      <w:pPr>
        <w:ind w:left="500" w:right="120" w:hanging="492"/>
        <w:spacing w:after="0" w:line="280" w:lineRule="auto"/>
        <w:tabs>
          <w:tab w:leader="none" w:pos="496"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November 30, 2016, we completed a business combination with Tudor, Pickering, Holt &amp; Co., LLC (TPH), an independent advisory firm focused on the energy industry. TPH business combination related expenses include intangible asset amortization associated with the acquisition.</w:t>
      </w:r>
    </w:p>
    <w:p>
      <w:pPr>
        <w:spacing w:after="0" w:line="205" w:lineRule="exact"/>
        <w:rPr>
          <w:rFonts w:ascii="Times New Roman" w:cs="Times New Roman" w:eastAsia="Times New Roman" w:hAnsi="Times New Roman"/>
          <w:sz w:val="16"/>
          <w:szCs w:val="16"/>
          <w:color w:val="auto"/>
        </w:rPr>
      </w:pPr>
    </w:p>
    <w:p>
      <w:pPr>
        <w:ind w:left="500" w:right="120" w:hanging="492"/>
        <w:spacing w:after="0" w:line="280" w:lineRule="auto"/>
        <w:tabs>
          <w:tab w:leader="none" w:pos="496"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Transaction costs that were expensed associated with the Business Combination as well as equity-based vesting for transaction-related RSUs issued to non-employees.</w:t>
      </w:r>
    </w:p>
    <w:p>
      <w:pPr>
        <w:spacing w:after="0" w:line="191" w:lineRule="exact"/>
        <w:rPr>
          <w:rFonts w:ascii="Times New Roman" w:cs="Times New Roman" w:eastAsia="Times New Roman" w:hAnsi="Times New Roman"/>
          <w:sz w:val="16"/>
          <w:szCs w:val="16"/>
          <w:color w:val="auto"/>
        </w:rPr>
      </w:pPr>
    </w:p>
    <w:p>
      <w:pPr>
        <w:ind w:left="500" w:right="120" w:hanging="492"/>
        <w:spacing w:after="0" w:line="298" w:lineRule="auto"/>
        <w:tabs>
          <w:tab w:leader="none" w:pos="496"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See reconciliation below for the components of the consolidated statements of operations included in non-compensation expense—GAAP as well as Adjusted non-compensation expense.</w:t>
      </w:r>
    </w:p>
    <w:p>
      <w:pPr>
        <w:spacing w:after="0" w:line="177" w:lineRule="exact"/>
        <w:rPr>
          <w:rFonts w:ascii="Times New Roman" w:cs="Times New Roman" w:eastAsia="Times New Roman" w:hAnsi="Times New Roman"/>
          <w:sz w:val="16"/>
          <w:szCs w:val="16"/>
          <w:color w:val="auto"/>
        </w:rPr>
      </w:pPr>
    </w:p>
    <w:p>
      <w:pPr>
        <w:ind w:left="500" w:hanging="492"/>
        <w:spacing w:after="0"/>
        <w:tabs>
          <w:tab w:leader="none" w:pos="50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 in fair value of warrant liabilities is non-cash and we believe not indicative of our core performance.</w:t>
      </w:r>
    </w:p>
    <w:p>
      <w:pPr>
        <w:spacing w:after="0" w:line="261" w:lineRule="exact"/>
        <w:rPr>
          <w:rFonts w:ascii="Times New Roman" w:cs="Times New Roman" w:eastAsia="Times New Roman" w:hAnsi="Times New Roman"/>
          <w:sz w:val="16"/>
          <w:szCs w:val="16"/>
          <w:color w:val="auto"/>
        </w:rPr>
      </w:pPr>
    </w:p>
    <w:p>
      <w:pPr>
        <w:ind w:left="500" w:hanging="492"/>
        <w:spacing w:after="0"/>
        <w:tabs>
          <w:tab w:leader="none" w:pos="50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Amortization of debt costs is composed of the amortization of debt discounts and issuance costs, which is included in interest expense.</w:t>
      </w:r>
    </w:p>
    <w:p>
      <w:pPr>
        <w:spacing w:after="0" w:line="248" w:lineRule="exact"/>
        <w:rPr>
          <w:rFonts w:ascii="Times New Roman" w:cs="Times New Roman" w:eastAsia="Times New Roman" w:hAnsi="Times New Roman"/>
          <w:sz w:val="16"/>
          <w:szCs w:val="16"/>
          <w:color w:val="auto"/>
        </w:rPr>
      </w:pPr>
    </w:p>
    <w:p>
      <w:pPr>
        <w:jc w:val="both"/>
        <w:ind w:left="500" w:right="120" w:hanging="492"/>
        <w:spacing w:after="0" w:line="272" w:lineRule="auto"/>
        <w:tabs>
          <w:tab w:leader="none" w:pos="496"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non-GAAP tax rate represents the Company’s calculated tax expense on adjusted non-GAAP income. It excludes the impact on income taxes of certain transaction-related items and other items not reflected in our adjusted non-GAAP results. It does not represent the cash that the Company expects to pay for taxes in the current periods.</w:t>
      </w:r>
    </w:p>
    <w:p>
      <w:pPr>
        <w:spacing w:after="0" w:line="197" w:lineRule="exact"/>
        <w:rPr>
          <w:rFonts w:ascii="Times New Roman" w:cs="Times New Roman" w:eastAsia="Times New Roman" w:hAnsi="Times New Roman"/>
          <w:sz w:val="16"/>
          <w:szCs w:val="16"/>
          <w:color w:val="auto"/>
        </w:rPr>
      </w:pPr>
    </w:p>
    <w:p>
      <w:pPr>
        <w:ind w:left="500" w:hanging="492"/>
        <w:spacing w:after="0" w:line="280" w:lineRule="auto"/>
        <w:tabs>
          <w:tab w:leader="none" w:pos="496"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if-converted tax rate for the three months ended March 31, 2022 represents the Company's calculated tax expense on adjusted non-GAAP income assuming the exchange of all partnership units for PWP Class A common stock, resulting in all of the Company’s income being subject to corporate-level tax.</w:t>
      </w:r>
    </w:p>
    <w:p>
      <w:pPr>
        <w:spacing w:after="0" w:line="191" w:lineRule="exact"/>
        <w:rPr>
          <w:rFonts w:ascii="Times New Roman" w:cs="Times New Roman" w:eastAsia="Times New Roman" w:hAnsi="Times New Roman"/>
          <w:sz w:val="16"/>
          <w:szCs w:val="16"/>
          <w:color w:val="auto"/>
        </w:rPr>
      </w:pPr>
    </w:p>
    <w:p>
      <w:pPr>
        <w:ind w:left="500" w:right="120" w:hanging="492"/>
        <w:spacing w:after="0" w:line="298" w:lineRule="auto"/>
        <w:tabs>
          <w:tab w:leader="none" w:pos="496"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Adjusted net income (loss) per Class A share—diluted, if-converted for the three-month period ended March 31, 2021 is not meaningful or comparative to GAAP diluted earnings per share, as it excludes activity prior to the Business Combination on June 24, 2021.</w:t>
      </w:r>
    </w:p>
    <w:p>
      <w:pPr>
        <w:spacing w:after="0" w:line="200" w:lineRule="exact"/>
        <w:rPr>
          <w:sz w:val="20"/>
          <w:szCs w:val="20"/>
          <w:color w:val="auto"/>
        </w:rPr>
      </w:pPr>
    </w:p>
    <w:p>
      <w:pPr>
        <w:spacing w:after="0" w:line="204" w:lineRule="exact"/>
        <w:rPr>
          <w:sz w:val="20"/>
          <w:szCs w:val="20"/>
          <w:color w:val="auto"/>
        </w:rPr>
      </w:pPr>
    </w:p>
    <w:p>
      <w:pPr>
        <w:ind w:firstLine="8"/>
        <w:spacing w:after="0" w:line="280" w:lineRule="auto"/>
        <w:tabs>
          <w:tab w:leader="none" w:pos="119" w:val="left"/>
        </w:tabs>
        <w:numPr>
          <w:ilvl w:val="0"/>
          <w:numId w:val="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Throughout this release, adjusted figures represent Non-GAAP information. See “Non-GAAP Financial Measures” and the tables at the end of this release for an explanation of the adjustments and reconciliations to the comparable GAAP numbers.</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240"/>
          </w:cols>
          <w:pgMar w:left="320" w:top="1420" w:right="339" w:bottom="1440" w:gutter="0" w:footer="0" w:header="0"/>
        </w:sectPr>
      </w:pPr>
    </w:p>
    <w:bookmarkStart w:id="12" w:name="page13"/>
    <w:bookmarkEnd w:id="12"/>
    <w:p>
      <w:pPr>
        <w:ind w:left="3500"/>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242570</wp:posOffset>
            </wp:positionH>
            <wp:positionV relativeFrom="page">
              <wp:posOffset>88900</wp:posOffset>
            </wp:positionV>
            <wp:extent cx="1234440" cy="60833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clrChange>
                        <a:clrFrom>
                          <a:srgbClr val="FFFFFF"/>
                        </a:clrFrom>
                        <a:clrTo>
                          <a:srgbClr val="FFFFFF">
                            <a:alpha val="0"/>
                          </a:srgbClr>
                        </a:clrTo>
                      </a:clrChange>
                      <a:extLst>
                        <a:ext uri="{28A0092B-C50C-407E-A947-70E740481C1C}"/>
                      </a:extLst>
                    </a:blip>
                    <a:srcRect/>
                    <a:stretch>
                      <a:fillRect/>
                    </a:stretch>
                  </pic:blipFill>
                  <pic:spPr bwMode="auto">
                    <a:xfrm>
                      <a:off x="0" y="0"/>
                      <a:ext cx="1234440" cy="608330"/>
                    </a:xfrm>
                    <a:prstGeom prst="rect">
                      <a:avLst/>
                    </a:prstGeom>
                    <a:noFill/>
                  </pic:spPr>
                </pic:pic>
              </a:graphicData>
            </a:graphic>
          </wp:anchor>
        </w:drawing>
        <w:t>U.S. GAAP Reconciliation of Adjusted Results (Unaudited)</w:t>
      </w:r>
    </w:p>
    <w:p>
      <w:pPr>
        <w:spacing w:after="0" w:line="12"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6"/>
          <w:szCs w:val="16"/>
          <w:b w:val="1"/>
          <w:bCs w:val="1"/>
          <w:color w:val="auto"/>
        </w:rPr>
        <w:t>(Dollars in Thousands)</w:t>
      </w:r>
    </w:p>
    <w:p>
      <w:pPr>
        <w:spacing w:after="0" w:line="246" w:lineRule="exact"/>
        <w:rPr>
          <w:sz w:val="20"/>
          <w:szCs w:val="20"/>
          <w:color w:val="auto"/>
        </w:rPr>
      </w:pPr>
    </w:p>
    <w:tbl>
      <w:tblPr>
        <w:tblLayout w:type="fixed"/>
        <w:tblInd w:w="260" w:type="dxa"/>
        <w:tblCellMar>
          <w:top w:w="0" w:type="dxa"/>
          <w:left w:w="0" w:type="dxa"/>
          <w:bottom w:w="0" w:type="dxa"/>
          <w:right w:w="0" w:type="dxa"/>
        </w:tblCellMar>
      </w:tblPr>
      <w:tr>
        <w:trPr>
          <w:trHeight w:val="190"/>
        </w:trPr>
        <w:tc>
          <w:tcPr>
            <w:tcW w:w="49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680" w:type="dxa"/>
            <w:vAlign w:val="bottom"/>
            <w:gridSpan w:val="4"/>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Three Months Ended March 31, 2022</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3"/>
        </w:trPr>
        <w:tc>
          <w:tcPr>
            <w:tcW w:w="49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r>
      <w:tr>
        <w:trPr>
          <w:trHeight w:val="190"/>
        </w:trPr>
        <w:tc>
          <w:tcPr>
            <w:tcW w:w="49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20" w:type="dxa"/>
            <w:vAlign w:val="bottom"/>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U.S. GAAP</w:t>
            </w:r>
          </w:p>
        </w:tc>
        <w:tc>
          <w:tcPr>
            <w:tcW w:w="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120" w:type="dxa"/>
            <w:vAlign w:val="bottom"/>
            <w:gridSpan w:val="2"/>
          </w:tcPr>
          <w:p>
            <w:pPr>
              <w:jc w:val="right"/>
              <w:ind w:right="1108"/>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500" w:type="dxa"/>
            <w:vAlign w:val="bottom"/>
            <w:gridSpan w:val="3"/>
          </w:tcPr>
          <w:p>
            <w:pPr>
              <w:ind w:left="420"/>
              <w:spacing w:after="0"/>
              <w:rPr>
                <w:sz w:val="20"/>
                <w:szCs w:val="20"/>
                <w:color w:val="auto"/>
              </w:rPr>
            </w:pPr>
            <w:r>
              <w:rPr>
                <w:rFonts w:ascii="Times New Roman" w:cs="Times New Roman" w:eastAsia="Times New Roman" w:hAnsi="Times New Roman"/>
                <w:sz w:val="14"/>
                <w:szCs w:val="14"/>
                <w:b w:val="1"/>
                <w:bCs w:val="1"/>
                <w:color w:val="auto"/>
              </w:rPr>
              <w:t>Adjusted</w:t>
            </w:r>
          </w:p>
        </w:tc>
      </w:tr>
      <w:tr>
        <w:trPr>
          <w:trHeight w:val="202"/>
        </w:trPr>
        <w:tc>
          <w:tcPr>
            <w:tcW w:w="4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Professional fees</w:t>
            </w:r>
          </w:p>
        </w:tc>
        <w:tc>
          <w:tcPr>
            <w:tcW w:w="260" w:type="dxa"/>
            <w:vAlign w:val="bottom"/>
            <w:tcBorders>
              <w:top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10,303</w:t>
            </w:r>
          </w:p>
        </w:tc>
        <w:tc>
          <w:tcPr>
            <w:tcW w:w="3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(287)</w:t>
            </w:r>
          </w:p>
        </w:tc>
        <w:tc>
          <w:tcPr>
            <w:tcW w:w="760" w:type="dxa"/>
            <w:vAlign w:val="bottom"/>
            <w:tcBorders>
              <w:top w:val="single" w:sz="8" w:color="CCEEFF"/>
            </w:tcBorders>
            <w:shd w:val="clear" w:color="auto" w:fill="CCEEFF"/>
          </w:tcPr>
          <w:p>
            <w:pPr>
              <w:jc w:val="right"/>
              <w:ind w:right="508"/>
              <w:spacing w:after="0"/>
              <w:rPr>
                <w:sz w:val="20"/>
                <w:szCs w:val="20"/>
                <w:color w:val="auto"/>
              </w:rPr>
            </w:pPr>
            <w:r>
              <w:rPr>
                <w:rFonts w:ascii="Times New Roman" w:cs="Times New Roman" w:eastAsia="Times New Roman" w:hAnsi="Times New Roman"/>
                <w:sz w:val="14"/>
                <w:szCs w:val="14"/>
                <w:color w:val="auto"/>
                <w:w w:val="97"/>
              </w:rPr>
              <w:t>(1)</w:t>
            </w:r>
          </w:p>
        </w:tc>
        <w:tc>
          <w:tcPr>
            <w:tcW w:w="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10,016</w:t>
            </w:r>
          </w:p>
        </w:tc>
        <w:tc>
          <w:tcPr>
            <w:tcW w:w="40" w:type="dxa"/>
            <w:vAlign w:val="bottom"/>
            <w:tcBorders>
              <w:top w:val="single" w:sz="8" w:color="auto"/>
            </w:tcBorders>
            <w:shd w:val="clear" w:color="auto" w:fill="CCEEFF"/>
          </w:tcPr>
          <w:p>
            <w:pPr>
              <w:spacing w:after="0"/>
              <w:rPr>
                <w:sz w:val="17"/>
                <w:szCs w:val="17"/>
                <w:color w:val="auto"/>
              </w:rPr>
            </w:pPr>
          </w:p>
        </w:tc>
      </w:tr>
      <w:tr>
        <w:trPr>
          <w:trHeight w:val="195"/>
        </w:trPr>
        <w:tc>
          <w:tcPr>
            <w:tcW w:w="4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Technology and infrastructure</w:t>
            </w:r>
          </w:p>
        </w:tc>
        <w:tc>
          <w:tcPr>
            <w:tcW w:w="26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7,556</w:t>
            </w:r>
          </w:p>
        </w:tc>
        <w:tc>
          <w:tcPr>
            <w:tcW w:w="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120" w:type="dxa"/>
            <w:vAlign w:val="bottom"/>
            <w:gridSpan w:val="2"/>
          </w:tcPr>
          <w:p>
            <w:pPr>
              <w:jc w:val="right"/>
              <w:ind w:right="748"/>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7,556</w:t>
            </w:r>
          </w:p>
        </w:tc>
        <w:tc>
          <w:tcPr>
            <w:tcW w:w="40" w:type="dxa"/>
            <w:vAlign w:val="bottom"/>
          </w:tcPr>
          <w:p>
            <w:pPr>
              <w:spacing w:after="0"/>
              <w:rPr>
                <w:sz w:val="16"/>
                <w:szCs w:val="16"/>
                <w:color w:val="auto"/>
              </w:rPr>
            </w:pPr>
          </w:p>
        </w:tc>
      </w:tr>
      <w:tr>
        <w:trPr>
          <w:trHeight w:val="210"/>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Rent and occupancy</w:t>
            </w: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5,729</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120" w:type="dxa"/>
            <w:vAlign w:val="bottom"/>
            <w:gridSpan w:val="2"/>
            <w:shd w:val="clear" w:color="auto" w:fill="CCEEFF"/>
          </w:tcPr>
          <w:p>
            <w:pPr>
              <w:jc w:val="right"/>
              <w:ind w:right="748"/>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5,729</w:t>
            </w:r>
          </w:p>
        </w:tc>
        <w:tc>
          <w:tcPr>
            <w:tcW w:w="40" w:type="dxa"/>
            <w:vAlign w:val="bottom"/>
            <w:shd w:val="clear" w:color="auto" w:fill="CCEEFF"/>
          </w:tcPr>
          <w:p>
            <w:pPr>
              <w:spacing w:after="0"/>
              <w:rPr>
                <w:sz w:val="18"/>
                <w:szCs w:val="18"/>
                <w:color w:val="auto"/>
              </w:rPr>
            </w:pPr>
          </w:p>
        </w:tc>
      </w:tr>
      <w:tr>
        <w:trPr>
          <w:trHeight w:val="195"/>
        </w:trPr>
        <w:tc>
          <w:tcPr>
            <w:tcW w:w="4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Travel and related expenses</w:t>
            </w:r>
          </w:p>
        </w:tc>
        <w:tc>
          <w:tcPr>
            <w:tcW w:w="26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2,294</w:t>
            </w:r>
          </w:p>
        </w:tc>
        <w:tc>
          <w:tcPr>
            <w:tcW w:w="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120" w:type="dxa"/>
            <w:vAlign w:val="bottom"/>
            <w:gridSpan w:val="2"/>
          </w:tcPr>
          <w:p>
            <w:pPr>
              <w:jc w:val="right"/>
              <w:ind w:right="748"/>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2,294</w:t>
            </w:r>
          </w:p>
        </w:tc>
        <w:tc>
          <w:tcPr>
            <w:tcW w:w="40" w:type="dxa"/>
            <w:vAlign w:val="bottom"/>
          </w:tcPr>
          <w:p>
            <w:pPr>
              <w:spacing w:after="0"/>
              <w:rPr>
                <w:sz w:val="16"/>
                <w:szCs w:val="16"/>
                <w:color w:val="auto"/>
              </w:rPr>
            </w:pPr>
          </w:p>
        </w:tc>
      </w:tr>
      <w:tr>
        <w:trPr>
          <w:trHeight w:val="210"/>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General, administrative and other expenses</w:t>
            </w: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5,275</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120" w:type="dxa"/>
            <w:vAlign w:val="bottom"/>
            <w:gridSpan w:val="2"/>
            <w:shd w:val="clear" w:color="auto" w:fill="CCEEFF"/>
          </w:tcPr>
          <w:p>
            <w:pPr>
              <w:jc w:val="right"/>
              <w:ind w:right="748"/>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5,275</w:t>
            </w:r>
          </w:p>
        </w:tc>
        <w:tc>
          <w:tcPr>
            <w:tcW w:w="40" w:type="dxa"/>
            <w:vAlign w:val="bottom"/>
            <w:shd w:val="clear" w:color="auto" w:fill="CCEEFF"/>
          </w:tcPr>
          <w:p>
            <w:pPr>
              <w:spacing w:after="0"/>
              <w:rPr>
                <w:sz w:val="18"/>
                <w:szCs w:val="18"/>
                <w:color w:val="auto"/>
              </w:rPr>
            </w:pPr>
          </w:p>
        </w:tc>
      </w:tr>
      <w:tr>
        <w:trPr>
          <w:trHeight w:val="206"/>
        </w:trPr>
        <w:tc>
          <w:tcPr>
            <w:tcW w:w="4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26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2,943</w:t>
            </w: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120" w:type="dxa"/>
            <w:vAlign w:val="bottom"/>
            <w:gridSpan w:val="2"/>
          </w:tcPr>
          <w:p>
            <w:pPr>
              <w:jc w:val="right"/>
              <w:ind w:right="508"/>
              <w:spacing w:after="0"/>
              <w:rPr>
                <w:sz w:val="20"/>
                <w:szCs w:val="20"/>
                <w:color w:val="auto"/>
              </w:rPr>
            </w:pPr>
            <w:r>
              <w:rPr>
                <w:rFonts w:ascii="Times New Roman" w:cs="Times New Roman" w:eastAsia="Times New Roman" w:hAnsi="Times New Roman"/>
                <w:sz w:val="14"/>
                <w:szCs w:val="14"/>
                <w:color w:val="auto"/>
              </w:rPr>
              <w:t>(1,645) (2)</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1,298</w:t>
            </w:r>
          </w:p>
        </w:tc>
        <w:tc>
          <w:tcPr>
            <w:tcW w:w="40" w:type="dxa"/>
            <w:vAlign w:val="bottom"/>
          </w:tcPr>
          <w:p>
            <w:pPr>
              <w:spacing w:after="0"/>
              <w:rPr>
                <w:sz w:val="17"/>
                <w:szCs w:val="17"/>
                <w:color w:val="auto"/>
              </w:rPr>
            </w:pPr>
          </w:p>
        </w:tc>
      </w:tr>
      <w:tr>
        <w:trPr>
          <w:trHeight w:val="23"/>
        </w:trPr>
        <w:tc>
          <w:tcPr>
            <w:tcW w:w="49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r>
      <w:tr>
        <w:trPr>
          <w:trHeight w:val="221"/>
        </w:trPr>
        <w:tc>
          <w:tcPr>
            <w:tcW w:w="4900" w:type="dxa"/>
            <w:vAlign w:val="bottom"/>
            <w:tcBorders>
              <w:bottom w:val="single" w:sz="8" w:color="CCEEFF"/>
            </w:tcBorders>
            <w:shd w:val="clear" w:color="auto" w:fill="CCEEFF"/>
          </w:tcPr>
          <w:p>
            <w:pPr>
              <w:ind w:left="340"/>
              <w:spacing w:after="0" w:line="142" w:lineRule="exact"/>
              <w:rPr>
                <w:sz w:val="20"/>
                <w:szCs w:val="20"/>
                <w:color w:val="auto"/>
              </w:rPr>
            </w:pPr>
            <w:r>
              <w:rPr>
                <w:rFonts w:ascii="Times New Roman" w:cs="Times New Roman" w:eastAsia="Times New Roman" w:hAnsi="Times New Roman"/>
                <w:sz w:val="14"/>
                <w:szCs w:val="14"/>
                <w:b w:val="1"/>
                <w:bCs w:val="1"/>
                <w:color w:val="auto"/>
              </w:rPr>
              <w:t>Non-compensation expense</w:t>
            </w:r>
          </w:p>
        </w:tc>
        <w:tc>
          <w:tcPr>
            <w:tcW w:w="260" w:type="dxa"/>
            <w:vAlign w:val="bottom"/>
            <w:tcBorders>
              <w:bottom w:val="single" w:sz="8" w:color="CCEEFF"/>
            </w:tcBorders>
            <w:shd w:val="clear" w:color="auto" w:fill="CCEEFF"/>
          </w:tcPr>
          <w:p>
            <w:pPr>
              <w:jc w:val="right"/>
              <w:ind w:right="10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bottom w:val="single" w:sz="8" w:color="CCEEFF"/>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34,100</w:t>
            </w:r>
          </w:p>
        </w:tc>
        <w:tc>
          <w:tcPr>
            <w:tcW w:w="3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360" w:type="dxa"/>
            <w:vAlign w:val="bottom"/>
            <w:tcBorders>
              <w:bottom w:val="single" w:sz="8" w:color="CCEEFF"/>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(1,932)</w:t>
            </w:r>
          </w:p>
        </w:tc>
        <w:tc>
          <w:tcPr>
            <w:tcW w:w="7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w w:val="93"/>
              </w:rPr>
              <w:t>32,168</w:t>
            </w:r>
          </w:p>
        </w:tc>
        <w:tc>
          <w:tcPr>
            <w:tcW w:w="40" w:type="dxa"/>
            <w:vAlign w:val="bottom"/>
            <w:tcBorders>
              <w:bottom w:val="single" w:sz="8" w:color="CCEEFF"/>
            </w:tcBorders>
            <w:shd w:val="clear" w:color="auto" w:fill="CCEEFF"/>
          </w:tcPr>
          <w:p>
            <w:pPr>
              <w:spacing w:after="0"/>
              <w:rPr>
                <w:sz w:val="18"/>
                <w:szCs w:val="18"/>
                <w:color w:val="auto"/>
              </w:rPr>
            </w:pPr>
          </w:p>
        </w:tc>
      </w:tr>
      <w:tr>
        <w:trPr>
          <w:trHeight w:val="20"/>
        </w:trPr>
        <w:tc>
          <w:tcPr>
            <w:tcW w:w="49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r>
    </w:tbl>
    <w:p>
      <w:pPr>
        <w:spacing w:after="0" w:line="178" w:lineRule="exact"/>
        <w:rPr>
          <w:sz w:val="20"/>
          <w:szCs w:val="20"/>
          <w:color w:val="auto"/>
        </w:rPr>
      </w:pPr>
    </w:p>
    <w:tbl>
      <w:tblPr>
        <w:tblLayout w:type="fixed"/>
        <w:tblInd w:w="260" w:type="dxa"/>
        <w:tblCellMar>
          <w:top w:w="0" w:type="dxa"/>
          <w:left w:w="0" w:type="dxa"/>
          <w:bottom w:w="0" w:type="dxa"/>
          <w:right w:w="0" w:type="dxa"/>
        </w:tblCellMar>
      </w:tblPr>
      <w:tr>
        <w:trPr>
          <w:trHeight w:val="190"/>
        </w:trPr>
        <w:tc>
          <w:tcPr>
            <w:tcW w:w="49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680" w:type="dxa"/>
            <w:vAlign w:val="bottom"/>
            <w:gridSpan w:val="4"/>
          </w:tcPr>
          <w:p>
            <w:pPr>
              <w:ind w:left="180"/>
              <w:spacing w:after="0"/>
              <w:rPr>
                <w:sz w:val="20"/>
                <w:szCs w:val="20"/>
                <w:color w:val="auto"/>
              </w:rPr>
            </w:pPr>
            <w:r>
              <w:rPr>
                <w:rFonts w:ascii="Times New Roman" w:cs="Times New Roman" w:eastAsia="Times New Roman" w:hAnsi="Times New Roman"/>
                <w:sz w:val="14"/>
                <w:szCs w:val="14"/>
                <w:b w:val="1"/>
                <w:bCs w:val="1"/>
                <w:color w:val="auto"/>
              </w:rPr>
              <w:t>Three Months Ended March 31, 2021</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3"/>
        </w:trPr>
        <w:tc>
          <w:tcPr>
            <w:tcW w:w="49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r>
      <w:tr>
        <w:trPr>
          <w:trHeight w:val="190"/>
        </w:trPr>
        <w:tc>
          <w:tcPr>
            <w:tcW w:w="49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20" w:type="dxa"/>
            <w:vAlign w:val="bottom"/>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U.S. GAAP</w:t>
            </w:r>
          </w:p>
        </w:tc>
        <w:tc>
          <w:tcPr>
            <w:tcW w:w="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1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500" w:type="dxa"/>
            <w:vAlign w:val="bottom"/>
            <w:gridSpan w:val="3"/>
          </w:tcPr>
          <w:p>
            <w:pPr>
              <w:ind w:left="420"/>
              <w:spacing w:after="0"/>
              <w:rPr>
                <w:sz w:val="20"/>
                <w:szCs w:val="20"/>
                <w:color w:val="auto"/>
              </w:rPr>
            </w:pPr>
            <w:r>
              <w:rPr>
                <w:rFonts w:ascii="Times New Roman" w:cs="Times New Roman" w:eastAsia="Times New Roman" w:hAnsi="Times New Roman"/>
                <w:sz w:val="14"/>
                <w:szCs w:val="14"/>
                <w:b w:val="1"/>
                <w:bCs w:val="1"/>
                <w:color w:val="auto"/>
              </w:rPr>
              <w:t>Adjusted</w:t>
            </w:r>
          </w:p>
        </w:tc>
      </w:tr>
      <w:tr>
        <w:trPr>
          <w:trHeight w:val="202"/>
        </w:trPr>
        <w:tc>
          <w:tcPr>
            <w:tcW w:w="4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Professional fees</w:t>
            </w:r>
          </w:p>
        </w:tc>
        <w:tc>
          <w:tcPr>
            <w:tcW w:w="260" w:type="dxa"/>
            <w:vAlign w:val="bottom"/>
            <w:tcBorders>
              <w:top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5,728</w:t>
            </w:r>
          </w:p>
        </w:tc>
        <w:tc>
          <w:tcPr>
            <w:tcW w:w="3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Borders>
              <w:top w:val="single" w:sz="8" w:color="auto"/>
            </w:tcBorders>
            <w:shd w:val="clear" w:color="auto" w:fill="CCEEFF"/>
          </w:tcPr>
          <w:p>
            <w:pPr>
              <w:jc w:val="center"/>
              <w:ind w:left="100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5,728</w:t>
            </w:r>
          </w:p>
        </w:tc>
        <w:tc>
          <w:tcPr>
            <w:tcW w:w="40" w:type="dxa"/>
            <w:vAlign w:val="bottom"/>
            <w:tcBorders>
              <w:top w:val="single" w:sz="8" w:color="auto"/>
            </w:tcBorders>
            <w:shd w:val="clear" w:color="auto" w:fill="CCEEFF"/>
          </w:tcPr>
          <w:p>
            <w:pPr>
              <w:spacing w:after="0"/>
              <w:rPr>
                <w:sz w:val="17"/>
                <w:szCs w:val="17"/>
                <w:color w:val="auto"/>
              </w:rPr>
            </w:pPr>
          </w:p>
        </w:tc>
      </w:tr>
      <w:tr>
        <w:trPr>
          <w:trHeight w:val="195"/>
        </w:trPr>
        <w:tc>
          <w:tcPr>
            <w:tcW w:w="4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Technology and infrastructure</w:t>
            </w:r>
          </w:p>
        </w:tc>
        <w:tc>
          <w:tcPr>
            <w:tcW w:w="26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6,956</w:t>
            </w:r>
          </w:p>
        </w:tc>
        <w:tc>
          <w:tcPr>
            <w:tcW w:w="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120" w:type="dxa"/>
            <w:vAlign w:val="bottom"/>
            <w:gridSpan w:val="2"/>
          </w:tcPr>
          <w:p>
            <w:pPr>
              <w:jc w:val="center"/>
              <w:ind w:left="248"/>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6,956</w:t>
            </w:r>
          </w:p>
        </w:tc>
        <w:tc>
          <w:tcPr>
            <w:tcW w:w="40" w:type="dxa"/>
            <w:vAlign w:val="bottom"/>
          </w:tcPr>
          <w:p>
            <w:pPr>
              <w:spacing w:after="0"/>
              <w:rPr>
                <w:sz w:val="16"/>
                <w:szCs w:val="16"/>
                <w:color w:val="auto"/>
              </w:rPr>
            </w:pPr>
          </w:p>
        </w:tc>
      </w:tr>
      <w:tr>
        <w:trPr>
          <w:trHeight w:val="210"/>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Rent and occupancy</w:t>
            </w: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6,702</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120" w:type="dxa"/>
            <w:vAlign w:val="bottom"/>
            <w:gridSpan w:val="2"/>
            <w:shd w:val="clear" w:color="auto" w:fill="CCEEFF"/>
          </w:tcPr>
          <w:p>
            <w:pPr>
              <w:jc w:val="center"/>
              <w:ind w:left="248"/>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6,702</w:t>
            </w:r>
          </w:p>
        </w:tc>
        <w:tc>
          <w:tcPr>
            <w:tcW w:w="40" w:type="dxa"/>
            <w:vAlign w:val="bottom"/>
            <w:shd w:val="clear" w:color="auto" w:fill="CCEEFF"/>
          </w:tcPr>
          <w:p>
            <w:pPr>
              <w:spacing w:after="0"/>
              <w:rPr>
                <w:sz w:val="18"/>
                <w:szCs w:val="18"/>
                <w:color w:val="auto"/>
              </w:rPr>
            </w:pPr>
          </w:p>
        </w:tc>
      </w:tr>
      <w:tr>
        <w:trPr>
          <w:trHeight w:val="195"/>
        </w:trPr>
        <w:tc>
          <w:tcPr>
            <w:tcW w:w="4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Travel and related expenses</w:t>
            </w:r>
          </w:p>
        </w:tc>
        <w:tc>
          <w:tcPr>
            <w:tcW w:w="26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661</w:t>
            </w:r>
          </w:p>
        </w:tc>
        <w:tc>
          <w:tcPr>
            <w:tcW w:w="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120" w:type="dxa"/>
            <w:vAlign w:val="bottom"/>
            <w:gridSpan w:val="2"/>
          </w:tcPr>
          <w:p>
            <w:pPr>
              <w:jc w:val="center"/>
              <w:ind w:left="248"/>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661</w:t>
            </w:r>
          </w:p>
        </w:tc>
        <w:tc>
          <w:tcPr>
            <w:tcW w:w="40" w:type="dxa"/>
            <w:vAlign w:val="bottom"/>
          </w:tcPr>
          <w:p>
            <w:pPr>
              <w:spacing w:after="0"/>
              <w:rPr>
                <w:sz w:val="16"/>
                <w:szCs w:val="16"/>
                <w:color w:val="auto"/>
              </w:rPr>
            </w:pPr>
          </w:p>
        </w:tc>
      </w:tr>
      <w:tr>
        <w:trPr>
          <w:trHeight w:val="210"/>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General, administrative and other expenses</w:t>
            </w: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2,204</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120" w:type="dxa"/>
            <w:vAlign w:val="bottom"/>
            <w:gridSpan w:val="2"/>
            <w:shd w:val="clear" w:color="auto" w:fill="CCEEFF"/>
          </w:tcPr>
          <w:p>
            <w:pPr>
              <w:jc w:val="center"/>
              <w:ind w:left="248"/>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2,204</w:t>
            </w:r>
          </w:p>
        </w:tc>
        <w:tc>
          <w:tcPr>
            <w:tcW w:w="40" w:type="dxa"/>
            <w:vAlign w:val="bottom"/>
            <w:shd w:val="clear" w:color="auto" w:fill="CCEEFF"/>
          </w:tcPr>
          <w:p>
            <w:pPr>
              <w:spacing w:after="0"/>
              <w:rPr>
                <w:sz w:val="18"/>
                <w:szCs w:val="18"/>
                <w:color w:val="auto"/>
              </w:rPr>
            </w:pPr>
          </w:p>
        </w:tc>
      </w:tr>
      <w:tr>
        <w:trPr>
          <w:trHeight w:val="196"/>
        </w:trPr>
        <w:tc>
          <w:tcPr>
            <w:tcW w:w="4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26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3,880</w:t>
            </w: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120" w:type="dxa"/>
            <w:vAlign w:val="bottom"/>
            <w:gridSpan w:val="2"/>
          </w:tcPr>
          <w:p>
            <w:pPr>
              <w:jc w:val="center"/>
              <w:ind w:left="248"/>
              <w:spacing w:after="0"/>
              <w:rPr>
                <w:sz w:val="20"/>
                <w:szCs w:val="20"/>
                <w:color w:val="auto"/>
              </w:rPr>
            </w:pPr>
            <w:r>
              <w:rPr>
                <w:rFonts w:ascii="Times New Roman" w:cs="Times New Roman" w:eastAsia="Times New Roman" w:hAnsi="Times New Roman"/>
                <w:sz w:val="14"/>
                <w:szCs w:val="14"/>
                <w:color w:val="auto"/>
              </w:rPr>
              <w:t>(1,645) (2)</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2,235</w:t>
            </w:r>
          </w:p>
        </w:tc>
        <w:tc>
          <w:tcPr>
            <w:tcW w:w="40" w:type="dxa"/>
            <w:vAlign w:val="bottom"/>
          </w:tcPr>
          <w:p>
            <w:pPr>
              <w:spacing w:after="0"/>
              <w:rPr>
                <w:sz w:val="17"/>
                <w:szCs w:val="17"/>
                <w:color w:val="auto"/>
              </w:rPr>
            </w:pPr>
          </w:p>
        </w:tc>
      </w:tr>
      <w:tr>
        <w:trPr>
          <w:trHeight w:val="228"/>
        </w:trPr>
        <w:tc>
          <w:tcPr>
            <w:tcW w:w="4900" w:type="dxa"/>
            <w:vAlign w:val="bottom"/>
            <w:tcBorders>
              <w:top w:val="single" w:sz="8" w:color="CCEEFF"/>
              <w:bottom w:val="single" w:sz="8" w:color="CCEEFF"/>
            </w:tcBorders>
            <w:shd w:val="clear" w:color="auto" w:fill="CCEEFF"/>
          </w:tcPr>
          <w:p>
            <w:pPr>
              <w:ind w:left="340"/>
              <w:spacing w:after="0" w:line="142" w:lineRule="exact"/>
              <w:rPr>
                <w:sz w:val="20"/>
                <w:szCs w:val="20"/>
                <w:color w:val="auto"/>
              </w:rPr>
            </w:pPr>
            <w:r>
              <w:rPr>
                <w:rFonts w:ascii="Times New Roman" w:cs="Times New Roman" w:eastAsia="Times New Roman" w:hAnsi="Times New Roman"/>
                <w:sz w:val="14"/>
                <w:szCs w:val="14"/>
                <w:b w:val="1"/>
                <w:bCs w:val="1"/>
                <w:color w:val="auto"/>
              </w:rPr>
              <w:t>Non-compensation expense</w:t>
            </w:r>
          </w:p>
        </w:tc>
        <w:tc>
          <w:tcPr>
            <w:tcW w:w="260" w:type="dxa"/>
            <w:vAlign w:val="bottom"/>
            <w:tcBorders>
              <w:top w:val="single" w:sz="8" w:color="auto"/>
              <w:bottom w:val="single" w:sz="8" w:color="auto"/>
            </w:tcBorders>
            <w:shd w:val="clear" w:color="auto" w:fill="CCEEFF"/>
          </w:tcPr>
          <w:p>
            <w:pPr>
              <w:jc w:val="right"/>
              <w:ind w:right="10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26,131</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3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(1,645)</w:t>
            </w:r>
          </w:p>
        </w:tc>
        <w:tc>
          <w:tcPr>
            <w:tcW w:w="76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top w:val="single" w:sz="8" w:color="auto"/>
              <w:bottom w:val="single" w:sz="8" w:color="auto"/>
            </w:tcBorders>
            <w:shd w:val="clear" w:color="auto" w:fill="CCEEFF"/>
          </w:tcPr>
          <w:p>
            <w:pPr>
              <w:spacing w:after="0"/>
              <w:rPr>
                <w:sz w:val="19"/>
                <w:szCs w:val="19"/>
                <w:color w:val="auto"/>
              </w:rPr>
            </w:pPr>
          </w:p>
        </w:tc>
        <w:tc>
          <w:tcPr>
            <w:tcW w:w="4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w w:val="93"/>
              </w:rPr>
              <w:t>24,486</w:t>
            </w:r>
          </w:p>
        </w:tc>
        <w:tc>
          <w:tcPr>
            <w:tcW w:w="40" w:type="dxa"/>
            <w:vAlign w:val="bottom"/>
            <w:tcBorders>
              <w:top w:val="single" w:sz="8" w:color="auto"/>
              <w:bottom w:val="single" w:sz="8" w:color="auto"/>
            </w:tcBorders>
            <w:shd w:val="clear" w:color="auto" w:fill="CCEEFF"/>
          </w:tcPr>
          <w:p>
            <w:pPr>
              <w:spacing w:after="0"/>
              <w:rPr>
                <w:sz w:val="19"/>
                <w:szCs w:val="19"/>
                <w:color w:val="auto"/>
              </w:rPr>
            </w:pPr>
          </w:p>
        </w:tc>
      </w:tr>
      <w:tr>
        <w:trPr>
          <w:trHeight w:val="20"/>
        </w:trPr>
        <w:tc>
          <w:tcPr>
            <w:tcW w:w="49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99" w:lineRule="exact"/>
        <w:rPr>
          <w:sz w:val="20"/>
          <w:szCs w:val="20"/>
          <w:color w:val="auto"/>
        </w:rPr>
      </w:pPr>
    </w:p>
    <w:p>
      <w:pPr>
        <w:ind w:left="400" w:hanging="226"/>
        <w:spacing w:after="0"/>
        <w:tabs>
          <w:tab w:leader="none" w:pos="400" w:val="left"/>
        </w:tabs>
        <w:numPr>
          <w:ilvl w:val="1"/>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Reflects an adjustment to exclude transaction costs associated with the Business Combination.</w:t>
      </w:r>
    </w:p>
    <w:p>
      <w:pPr>
        <w:spacing w:after="0" w:line="221" w:lineRule="exact"/>
        <w:rPr>
          <w:rFonts w:ascii="Times New Roman" w:cs="Times New Roman" w:eastAsia="Times New Roman" w:hAnsi="Times New Roman"/>
          <w:sz w:val="16"/>
          <w:szCs w:val="16"/>
          <w:color w:val="auto"/>
        </w:rPr>
      </w:pPr>
    </w:p>
    <w:p>
      <w:pPr>
        <w:ind w:left="400" w:hanging="226"/>
        <w:spacing w:after="0"/>
        <w:tabs>
          <w:tab w:leader="none" w:pos="400" w:val="left"/>
        </w:tabs>
        <w:numPr>
          <w:ilvl w:val="1"/>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Reflects an adjustment to exclude the amortization of intangible assets related to the TPH business combination.</w:t>
      </w:r>
    </w:p>
    <w:p>
      <w:pPr>
        <w:spacing w:after="0" w:line="200" w:lineRule="exact"/>
        <w:rPr>
          <w:rFonts w:ascii="Times New Roman" w:cs="Times New Roman" w:eastAsia="Times New Roman" w:hAnsi="Times New Roman"/>
          <w:sz w:val="16"/>
          <w:szCs w:val="16"/>
          <w:color w:val="auto"/>
        </w:rPr>
      </w:pPr>
    </w:p>
    <w:p>
      <w:pPr>
        <w:spacing w:after="0" w:line="200" w:lineRule="exact"/>
        <w:rPr>
          <w:rFonts w:ascii="Times New Roman" w:cs="Times New Roman" w:eastAsia="Times New Roman" w:hAnsi="Times New Roman"/>
          <w:sz w:val="16"/>
          <w:szCs w:val="16"/>
          <w:color w:val="auto"/>
        </w:rPr>
      </w:pPr>
    </w:p>
    <w:p>
      <w:pPr>
        <w:spacing w:after="0" w:line="290" w:lineRule="exact"/>
        <w:rPr>
          <w:rFonts w:ascii="Times New Roman" w:cs="Times New Roman" w:eastAsia="Times New Roman" w:hAnsi="Times New Roman"/>
          <w:sz w:val="16"/>
          <w:szCs w:val="16"/>
          <w:color w:val="auto"/>
        </w:rPr>
      </w:pPr>
    </w:p>
    <w:p>
      <w:pPr>
        <w:spacing w:after="0" w:line="280" w:lineRule="auto"/>
        <w:rPr>
          <w:rFonts w:ascii="Times New Roman" w:cs="Times New Roman" w:eastAsia="Times New Roman" w:hAnsi="Times New Roman"/>
          <w:sz w:val="16"/>
          <w:szCs w:val="16"/>
          <w:color w:val="auto"/>
        </w:rPr>
      </w:pPr>
      <w:r>
        <w:rPr>
          <w:rFonts w:ascii="Times New Roman" w:cs="Times New Roman" w:eastAsia="Times New Roman" w:hAnsi="Times New Roman"/>
          <w:sz w:val="15"/>
          <w:szCs w:val="15"/>
          <w:color w:val="auto"/>
        </w:rPr>
        <w:t>* Throughout this release, adjusted figures represent Non-GAAP information. See “Non-GAAP Financial Measures” and the tables at the end of this release for an explanation of the adjustments and reconciliations to the comparable GAAP numbers.</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sectPr>
      <w:pgSz w:w="11900" w:h="16838" w:orient="portrait"/>
      <w:cols w:equalWidth="0" w:num="1">
        <w:col w:w="11240"/>
      </w:cols>
      <w:pgMar w:left="320" w:top="142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abstractNum>
  <w:abstractNum w:abstractNumId="1">
    <w:nsid w:val="216231B"/>
    <w:multiLevelType w:val="hybridMultilevel"/>
    <w:lvl w:ilvl="0">
      <w:lvlJc w:val="left"/>
      <w:lvlText w:val="•"/>
      <w:numFmt w:val="bullet"/>
      <w:start w:val="1"/>
    </w:lvl>
  </w:abstractNum>
  <w:abstractNum w:abstractNumId="2">
    <w:nsid w:val="1F16E9E8"/>
    <w:multiLevelType w:val="hybridMultilevel"/>
    <w:lvl w:ilvl="0">
      <w:lvlJc w:val="left"/>
      <w:lvlText w:val="*"/>
      <w:numFmt w:val="bullet"/>
      <w:start w:val="1"/>
    </w:lvl>
  </w:abstractNum>
  <w:abstractNum w:abstractNumId="3">
    <w:nsid w:val="1190CDE7"/>
    <w:multiLevelType w:val="hybridMultilevel"/>
    <w:lvl w:ilvl="0">
      <w:lvlJc w:val="left"/>
      <w:lvlText w:val="(%1)"/>
      <w:numFmt w:val="decimal"/>
      <w:start w:val="1"/>
    </w:lvl>
  </w:abstractNum>
  <w:abstractNum w:abstractNumId="4">
    <w:nsid w:val="66EF438D"/>
    <w:multiLevelType w:val="hybridMultilevel"/>
    <w:lvl w:ilvl="0">
      <w:lvlJc w:val="left"/>
      <w:lvlText w:val="*"/>
      <w:numFmt w:val="bullet"/>
      <w:start w:val="1"/>
    </w:lvl>
  </w:abstractNum>
  <w:abstractNum w:abstractNumId="5">
    <w:nsid w:val="140E0F76"/>
    <w:multiLevelType w:val="hybridMultilevel"/>
    <w:lvl w:ilvl="0">
      <w:lvlJc w:val="left"/>
      <w:lvlText w:val="*"/>
      <w:numFmt w:val="bullet"/>
      <w:start w:val="1"/>
    </w:lvl>
  </w:abstractNum>
  <w:abstractNum w:abstractNumId="6">
    <w:nsid w:val="3352255A"/>
    <w:multiLevelType w:val="hybridMultilevel"/>
    <w:lvl w:ilvl="0">
      <w:lvlJc w:val="left"/>
      <w:lvlText w:val="•"/>
      <w:numFmt w:val="bullet"/>
      <w:start w:val="1"/>
    </w:lvl>
  </w:abstractNum>
  <w:abstractNum w:abstractNumId="7">
    <w:nsid w:val="109CF92E"/>
    <w:multiLevelType w:val="hybridMultilevel"/>
    <w:lvl w:ilvl="0">
      <w:lvlJc w:val="left"/>
      <w:lvlText w:val="(%1)"/>
      <w:numFmt w:val="decimal"/>
      <w:start w:val="844"/>
    </w:lvl>
  </w:abstractNum>
  <w:abstractNum w:abstractNumId="8">
    <w:nsid w:val="DED7263"/>
    <w:multiLevelType w:val="hybridMultilevel"/>
    <w:lvl w:ilvl="0">
      <w:lvlJc w:val="left"/>
      <w:lvlText w:val="*"/>
      <w:numFmt w:val="bullet"/>
      <w:start w:val="1"/>
    </w:lvl>
  </w:abstractNum>
  <w:abstractNum w:abstractNumId="9">
    <w:nsid w:val="7FDCC233"/>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10">
    <w:nsid w:val="1BEFD79F"/>
    <w:multiLevelType w:val="hybridMultilevel"/>
    <w:lvl w:ilvl="0">
      <w:lvlJc w:val="left"/>
      <w:lvlText w:val="•"/>
      <w:numFmt w:val="bullet"/>
      <w:start w:val="1"/>
    </w:lvl>
  </w:abstractNum>
  <w:abstractNum w:abstractNumId="11">
    <w:nsid w:val="41A7C4C9"/>
    <w:multiLevelType w:val="hybridMultilevel"/>
    <w:lvl w:ilvl="0">
      <w:lvlJc w:val="left"/>
      <w:lvlText w:val="*"/>
      <w:numFmt w:val="bullet"/>
      <w:start w:val="1"/>
    </w:lvl>
  </w:abstractNum>
  <w:abstractNum w:abstractNumId="12">
    <w:nsid w:val="6B68079A"/>
    <w:multiLevelType w:val="hybridMultilevel"/>
    <w:lvl w:ilvl="0">
      <w:lvlJc w:val="left"/>
      <w:lvlText w:val="(%1)"/>
      <w:numFmt w:val="decimal"/>
      <w:start w:val="1"/>
    </w:lvl>
  </w:abstractNum>
  <w:abstractNum w:abstractNumId="13">
    <w:nsid w:val="4E6AFB66"/>
    <w:multiLevelType w:val="hybridMultilevel"/>
    <w:lvl w:ilvl="0">
      <w:lvlJc w:val="left"/>
      <w:lvlText w:val="*"/>
      <w:numFmt w:val="bullet"/>
      <w:start w:val="1"/>
    </w:lvl>
  </w:abstractNum>
  <w:abstractNum w:abstractNumId="14">
    <w:nsid w:val="25E45D32"/>
    <w:multiLevelType w:val="hybridMultilevel"/>
    <w:lvl w:ilvl="0">
      <w:lvlJc w:val="left"/>
      <w:lvlText w:val="$"/>
      <w:numFmt w:val="bullet"/>
      <w:start w:val="1"/>
    </w:lvl>
  </w:abstractNum>
  <w:abstractNum w:abstractNumId="15">
    <w:nsid w:val="519B500D"/>
    <w:multiLevelType w:val="hybridMultilevel"/>
    <w:lvl w:ilvl="0">
      <w:lvlJc w:val="left"/>
      <w:lvlText w:val="*"/>
      <w:numFmt w:val="bullet"/>
      <w:start w:val="1"/>
    </w:lvl>
  </w:abstractNum>
  <w:abstractNum w:abstractNumId="16">
    <w:nsid w:val="431BD7B7"/>
    <w:multiLevelType w:val="hybridMultilevel"/>
    <w:lvl w:ilvl="0">
      <w:lvlJc w:val="left"/>
      <w:lvlText w:val="(%1)"/>
      <w:numFmt w:val="decimal"/>
      <w:start w:val="1"/>
    </w:lvl>
  </w:abstractNum>
  <w:abstractNum w:abstractNumId="17">
    <w:nsid w:val="3F2DBA31"/>
    <w:multiLevelType w:val="hybridMultilevel"/>
    <w:lvl w:ilvl="0">
      <w:lvlJc w:val="left"/>
      <w:lvlText w:val="*"/>
      <w:numFmt w:val="bullet"/>
      <w:start w:val="1"/>
    </w:lvl>
  </w:abstractNum>
  <w:abstractNum w:abstractNumId="18">
    <w:nsid w:val="7C83E458"/>
    <w:multiLevelType w:val="hybridMultilevel"/>
    <w:lvl w:ilvl="0">
      <w:lvlJc w:val="left"/>
      <w:lvlText w:val="*"/>
      <w:numFmt w:val="bullet"/>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2022-05-05T07:38:39Z</dcterms:created>
  <dcterms:modified xsi:type="dcterms:W3CDTF">2022-05-05T07:38:39Z</dcterms:modified>
</cp:coreProperties>
</file>