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60" w:after="283"/>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24, 2023</w:t>
      </w:r>
    </w:p>
    <w:p>
      <w:pPr>
        <w:pStyle w:val="TextBody"/>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001-39558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PERELLA WEINBERG PARTNERS</w:t>
      </w:r>
    </w:p>
    <w:p>
      <w:pPr>
        <w:pStyle w:val="TextBody"/>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p>
    <w:tbl>
      <w:tblPr>
        <w:tblW w:w="6030" w:type="dxa"/>
        <w:jc w:val="left"/>
        <w:tblInd w:w="0" w:type="dxa"/>
        <w:tblLayout w:type="fixed"/>
        <w:tblCellMar>
          <w:top w:w="28" w:type="dxa"/>
          <w:left w:w="28" w:type="dxa"/>
          <w:bottom w:w="28" w:type="dxa"/>
          <w:right w:w="28" w:type="dxa"/>
        </w:tblCellMar>
      </w:tblPr>
      <w:tblGrid>
        <w:gridCol w:w="1365"/>
        <w:gridCol w:w="1200"/>
        <w:gridCol w:w="1215"/>
        <w:gridCol w:w="657"/>
        <w:gridCol w:w="657"/>
        <w:gridCol w:w="936"/>
      </w:tblGrid>
      <w:tr>
        <w:trPr/>
        <w:tc>
          <w:tcPr>
            <w:tcW w:w="13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84-1770732</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State or other jurisdiction of incorporation or organization)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767 Fifth Avenue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225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10153</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before="60" w:after="283"/>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(212) 287-3200</w:t>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33" w:before="0" w:after="6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p>
      <w:pPr>
        <w:pStyle w:val="TextBody"/>
        <w:bidi w:val="0"/>
        <w:spacing w:before="0" w:after="0"/>
        <w:jc w:val="center"/>
        <w:rPr/>
      </w:pPr>
      <w:r>
        <w:rPr/>
      </w:r>
    </w:p>
    <w:tbl>
      <w:tblPr>
        <w:tblW w:w="9592" w:type="dxa"/>
        <w:jc w:val="left"/>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$0.0001 per share</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PWP </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33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770"/>
        <w:gridCol w:w="770"/>
        <w:gridCol w:w="77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2023 Annual Meeting of Stockholders (the “Annual Meeting”) held on May 24, 2023, the stockholders of Perella Weinberg Partners (the “Company”) voted on the matters described below.</w:t>
      </w:r>
    </w:p>
    <w:p>
      <w:pPr>
        <w:pStyle w:val="TextBody"/>
        <w:bidi w:val="0"/>
        <w:spacing w:before="0" w:after="0"/>
        <w:jc w:val="left"/>
        <w:rPr/>
      </w:pPr>
      <w:r>
        <w:rPr/>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Company’s stockholders elected four Class II directors, each of whom will hold office until the 2026 annual meeting of stockholders, and until his or her respective successor has been duly elected and qualified, based on the following votes:</w:t>
      </w:r>
    </w:p>
    <w:tbl>
      <w:tblPr>
        <w:tblW w:w="6906" w:type="dxa"/>
        <w:jc w:val="center"/>
        <w:tblInd w:w="0" w:type="dxa"/>
        <w:tblLayout w:type="fixed"/>
        <w:tblCellMar>
          <w:top w:w="28" w:type="dxa"/>
          <w:left w:w="28" w:type="dxa"/>
          <w:bottom w:w="28" w:type="dxa"/>
          <w:right w:w="28" w:type="dxa"/>
        </w:tblCellMar>
      </w:tblPr>
      <w:tblGrid>
        <w:gridCol w:w="619"/>
        <w:gridCol w:w="544"/>
        <w:gridCol w:w="546"/>
        <w:gridCol w:w="379"/>
        <w:gridCol w:w="379"/>
        <w:gridCol w:w="383"/>
        <w:gridCol w:w="109"/>
        <w:gridCol w:w="109"/>
        <w:gridCol w:w="109"/>
        <w:gridCol w:w="370"/>
        <w:gridCol w:w="370"/>
        <w:gridCol w:w="371"/>
        <w:gridCol w:w="109"/>
        <w:gridCol w:w="109"/>
        <w:gridCol w:w="109"/>
        <w:gridCol w:w="639"/>
        <w:gridCol w:w="639"/>
        <w:gridCol w:w="641"/>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 NON-VOTE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Bednar</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433,870,097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13,650,594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5,722,741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K. Steel</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426,423,653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21,097,038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5,722,741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Jorma Ollila</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426,796,805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20,723,886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5,722,741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W. Mugford</w:t>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433,895,320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13,625,371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5,722,741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2. The Company’s stockholders ratified the appointment of Ernst &amp; Young, LLP as the Company’s independent registered public accounting firm for the fiscal year ending December 31, 2023, based on the following votes:</w:t>
      </w:r>
    </w:p>
    <w:tbl>
      <w:tblPr>
        <w:tblW w:w="3717" w:type="dxa"/>
        <w:jc w:val="center"/>
        <w:tblInd w:w="0" w:type="dxa"/>
        <w:tblLayout w:type="fixed"/>
        <w:tblCellMar>
          <w:top w:w="28" w:type="dxa"/>
          <w:left w:w="28" w:type="dxa"/>
          <w:bottom w:w="28" w:type="dxa"/>
          <w:right w:w="28" w:type="dxa"/>
        </w:tblCellMar>
      </w:tblPr>
      <w:tblGrid>
        <w:gridCol w:w="417"/>
        <w:gridCol w:w="368"/>
        <w:gridCol w:w="371"/>
        <w:gridCol w:w="109"/>
        <w:gridCol w:w="109"/>
        <w:gridCol w:w="109"/>
        <w:gridCol w:w="310"/>
        <w:gridCol w:w="310"/>
        <w:gridCol w:w="311"/>
        <w:gridCol w:w="109"/>
        <w:gridCol w:w="109"/>
        <w:gridCol w:w="109"/>
        <w:gridCol w:w="285"/>
        <w:gridCol w:w="285"/>
        <w:gridCol w:w="406"/>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ABSTAIN</w:t>
            </w:r>
          </w:p>
        </w:tc>
      </w:tr>
      <w:tr>
        <w:trPr/>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452,986,435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816</w:t>
            </w:r>
          </w:p>
        </w:tc>
      </w:tr>
    </w:tbl>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333"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100"/>
        <w:jc w:val="left"/>
        <w:rPr>
          <w:color w:val="000000"/>
        </w:rPr>
      </w:pPr>
      <w:r>
        <w:rPr>
          <w:color w:val="000000"/>
        </w:rPr>
        <w:t> </w:t>
      </w:r>
    </w:p>
    <w:tbl>
      <w:tblPr>
        <w:tblW w:w="5612"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482"/>
        <w:gridCol w:w="482"/>
        <w:gridCol w:w="482"/>
        <w:gridCol w:w="611"/>
        <w:gridCol w:w="611"/>
        <w:gridCol w:w="87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Barancik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Gary Barancik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Date: </w:t>
            </w:r>
            <w:r>
              <w:rPr>
                <w:rFonts w:ascii="Times New Roman;sans-serif" w:hAnsi="Times New Roman;sans-serif"/>
                <w:b w:val="false"/>
                <w:color w:val="000000"/>
                <w:sz w:val="20"/>
                <w:shd w:fill="FFFFFF" w:val="clear"/>
              </w:rPr>
              <w:t>May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504</Words>
  <Characters>2810</Characters>
  <CharactersWithSpaces>3254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