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6995160" cy="5278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27875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Weinberg Peter A</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FIFTH AVENUE</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Perella Weinberg Partners</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PWP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11/30/2024</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1253"/>
        <w:spacing w:after="0"/>
        <w:rPr>
          <w:sz w:val="20"/>
          <w:szCs w:val="20"/>
          <w:color w:val="auto"/>
        </w:rPr>
      </w:pPr>
      <w:r>
        <w:rPr>
          <w:rFonts w:ascii="Times New Roman" w:cs="Times New Roman" w:eastAsia="Times New Roman" w:hAnsi="Times New Roman"/>
          <w:sz w:val="17"/>
          <w:szCs w:val="17"/>
          <w:color w:val="0000FF"/>
        </w:rPr>
        <w:t>Chairman</w:t>
      </w:r>
    </w:p>
    <w:p>
      <w:pPr>
        <w:spacing w:after="0" w:line="276" w:lineRule="exact"/>
        <w:rPr>
          <w:sz w:val="24"/>
          <w:szCs w:val="24"/>
          <w:color w:val="auto"/>
        </w:rPr>
      </w:pPr>
    </w:p>
    <w:p>
      <w:pPr>
        <w:sectPr>
          <w:pgSz w:w="11900" w:h="16838" w:orient="portrait"/>
          <w:cols w:equalWidth="0" w:num="3">
            <w:col w:w="3180" w:space="720"/>
            <w:col w:w="3107" w:space="720"/>
            <w:col w:w="3353"/>
          </w:cols>
          <w:pgMar w:left="460" w:top="216"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50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240" w:type="dxa"/>
            <w:vAlign w:val="bottom"/>
            <w:shd w:val="clear" w:color="auto" w:fill="9A9A9A"/>
          </w:tcPr>
          <w:p>
            <w:pPr>
              <w:spacing w:after="0"/>
              <w:rPr>
                <w:sz w:val="3"/>
                <w:szCs w:val="3"/>
                <w:color w:val="auto"/>
              </w:rPr>
            </w:pPr>
          </w:p>
        </w:tc>
        <w:tc>
          <w:tcPr>
            <w:tcW w:w="374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740" w:type="dxa"/>
            <w:vAlign w:val="bottom"/>
            <w:gridSpan w:val="7"/>
            <w:vMerge w:val="continue"/>
          </w:tcPr>
          <w:p>
            <w:pPr>
              <w:spacing w:after="0"/>
              <w:rPr>
                <w:sz w:val="9"/>
                <w:szCs w:val="9"/>
                <w:color w:val="auto"/>
              </w:rPr>
            </w:pPr>
          </w:p>
        </w:tc>
        <w:tc>
          <w:tcPr>
            <w:tcW w:w="360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0000FF"/>
              </w:rPr>
              <w:t>NY</w:t>
            </w:r>
          </w:p>
        </w:tc>
        <w:tc>
          <w:tcPr>
            <w:tcW w:w="880" w:type="dxa"/>
            <w:vAlign w:val="bottom"/>
          </w:tcPr>
          <w:p>
            <w:pPr>
              <w:spacing w:after="0"/>
              <w:rPr>
                <w:sz w:val="18"/>
                <w:szCs w:val="18"/>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10153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500" w:type="dxa"/>
            <w:vAlign w:val="bottom"/>
            <w:tcBorders>
              <w:top w:val="single" w:sz="8" w:color="EEEEEE"/>
            </w:tcBorders>
          </w:tcPr>
          <w:p>
            <w:pPr>
              <w:spacing w:after="0"/>
              <w:rPr>
                <w:sz w:val="15"/>
                <w:szCs w:val="15"/>
                <w:color w:val="auto"/>
              </w:rPr>
            </w:pPr>
          </w:p>
        </w:tc>
        <w:tc>
          <w:tcPr>
            <w:tcW w:w="116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24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800" w:type="dxa"/>
            <w:vAlign w:val="bottom"/>
            <w:tcBorders>
              <w:bottom w:val="single" w:sz="8" w:color="2C2C2C"/>
            </w:tcBorders>
            <w:gridSpan w:val="6"/>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3"/>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4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8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8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0000FF"/>
              </w:rPr>
              <w:t>11/30/2024</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20"/>
              <w:spacing w:after="0"/>
              <w:rPr>
                <w:sz w:val="20"/>
                <w:szCs w:val="20"/>
                <w:color w:val="auto"/>
              </w:rPr>
            </w:pPr>
            <w:r>
              <w:rPr>
                <w:rFonts w:ascii="Times New Roman" w:cs="Times New Roman" w:eastAsia="Times New Roman" w:hAnsi="Times New Roman"/>
                <w:sz w:val="17"/>
                <w:szCs w:val="17"/>
                <w:color w:val="0000FF"/>
                <w:w w:val="98"/>
              </w:rPr>
              <w:t>51,686</w:t>
            </w: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2"/>
                <w:szCs w:val="22"/>
                <w:color w:val="auto"/>
              </w:rPr>
            </w:pPr>
          </w:p>
        </w:tc>
        <w:tc>
          <w:tcPr>
            <w:tcW w:w="1280" w:type="dxa"/>
            <w:vAlign w:val="bottom"/>
            <w:gridSpan w:val="3"/>
          </w:tcPr>
          <w:p>
            <w:pPr>
              <w:jc w:val="right"/>
              <w:ind w:right="242"/>
              <w:spacing w:after="0"/>
              <w:rPr>
                <w:sz w:val="20"/>
                <w:szCs w:val="20"/>
                <w:color w:val="auto"/>
              </w:rPr>
            </w:pPr>
            <w:r>
              <w:rPr>
                <w:rFonts w:ascii="Times New Roman" w:cs="Times New Roman" w:eastAsia="Times New Roman" w:hAnsi="Times New Roman"/>
                <w:sz w:val="17"/>
                <w:szCs w:val="17"/>
                <w:color w:val="0000FF"/>
              </w:rPr>
              <w:t>2,018,495</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gridSpan w:val="3"/>
            <w:vMerge w:val="restart"/>
          </w:tcPr>
          <w:p>
            <w:pPr>
              <w:jc w:val="right"/>
              <w:ind w:right="302"/>
              <w:spacing w:after="0"/>
              <w:rPr>
                <w:sz w:val="20"/>
                <w:szCs w:val="20"/>
                <w:color w:val="auto"/>
              </w:rPr>
            </w:pPr>
            <w:r>
              <w:rPr>
                <w:rFonts w:ascii="Times New Roman" w:cs="Times New Roman" w:eastAsia="Times New Roman" w:hAnsi="Times New Roman"/>
                <w:sz w:val="17"/>
                <w:szCs w:val="17"/>
                <w:color w:val="0000FF"/>
              </w:rPr>
              <w:t>842,621</w:t>
            </w:r>
          </w:p>
        </w:tc>
        <w:tc>
          <w:tcPr>
            <w:tcW w:w="280" w:type="dxa"/>
            <w:vAlign w:val="bottom"/>
          </w:tcPr>
          <w:p>
            <w:pPr>
              <w:spacing w:after="0"/>
              <w:rPr>
                <w:sz w:val="17"/>
                <w:szCs w:val="17"/>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Hook</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gridSpan w:val="5"/>
            <w:vMerge w:val="continue"/>
          </w:tcPr>
          <w:p>
            <w:pPr>
              <w:spacing w:after="0"/>
              <w:rPr>
                <w:sz w:val="9"/>
                <w:szCs w:val="9"/>
                <w:color w:val="auto"/>
              </w:rPr>
            </w:pPr>
          </w:p>
        </w:tc>
        <w:tc>
          <w:tcPr>
            <w:tcW w:w="1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3"/>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68" w:lineRule="exact"/>
              <w:rPr>
                <w:sz w:val="20"/>
                <w:szCs w:val="20"/>
                <w:color w:val="auto"/>
              </w:rPr>
            </w:pPr>
            <w:r>
              <w:rPr>
                <w:rFonts w:ascii="Times New Roman" w:cs="Times New Roman" w:eastAsia="Times New Roman" w:hAnsi="Times New Roman"/>
                <w:sz w:val="31"/>
                <w:szCs w:val="31"/>
                <w:color w:val="0000FF"/>
                <w:vertAlign w:val="subscript"/>
              </w:rPr>
              <w:t>LLC</w:t>
            </w:r>
            <w:r>
              <w:rPr>
                <w:rFonts w:ascii="Times New Roman" w:cs="Times New Roman" w:eastAsia="Times New Roman" w:hAnsi="Times New Roman"/>
                <w:sz w:val="10"/>
                <w:szCs w:val="10"/>
                <w:color w:val="008000"/>
              </w:rPr>
              <w:t>(1)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40" w:type="dxa"/>
            <w:vAlign w:val="bottom"/>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8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240" w:type="dxa"/>
            <w:vAlign w:val="bottom"/>
          </w:tcPr>
          <w:p>
            <w:pPr>
              <w:ind w:left="24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240" w:type="dxa"/>
            <w:vAlign w:val="bottom"/>
          </w:tcPr>
          <w:p>
            <w:pPr>
              <w:ind w:left="24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2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  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ind w:left="2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(3)(4)</w:t>
            </w:r>
          </w:p>
        </w:tc>
        <w:tc>
          <w:tcPr>
            <w:tcW w:w="700" w:type="dxa"/>
            <w:vAlign w:val="bottom"/>
            <w:vMerge w:val="restart"/>
          </w:tcPr>
          <w:p>
            <w:pPr>
              <w:ind w:left="200"/>
              <w:spacing w:after="0"/>
              <w:rPr>
                <w:sz w:val="20"/>
                <w:szCs w:val="20"/>
                <w:color w:val="auto"/>
              </w:rPr>
            </w:pPr>
            <w:r>
              <w:rPr>
                <w:rFonts w:ascii="Times New Roman" w:cs="Times New Roman" w:eastAsia="Times New Roman" w:hAnsi="Times New Roman"/>
                <w:sz w:val="11"/>
                <w:szCs w:val="11"/>
                <w:color w:val="008000"/>
              </w:rPr>
              <w:t>(3)(4)</w:t>
            </w: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51,686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2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Based Stock</w:t>
            </w:r>
          </w:p>
        </w:tc>
        <w:tc>
          <w:tcPr>
            <w:tcW w:w="5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rPr>
              <w:t>11/30/2024</w:t>
            </w:r>
          </w:p>
        </w:tc>
        <w:tc>
          <w:tcPr>
            <w:tcW w:w="1240" w:type="dxa"/>
            <w:vAlign w:val="bottom"/>
          </w:tcPr>
          <w:p>
            <w:pPr>
              <w:spacing w:after="0"/>
              <w:rPr>
                <w:sz w:val="12"/>
                <w:szCs w:val="12"/>
                <w:color w:val="auto"/>
              </w:rPr>
            </w:pPr>
          </w:p>
        </w:tc>
        <w:tc>
          <w:tcPr>
            <w:tcW w:w="6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ind w:left="380"/>
              <w:spacing w:after="0" w:line="141" w:lineRule="exact"/>
              <w:rPr>
                <w:sz w:val="20"/>
                <w:szCs w:val="20"/>
                <w:color w:val="auto"/>
              </w:rPr>
            </w:pPr>
            <w:r>
              <w:rPr>
                <w:rFonts w:ascii="Times New Roman" w:cs="Times New Roman" w:eastAsia="Times New Roman" w:hAnsi="Times New Roman"/>
                <w:sz w:val="13"/>
                <w:szCs w:val="13"/>
                <w:color w:val="0000FF"/>
              </w:rPr>
              <w:t>51,686</w:t>
            </w:r>
          </w:p>
        </w:tc>
        <w:tc>
          <w:tcPr>
            <w:tcW w:w="7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60"/>
              <w:spacing w:after="0" w:line="141" w:lineRule="exact"/>
              <w:rPr>
                <w:sz w:val="20"/>
                <w:szCs w:val="20"/>
                <w:color w:val="auto"/>
              </w:rPr>
            </w:pPr>
            <w:r>
              <w:rPr>
                <w:rFonts w:ascii="Times New Roman" w:cs="Times New Roman" w:eastAsia="Times New Roman" w:hAnsi="Times New Roman"/>
                <w:sz w:val="13"/>
                <w:szCs w:val="13"/>
                <w:color w:val="0000FF"/>
              </w:rPr>
              <w:t>1,066,106</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-1987550</wp:posOffset>
            </wp:positionV>
            <wp:extent cx="28575" cy="1992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926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4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Red Hook Capital LLC. The Reporting Person has shared voting and dispositive power over Red Hook Capital LLC through his shared control of Rosedale Partners LLC, the sole member of Red Hook. Each of the Reporting Person and Rosedale Partners LLC disclaims beneficial ownership of the securities held by Red Hook Capital LLC, except to the extent of their respective pecuniary interest therein.</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performance-based restricted stock unit ("PSU") represents a contingent right to receive one share of Class A common stock.</w:t>
      </w:r>
    </w:p>
    <w:p>
      <w:pPr>
        <w:spacing w:after="0" w:line="41" w:lineRule="exact"/>
        <w:rPr>
          <w:rFonts w:ascii="Times New Roman" w:cs="Times New Roman" w:eastAsia="Times New Roman" w:hAnsi="Times New Roman"/>
          <w:sz w:val="13"/>
          <w:szCs w:val="13"/>
          <w:color w:val="008000"/>
        </w:rPr>
      </w:pPr>
    </w:p>
    <w:p>
      <w:pPr>
        <w:ind w:left="40" w:right="38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PSUs granted on August 31, 2021 vest based on the achievement of (i) service-based vesting conditions that are satisfied in two equal installments on the third and fifth anniversaries of the grant date, subject to a 50% holdback after the first vesting date, and (ii) performance-based vesting conditions that are satisfied upon the achievement, as measured on the last calendar day of each month, of closing stock prices equal to $15, $20, $25 and $30 (subject to linear interpolation) for 20 out of any 30 consecutive trading days, in each case prior to the fifth anniversary of the grant date.</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PSUs vested on November 30, 2024, upon the achievement of certain service-based and performance-based vesting conditions.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Mark Polemeni, as Attorney- </w:t>
      </w:r>
      <w:r>
        <w:rPr>
          <w:rFonts w:ascii="Times New Roman" w:cs="Times New Roman" w:eastAsia="Times New Roman" w:hAnsi="Times New Roman"/>
          <w:sz w:val="33"/>
          <w:szCs w:val="33"/>
          <w:color w:val="0000FF"/>
          <w:vertAlign w:val="subscript"/>
        </w:rPr>
        <w:t>12/03/2024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-21590</wp:posOffset>
            </wp:positionV>
            <wp:extent cx="2978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78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794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16779"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2024-12-03T17:43:30Z</dcterms:created>
  <dcterms:modified xsi:type="dcterms:W3CDTF">2024-12-03T17:43:30Z</dcterms:modified>
</cp:coreProperties>
</file>