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172720</wp:posOffset>
            </wp:positionV>
            <wp:extent cx="7132320" cy="104317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43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Proxy Statement Pursuant to Section 14(a)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of the Securities Exchange Act of 1934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(Amendment No.</w:t>
        <w:tab/>
        <w:t>)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☒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Check the appropriate box: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Preliminary Proxy Statement</w:t>
      </w:r>
    </w:p>
    <w:p>
      <w:pPr>
        <w:spacing w:after="0" w:line="119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9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Proxy Statement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Additional Materials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PERELLA WEINBERG PARTNERS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all boxes that apply):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No fee required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Fee paid previously with preliminary materials</w:t>
      </w:r>
    </w:p>
    <w:p>
      <w:pPr>
        <w:spacing w:after="0" w:line="121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500"/>
          </w:cols>
          <w:pgMar w:left="1080" w:top="686" w:right="131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414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2025-04-08T16:12:16Z</dcterms:created>
  <dcterms:modified xsi:type="dcterms:W3CDTF">2025-04-08T16:12:16Z</dcterms:modified>
</cp:coreProperties>
</file>