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Sherburne Jane Cecile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rPr>
              <w:t>406</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9,476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13,453</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22,929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406 fully-vested shares subject to awards of director restricted stock units ("RSUs"), which vested on May 24, 2022. These RSUs are true-up awards granted with respect to the pro-rated period of board service between June 24, 2021 and Perella Weinberg Partners' 2022 general annual stockholder meeting on May 24, 2022.</w:t>
      </w:r>
    </w:p>
    <w:p>
      <w:pPr>
        <w:spacing w:after="0" w:line="15"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13,453 unvested shares subject to awards of RSUs, which vest on the date of Perella Weinberg Partners' next general annual stockholder meeting following the grant date, subject to continued board service through such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05/26/2022</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878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2022-05-26T16:33:28Z</dcterms:created>
  <dcterms:modified xsi:type="dcterms:W3CDTF">2022-05-26T16:33:28Z</dcterms:modified>
</cp:coreProperties>
</file>