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36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515"/>
        </w:trPr>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Prospectus Supplement No. 1</w:t>
            </w:r>
          </w:p>
        </w:tc>
        <w:tc>
          <w:tcPr>
            <w:tcW w:w="5420" w:type="dxa"/>
            <w:vAlign w:val="bottom"/>
          </w:tcPr>
          <w:p>
            <w:pPr>
              <w:ind w:left="2920"/>
              <w:spacing w:after="0"/>
              <w:rPr>
                <w:sz w:val="20"/>
                <w:szCs w:val="20"/>
                <w:color w:val="auto"/>
              </w:rPr>
            </w:pPr>
            <w:r>
              <w:rPr>
                <w:rFonts w:ascii="Arial" w:cs="Arial" w:eastAsia="Arial" w:hAnsi="Arial"/>
                <w:sz w:val="18"/>
                <w:szCs w:val="18"/>
                <w:b w:val="1"/>
                <w:bCs w:val="1"/>
                <w:color w:val="auto"/>
                <w:w w:val="91"/>
              </w:rPr>
              <w:t>Filed Pursuant to Rule 424(b)(3)</w:t>
            </w:r>
          </w:p>
        </w:tc>
      </w:tr>
      <w:tr>
        <w:trPr>
          <w:trHeight w:val="234"/>
        </w:trPr>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 prospectus dated July 26, 2021)</w:t>
            </w:r>
          </w:p>
        </w:tc>
        <w:tc>
          <w:tcPr>
            <w:tcW w:w="5420" w:type="dxa"/>
            <w:vAlign w:val="bottom"/>
          </w:tcPr>
          <w:p>
            <w:pPr>
              <w:ind w:left="2960"/>
              <w:spacing w:after="0"/>
              <w:rPr>
                <w:sz w:val="20"/>
                <w:szCs w:val="20"/>
                <w:color w:val="auto"/>
              </w:rPr>
            </w:pPr>
            <w:r>
              <w:rPr>
                <w:rFonts w:ascii="Arial" w:cs="Arial" w:eastAsia="Arial" w:hAnsi="Arial"/>
                <w:sz w:val="18"/>
                <w:szCs w:val="18"/>
                <w:b w:val="1"/>
                <w:bCs w:val="1"/>
                <w:color w:val="auto"/>
              </w:rPr>
              <w:t>Registration No. 333-257924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162560</wp:posOffset>
            </wp:positionV>
            <wp:extent cx="175704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908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Perella Weinberg Partners</w:t>
      </w: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July 26, 2021 (the “Prospectus”), related to: (1) the issuance by us of up to 7,870,000 shares of our Class A common stock, par value $0.0001 per share (“</w:t>
      </w:r>
      <w:r>
        <w:rPr>
          <w:rFonts w:ascii="Arial" w:cs="Arial" w:eastAsia="Arial" w:hAnsi="Arial"/>
          <w:sz w:val="18"/>
          <w:szCs w:val="18"/>
          <w:u w:val="single" w:color="auto"/>
          <w:color w:val="auto"/>
        </w:rPr>
        <w:t>Class A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w:t>
      </w:r>
      <w:r>
        <w:rPr>
          <w:rFonts w:ascii="Arial" w:cs="Arial" w:eastAsia="Arial" w:hAnsi="Arial"/>
          <w:sz w:val="18"/>
          <w:szCs w:val="18"/>
          <w:u w:val="single" w:color="auto"/>
          <w:color w:val="auto"/>
        </w:rPr>
        <w:t>Selling Holders</w:t>
      </w:r>
      <w:r>
        <w:rPr>
          <w:rFonts w:ascii="Arial" w:cs="Arial" w:eastAsia="Arial" w:hAnsi="Arial"/>
          <w:sz w:val="18"/>
          <w:szCs w:val="18"/>
          <w:color w:val="auto"/>
        </w:rPr>
        <w:t>”), or their permitted transferees, of (i) up to 70,364,353 shares of Class A common stock and (ii) up to 203,333 warrants (as defined below), with the information contained in our Quarterly Report on Form 10-Q, filed with the Securities and Exchange Commission (“SEC”) on August 12, 2021 (the “Quarterly Report”). Accordingly, we have attached the Quarterly Report to this prospectus supplement.</w:t>
      </w:r>
    </w:p>
    <w:p>
      <w:pPr>
        <w:spacing w:after="0" w:line="192" w:lineRule="exact"/>
        <w:rPr>
          <w:sz w:val="24"/>
          <w:szCs w:val="24"/>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Our Class A common stock and warrants are traded on the Nasdaq Global Select Market under the symbols “PWP” and “PWPPW,” respectively.</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On August 11, 2021, the closing price of our Class A common stock was $13.21 per share and the closing price of our warrants was $3.07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20" w:right="380" w:firstLine="4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w:t>
      </w:r>
      <w:r>
        <w:rPr>
          <w:rFonts w:ascii="Arial" w:cs="Arial" w:eastAsia="Arial" w:hAnsi="Arial"/>
          <w:sz w:val="18"/>
          <w:szCs w:val="18"/>
          <w:b w:val="1"/>
          <w:bCs w:val="1"/>
          <w:i w:val="1"/>
          <w:iCs w:val="1"/>
          <w:color w:val="auto"/>
        </w:rPr>
        <w: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hyperlink r:id="rId11">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beginning on page 42 of the Prospectus and in any applicable prospectus supplement.</w:t>
      </w:r>
    </w:p>
    <w:p>
      <w:pPr>
        <w:spacing w:after="0" w:line="162" w:lineRule="exact"/>
        <w:rPr>
          <w:sz w:val="24"/>
          <w:szCs w:val="24"/>
          <w:color w:val="auto"/>
        </w:rPr>
      </w:pPr>
    </w:p>
    <w:p>
      <w:pPr>
        <w:ind w:left="120" w:right="420" w:firstLine="440"/>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supplement is August 12, 2021.</w:t>
      </w:r>
    </w:p>
    <w:p>
      <w:pPr>
        <w:sectPr>
          <w:pgSz w:w="11900" w:h="16838" w:orient="portrait"/>
          <w:cols w:equalWidth="0" w:num="1">
            <w:col w:w="11140"/>
          </w:cols>
          <w:pgMar w:left="320" w:top="216"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0"/>
          <w:szCs w:val="20"/>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84-1770732</w:t>
            </w:r>
          </w:p>
        </w:tc>
      </w:tr>
      <w:tr>
        <w:trPr>
          <w:trHeight w:val="149"/>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767 Fifth Avenue</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5"/>
              </w:rPr>
              <w:t>New York, NY</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10153</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459" w:right="439" w:bottom="0" w:gutter="0" w:footer="0" w:header="0"/>
        </w:sectPr>
      </w:pPr>
    </w:p>
    <w:bookmarkStart w:id="2" w:name="page3"/>
    <w:bookmarkEnd w:id="2"/>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10, 2021, the registrant had 41,956,667 shares of Class A common stock, par value $0.0001 per share, and 50,154,199 shares of Class B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00"/>
          </w:cols>
          <w:pgMar w:left="440" w:top="125"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gridSpan w:val="19"/>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FINANCIAL INFORMATION</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840" w:type="dxa"/>
            <w:vAlign w:val="bottom"/>
            <w:gridSpan w:val="2"/>
            <w:vMerge w:val="continue"/>
          </w:tcPr>
          <w:p>
            <w:pPr>
              <w:spacing w:after="0"/>
              <w:rPr>
                <w:sz w:val="13"/>
                <w:szCs w:val="13"/>
                <w:color w:val="auto"/>
              </w:rPr>
            </w:pPr>
          </w:p>
        </w:tc>
        <w:tc>
          <w:tcPr>
            <w:tcW w:w="9800" w:type="dxa"/>
            <w:vAlign w:val="bottom"/>
            <w:gridSpan w:val="19"/>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80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Financial Statements (Unaudited)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Financial Condition as of June 30, 2021 and December 31, 2020</w:t>
              </w:r>
            </w:hyperlink>
          </w:p>
        </w:tc>
        <w:tc>
          <w:tcPr>
            <w:tcW w:w="22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1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Operations for the Three and Six Months Ended June 30, 2021 and 2020</w:t>
              </w:r>
            </w:hyperlink>
          </w:p>
        </w:tc>
        <w:tc>
          <w:tcPr>
            <w:tcW w:w="17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0" w:type="dxa"/>
            <w:vAlign w:val="bottom"/>
            <w:gridSpan w:val="19"/>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Condensed Consolidated Statements of Comprehensive Income (Loss) for the Three and Six Months Ended June 30, 2021 and 2020</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Condensed Consolidated Statements of Changes in Equity for the Three and Six Months Ended June 30, 2021 and 2020</w:t>
              </w:r>
            </w:hyperlink>
          </w:p>
        </w:tc>
        <w:tc>
          <w:tcPr>
            <w:tcW w:w="8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980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Condensed Consolidated Statements of Cash Flows for the Six Months Ended June 30, 2021 and 2020</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Notes to Condensed Consolidated Financial Statements (Unaudited)</w:t>
              </w:r>
            </w:hyperlink>
          </w:p>
        </w:tc>
        <w:tc>
          <w:tcPr>
            <w:tcW w:w="2460" w:type="dxa"/>
            <w:vAlign w:val="bottom"/>
            <w:tcBorders>
              <w:top w:val="single" w:sz="8" w:color="0000EE"/>
            </w:tcBorders>
            <w:gridSpan w:val="2"/>
          </w:tcPr>
          <w:p>
            <w:pPr>
              <w:spacing w:after="0"/>
              <w:rPr>
                <w:sz w:val="17"/>
                <w:szCs w:val="17"/>
                <w:color w:val="auto"/>
              </w:rPr>
            </w:pPr>
          </w:p>
        </w:tc>
        <w:tc>
          <w:tcPr>
            <w:tcW w:w="24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3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Controls and Procedures</w:t>
              </w:r>
            </w:hyperlink>
          </w:p>
        </w:tc>
        <w:tc>
          <w:tcPr>
            <w:tcW w:w="80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OTHER INFORMATION</w:t>
              </w:r>
            </w:hyperlink>
          </w:p>
        </w:tc>
        <w:tc>
          <w:tcPr>
            <w:tcW w:w="790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800" w:type="dxa"/>
            <w:vAlign w:val="bottom"/>
            <w:gridSpan w:val="1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46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Unregistered Sales of Equity Securities and Use of Proceeds</w:t>
              </w:r>
            </w:hyperlink>
          </w:p>
        </w:tc>
        <w:tc>
          <w:tcPr>
            <w:tcW w:w="54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800" w:type="dxa"/>
            <w:vAlign w:val="bottom"/>
            <w:gridSpan w:val="1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Defaults Upon Senior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748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800" w:type="dxa"/>
            <w:vAlign w:val="bottom"/>
            <w:gridSpan w:val="1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Exhibits</w:t>
              </w:r>
            </w:hyperlink>
          </w:p>
        </w:tc>
        <w:tc>
          <w:tcPr>
            <w:tcW w:w="84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12"/>
          </w:tcPr>
          <w:p>
            <w:pPr>
              <w:ind w:left="4620"/>
              <w:spacing w:after="0"/>
              <w:rPr>
                <w:sz w:val="20"/>
                <w:szCs w:val="20"/>
                <w:color w:val="auto"/>
              </w:rPr>
            </w:pPr>
            <w:r>
              <w:rPr>
                <w:rFonts w:ascii="Arial" w:cs="Arial" w:eastAsia="Arial" w:hAnsi="Arial"/>
                <w:sz w:val="18"/>
                <w:szCs w:val="18"/>
                <w:color w:val="auto"/>
              </w:rPr>
              <w:t>1</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June 24, 2021 (the “Closing Date”), Perella Weinberg Partners (formerly known as FinTech Acquisition Corp. IV (“FTIV”)) consummated its previously announced business combination pursuant to that certain Business Combination Agreement, dated as of December 29, 2020.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STATEMENTREGARDING FORWARD-LOOKING STATEMENTS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7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maintain the listing of the Company’s Class A common stock and warrants on Nasdaq following the Business Combination;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our management team allocating their time to other businesses and potentially having conflicts of interest with our business;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30" w:lineRule="exact"/>
        <w:rPr>
          <w:rFonts w:ascii="Arial" w:cs="Arial" w:eastAsia="Arial" w:hAnsi="Arial"/>
          <w:sz w:val="18"/>
          <w:szCs w:val="18"/>
          <w:color w:val="auto"/>
        </w:rPr>
      </w:pPr>
    </w:p>
    <w:p>
      <w:pPr>
        <w:ind w:left="1540" w:right="80" w:hanging="331"/>
        <w:spacing w:after="0" w:line="277"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75" w:lineRule="exact"/>
        <w:rPr>
          <w:rFonts w:ascii="Arial" w:cs="Arial" w:eastAsia="Arial" w:hAnsi="Arial"/>
          <w:sz w:val="18"/>
          <w:szCs w:val="18"/>
          <w:color w:val="auto"/>
        </w:rPr>
      </w:pPr>
    </w:p>
    <w:p>
      <w:pPr>
        <w:ind w:left="1540" w:right="300" w:hanging="331"/>
        <w:spacing w:after="0" w:line="342" w:lineRule="auto"/>
        <w:tabs>
          <w:tab w:leader="none" w:pos="1540" w:val="left"/>
        </w:tabs>
        <w:numPr>
          <w:ilvl w:val="1"/>
          <w:numId w:val="3"/>
        </w:numPr>
        <w:rPr>
          <w:rFonts w:ascii="Arial" w:cs="Arial" w:eastAsia="Arial" w:hAnsi="Arial"/>
          <w:sz w:val="16"/>
          <w:szCs w:val="16"/>
          <w:color w:val="auto"/>
        </w:rPr>
      </w:pPr>
      <w:r>
        <w:rPr>
          <w:rFonts w:ascii="Arial" w:cs="Arial" w:eastAsia="Arial" w:hAnsi="Arial"/>
          <w:sz w:val="16"/>
          <w:szCs w:val="16"/>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30" w:lineRule="exact"/>
        <w:rPr>
          <w:rFonts w:ascii="Arial" w:cs="Arial" w:eastAsia="Arial" w:hAnsi="Arial"/>
          <w:sz w:val="18"/>
          <w:szCs w:val="18"/>
          <w:color w:val="auto"/>
        </w:rPr>
      </w:pPr>
    </w:p>
    <w:p>
      <w:pPr>
        <w:ind w:left="1540" w:right="16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30" w:lineRule="exact"/>
        <w:rPr>
          <w:rFonts w:ascii="Arial" w:cs="Arial" w:eastAsia="Arial" w:hAnsi="Arial"/>
          <w:sz w:val="18"/>
          <w:szCs w:val="18"/>
          <w:color w:val="auto"/>
        </w:rPr>
      </w:pPr>
    </w:p>
    <w:p>
      <w:pPr>
        <w:ind w:left="1540" w:right="40" w:hanging="331"/>
        <w:spacing w:after="0" w:line="342"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impairment of goodwill and other intangible assets, which represent a significant portion of the Company’s assets;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30" w:lineRule="exact"/>
        <w:rPr>
          <w:rFonts w:ascii="Arial" w:cs="Arial" w:eastAsia="Arial" w:hAnsi="Arial"/>
          <w:sz w:val="18"/>
          <w:szCs w:val="18"/>
          <w:color w:val="auto"/>
        </w:rPr>
      </w:pPr>
    </w:p>
    <w:p>
      <w:pPr>
        <w:ind w:left="1540" w:right="300" w:hanging="331"/>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relating to the Company’s operations, financial results, financial condition, business prospects, growth strategy and liquidity;</w:t>
      </w:r>
    </w:p>
    <w:p>
      <w:pPr>
        <w:spacing w:after="0" w:line="75" w:lineRule="exact"/>
        <w:rPr>
          <w:rFonts w:ascii="Arial" w:cs="Arial" w:eastAsia="Arial" w:hAnsi="Arial"/>
          <w:sz w:val="18"/>
          <w:szCs w:val="18"/>
          <w:color w:val="auto"/>
        </w:rPr>
      </w:pPr>
    </w:p>
    <w:p>
      <w:pPr>
        <w:ind w:left="1540" w:right="180" w:hanging="331"/>
        <w:spacing w:after="0" w:line="263"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Form 10-Q.</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r>
      <w:tr>
        <w:trPr>
          <w:trHeight w:val="196"/>
        </w:trPr>
        <w:tc>
          <w:tcPr>
            <w:tcW w:w="8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349,677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329,063</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1,845</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85,089</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40,802</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related parties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Fixed assets, net of accumulated depreciation and amortization</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13,282</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17,189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35,642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38,932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34,383</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34,383</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21,319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25,792</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Right-of-use lease assets</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50,008</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53,444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17,961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610,452</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2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212,349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213,524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programs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17,591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17,208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25,736</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22,246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3,977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54,426</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58,229</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net of unamortized debt discounts and issuance costs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146,965</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Warrant liabilities</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21,960</w:t>
            </w: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 due pursuant to tax receivable agreement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13,650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349,689</w:t>
            </w:r>
          </w:p>
        </w:tc>
        <w:tc>
          <w:tcPr>
            <w:tcW w:w="6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120" w:type="dxa"/>
            <w:vAlign w:val="bottom"/>
          </w:tcPr>
          <w:p>
            <w:pPr>
              <w:spacing w:after="0"/>
              <w:rPr>
                <w:sz w:val="20"/>
                <w:szCs w:val="20"/>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320" w:type="dxa"/>
            <w:vAlign w:val="bottom"/>
          </w:tcPr>
          <w:p>
            <w:pPr>
              <w:ind w:left="360"/>
              <w:spacing w:after="0" w:line="201" w:lineRule="exact"/>
              <w:rPr>
                <w:sz w:val="20"/>
                <w:szCs w:val="20"/>
                <w:color w:val="auto"/>
              </w:rPr>
            </w:pPr>
            <w:r>
              <w:rPr>
                <w:rFonts w:ascii="Arial" w:cs="Arial" w:eastAsia="Arial" w:hAnsi="Arial"/>
                <w:sz w:val="18"/>
                <w:szCs w:val="18"/>
                <w:color w:val="auto"/>
              </w:rPr>
              <w:t>Class A common stock, par value $0.0001 per share (1,500,000,000 shares authorized, 42,956,667</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320" w:type="dxa"/>
            <w:vAlign w:val="bottom"/>
          </w:tcPr>
          <w:p>
            <w:pPr>
              <w:ind w:left="540"/>
              <w:spacing w:after="0"/>
              <w:rPr>
                <w:sz w:val="20"/>
                <w:szCs w:val="20"/>
                <w:color w:val="auto"/>
              </w:rPr>
            </w:pPr>
            <w:r>
              <w:rPr>
                <w:rFonts w:ascii="Arial" w:cs="Arial" w:eastAsia="Arial" w:hAnsi="Arial"/>
                <w:sz w:val="18"/>
                <w:szCs w:val="18"/>
                <w:color w:val="auto"/>
              </w:rPr>
              <w:t>issued and outstanding at June 30, 2021)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Class B common stock, par value $0.0001 per share (600,000,000 shares authorized, 50,154,199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outstanding at June 30, 2021)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135,293</w:t>
            </w: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(12,499)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(818)</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 capital</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76,509</w:t>
            </w: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Total Perella Weinberg Partners equity / Partners’ capital</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121,985</w:t>
            </w:r>
          </w:p>
        </w:tc>
        <w:tc>
          <w:tcPr>
            <w:tcW w:w="6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120" w:type="dxa"/>
            <w:vAlign w:val="bottom"/>
          </w:tcPr>
          <w:p>
            <w:pPr>
              <w:spacing w:after="0"/>
              <w:rPr>
                <w:sz w:val="20"/>
                <w:szCs w:val="20"/>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138,778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260,763</w:t>
            </w:r>
          </w:p>
        </w:tc>
        <w:tc>
          <w:tcPr>
            <w:tcW w:w="6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120" w:type="dxa"/>
            <w:vAlign w:val="bottom"/>
          </w:tcPr>
          <w:p>
            <w:pPr>
              <w:spacing w:after="0"/>
              <w:rPr>
                <w:sz w:val="20"/>
                <w:szCs w:val="20"/>
                <w:color w:val="auto"/>
              </w:rPr>
            </w:pPr>
          </w:p>
        </w:tc>
      </w:tr>
      <w:tr>
        <w:trPr>
          <w:trHeight w:val="216"/>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610,452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542,953</w:t>
            </w: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255,520</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$ 114,601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$206,997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164,404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273,874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144,765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7,065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13,222</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171,469</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287,096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12,220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22,341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17,948</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28,363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and infrastructure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14,097</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13,238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Rent and occupancy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6,593</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13,295</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and related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General, administrative and other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3,674</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5,878</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206,034</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49,486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77,530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(24,296)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Non-operating income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526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(1,328)</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(39,408)</w:t>
            </w:r>
          </w:p>
        </w:tc>
        <w:tc>
          <w:tcPr>
            <w:tcW w:w="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(39,408)</w:t>
            </w: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non-operating income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(39,965)</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34,052</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(521)</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(2,545)</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 (22,127)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31,507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 (26,189)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21,499</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44,006</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(12,499)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w w:val="94"/>
              </w:rPr>
              <w:t>Net income (loss) per share attributable to Class A common shareholders (1)</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of Class A common stock outstanding (1)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42,956,667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42,956,667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94,013,583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94,013,583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31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net income (loss) per share of Class A common stock and weighted-average shares of Class A common stock outstanding for the period from June 24, 2021 through June 30, 2021, the period following the Business Combination, as defined in Note 1 – Organization and Nature of Business. For more information, refer to Note 15 – Net Income (Loss) Per Share Attributable to Class A Common Shareholders.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$(22,127)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$ 31,507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(22,006)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32,051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21,807</w:t>
            </w: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44,542</w:t>
            </w: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Perella Weinberg Partners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(12,491)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(12,491)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0"/>
              <w:spacing w:after="0"/>
              <w:rPr>
                <w:sz w:val="20"/>
                <w:szCs w:val="20"/>
                <w:color w:val="auto"/>
              </w:rPr>
            </w:pPr>
            <w:r>
              <w:rPr>
                <w:rFonts w:ascii="Arial" w:cs="Arial" w:eastAsia="Arial" w:hAnsi="Arial"/>
                <w:sz w:val="14"/>
                <w:szCs w:val="14"/>
                <w:color w:val="auto"/>
              </w:rPr>
              <w:t>Retained</w:t>
            </w:r>
          </w:p>
        </w:tc>
        <w:tc>
          <w:tcPr>
            <w:tcW w:w="220" w:type="dxa"/>
            <w:vAlign w:val="bottom"/>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Class A</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Class B</w:t>
            </w:r>
          </w:p>
        </w:tc>
        <w:tc>
          <w:tcPr>
            <w:tcW w:w="22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9"/>
              </w:rPr>
              <w:t>Class A</w:t>
            </w:r>
          </w:p>
        </w:tc>
        <w:tc>
          <w:tcPr>
            <w:tcW w:w="2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Class B</w:t>
            </w:r>
          </w:p>
        </w:tc>
        <w:tc>
          <w:tcPr>
            <w:tcW w:w="2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Earnings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Partners’</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w w:val="91"/>
              </w:rPr>
              <w:t>Common</w:t>
            </w:r>
          </w:p>
        </w:tc>
        <w:tc>
          <w:tcPr>
            <w:tcW w:w="2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color w:val="auto"/>
              </w:rPr>
              <w:t>Paid-In</w:t>
            </w:r>
          </w:p>
        </w:tc>
        <w:tc>
          <w:tcPr>
            <w:tcW w:w="2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Controlling</w:t>
            </w:r>
          </w:p>
        </w:tc>
        <w:tc>
          <w:tcPr>
            <w:tcW w:w="2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Capital</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Stock</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11"/>
              <w:spacing w:after="0"/>
              <w:rPr>
                <w:sz w:val="20"/>
                <w:szCs w:val="20"/>
                <w:color w:val="auto"/>
              </w:rPr>
            </w:pPr>
            <w:r>
              <w:rPr>
                <w:rFonts w:ascii="Arial" w:cs="Arial" w:eastAsia="Arial" w:hAnsi="Arial"/>
                <w:sz w:val="14"/>
                <w:szCs w:val="14"/>
                <w:color w:val="auto"/>
                <w:w w:val="91"/>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color w:val="auto"/>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Interests</w:t>
            </w:r>
          </w:p>
        </w:tc>
        <w:tc>
          <w:tcPr>
            <w:tcW w:w="2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24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December 31,</w:t>
            </w: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$ 87,725</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(5,820)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$ 81,905</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Cumulative effect of</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accounting change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(4,062)</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6,185</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partners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(9,429)</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$ 80,187</w:t>
            </w:r>
          </w:p>
        </w:tc>
        <w:tc>
          <w:tcPr>
            <w:tcW w:w="24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77"/>
              </w:rPr>
              <w:t>(8,432)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$ 71,755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(22,127)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(22,127)</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6,179</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gain (loss)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$ 64,213</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(8,311)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$ 55,902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ind w:left="7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color w:val="auto"/>
              </w:rPr>
              <w:t>Retained</w:t>
            </w:r>
          </w:p>
        </w:tc>
        <w:tc>
          <w:tcPr>
            <w:tcW w:w="60" w:type="dxa"/>
            <w:vAlign w:val="bottom"/>
          </w:tcPr>
          <w:p>
            <w:pPr>
              <w:spacing w:after="0"/>
              <w:rPr>
                <w:sz w:val="14"/>
                <w:szCs w:val="14"/>
                <w:color w:val="auto"/>
              </w:rPr>
            </w:pPr>
          </w:p>
        </w:tc>
        <w:tc>
          <w:tcPr>
            <w:tcW w:w="11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Class A</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Class B</w:t>
            </w:r>
          </w:p>
        </w:tc>
        <w:tc>
          <w:tcPr>
            <w:tcW w:w="6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Class A</w:t>
            </w:r>
          </w:p>
        </w:tc>
        <w:tc>
          <w:tcPr>
            <w:tcW w:w="8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Class B</w:t>
            </w:r>
          </w:p>
        </w:tc>
        <w:tc>
          <w:tcPr>
            <w:tcW w:w="6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Earnings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2"/>
              </w:rPr>
              <w:t>Partners’</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Common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Common</w:t>
            </w:r>
          </w:p>
        </w:tc>
        <w:tc>
          <w:tcPr>
            <w:tcW w:w="6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8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Paid-In</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Controlling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Capital</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Stock</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Income (Loss)</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Interests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21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8"/>
              </w:rPr>
              <w:t>Balance at December 31,</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76,509</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22,507</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6,157</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Distributions to partners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(9,816)</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w w:val="94"/>
              </w:rPr>
              <w:t>Foreign currency translation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gain (loss)</w:t>
            </w: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at March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93,643</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rPr>
              <w:t>Net income (loss) prior to</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Business Combination</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37,350</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37,350</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Equity-based compensation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to Business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5,604</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w w:val="94"/>
              </w:rPr>
              <w:t>Foreign currency translation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rPr>
              <w:t>gain (loss) prior to</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Business Combination</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partners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(37,573)</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(37,573)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Business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(101,112)</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42,956,667</w:t>
            </w:r>
          </w:p>
        </w:tc>
        <w:tc>
          <w:tcPr>
            <w:tcW w:w="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50,154,199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133,832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154,619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188,322</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rPr>
              <w:t>Net income (loss) after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Business Combination</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w w:val="98"/>
              </w:rPr>
              <w:t>(12,499)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(15,851)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(28,350)</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Equity-based compensation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Business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w w:val="94"/>
              </w:rPr>
              <w:t>Foreign currency translation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w w:val="94"/>
              </w:rPr>
              <w:t>gain (loss) after Business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Combination</w:t>
            </w: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at June 30,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42,956,667</w:t>
            </w:r>
          </w:p>
        </w:tc>
        <w:tc>
          <w:tcPr>
            <w:tcW w:w="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50,154,199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135,293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(12,499)</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138,778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260,763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8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31,507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(26,189)</w:t>
            </w: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Loss on debt extinguishment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39,408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Equity-based compensation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12,364</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7,794</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discounts and deferred financing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Change in fair value of warrant liabilities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operating lease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8,471</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operating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Accounts receivable, net of allowance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(43,509)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10,908</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Due from related parties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8,485</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r>
      <w:tr>
        <w:trPr>
          <w:trHeight w:val="216"/>
        </w:trPr>
        <w:tc>
          <w:tcPr>
            <w:tcW w:w="8180" w:type="dxa"/>
            <w:vAlign w:val="bottom"/>
          </w:tcPr>
          <w:p>
            <w:pPr>
              <w:ind w:left="360"/>
              <w:spacing w:after="0"/>
              <w:rPr>
                <w:sz w:val="20"/>
                <w:szCs w:val="20"/>
                <w:color w:val="auto"/>
              </w:rPr>
            </w:pPr>
            <w:r>
              <w:rPr>
                <w:rFonts w:ascii="Arial" w:cs="Arial" w:eastAsia="Arial" w:hAnsi="Arial"/>
                <w:sz w:val="18"/>
                <w:szCs w:val="18"/>
                <w:color w:val="auto"/>
              </w:rPr>
              <w:t>Increase (decrease) in operating liabilities: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(122,444)</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Deferred compensation programs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2,931</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expenses and other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(3,587)</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1,517</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Lease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(9,997)</w:t>
            </w:r>
          </w:p>
        </w:tc>
      </w:tr>
      <w:tr>
        <w:trPr>
          <w:trHeight w:val="230"/>
        </w:trPr>
        <w:tc>
          <w:tcPr>
            <w:tcW w:w="818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(108,399)</w:t>
            </w:r>
          </w:p>
        </w:tc>
        <w:tc>
          <w:tcPr>
            <w:tcW w:w="120" w:type="dxa"/>
            <w:vAlign w:val="bottom"/>
          </w:tcPr>
          <w:p>
            <w:pPr>
              <w:spacing w:after="0"/>
              <w:rPr>
                <w:sz w:val="20"/>
                <w:szCs w:val="20"/>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Purchases of fixed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(4,104)</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20"/>
                <w:szCs w:val="20"/>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Proceeds from Business Combination, including PIPE Investment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355,021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Business Combination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Draw down on Revolving Credit Facility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22,000</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Principal payment on Revolving Credit Facility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Redemption of Convertible Notes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(160,930)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Redemption of partners’ interests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(104,540)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Distributions to partners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(9,430)</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0"/>
                <w:szCs w:val="20"/>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(113,063)</w:t>
            </w:r>
          </w:p>
        </w:tc>
        <w:tc>
          <w:tcPr>
            <w:tcW w:w="120" w:type="dxa"/>
            <w:vAlign w:val="bottom"/>
          </w:tcPr>
          <w:p>
            <w:pPr>
              <w:spacing w:after="0"/>
              <w:rPr>
                <w:sz w:val="19"/>
                <w:szCs w:val="19"/>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330,908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266,582</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351,517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153,519</w:t>
            </w:r>
          </w:p>
        </w:tc>
        <w:tc>
          <w:tcPr>
            <w:tcW w:w="12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Lease liabilities arising from obtaining right-of-use lease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assets of deconsolidated affiliate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paid for income taxes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r>
      <w:tr>
        <w:trPr>
          <w:trHeight w:val="230"/>
        </w:trPr>
        <w:tc>
          <w:tcPr>
            <w:tcW w:w="818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5,452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6,027</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14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7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matters that affect the reported amounts and disclosures of contingencies in the condensed consolidated financial statements.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June 30, 2021 and December 31, 2020, the Company had no cash equivalents. The Company maintains cash with banks and brokerage firms, which from time to time may exceed federally insured limits.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Restricted cash represents cash that is not readily available for general purpose cash needs. As of both June 30, 2021 and December 31, 2020, the Company had restricted cash of $1.8 million maintained as collateral for letters of credit related to the Company’s New York City and Paris office leases.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Company’s cash, cash equivalents and restricted cash as of June 30, 2021 and June 30, 2020 is presented below:</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720" w:type="dxa"/>
            <w:vAlign w:val="bottom"/>
            <w:gridSpan w:val="5"/>
          </w:tcPr>
          <w:p>
            <w:pPr>
              <w:ind w:left="5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64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96"/>
        </w:trPr>
        <w:tc>
          <w:tcPr>
            <w:tcW w:w="6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$349,677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$151,693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Restricted cash</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1,826</w:t>
            </w:r>
          </w:p>
        </w:tc>
      </w:tr>
      <w:tr>
        <w:trPr>
          <w:trHeight w:val="27"/>
        </w:trPr>
        <w:tc>
          <w:tcPr>
            <w:tcW w:w="6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351,517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153,519</w:t>
            </w:r>
          </w:p>
        </w:tc>
      </w:tr>
      <w:tr>
        <w:trPr>
          <w:trHeight w:val="20"/>
        </w:trPr>
        <w:tc>
          <w:tcPr>
            <w:tcW w:w="6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June 30, 2021 and December 31, 2020, $32.0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June 30, 2021 and December 31, 2020.</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Accounts receivable represents amounts due from clients from various industry and geographic backgrounds. As of June 30, 2021, certain accounts receivable in the aggregate amount of $30.1 million were individually greater than 10% of the Company’s total accounts receivable and were concentrated with two clients. Of that amount, $17.0 million was subsequently received after June 30, 2021. As of December 31, 2020, there were no accounts receivable individually greater than 10% of the Company’s total accounts receivable.</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under the modified retrospective approach. This new standard replaces the incurred loss impairment methodology for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with the current expected credit loss (“CECL”) model which requires an estimate of future credit losses.</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The assets and liabilities of PWP OpCo represent substantially all of the Company’s consolidated assets and liabilities with the exception of certain income taxes payable, deferred taxes and liabilities under the tax receivable agreement. As of June 30, 2021 and December 31, 2020, the net assets of PWP OpCo were $258.9 million and $74.2 million, respectively. As of June 30, 2021 and December 31, 2020, the Company did not consolidate any VIEs other than PWP OpCo that were deemed material to the condensed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1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The majority of Prepaid expenses and other assets consists of prepaid expenses and deferred offering costs.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June 30, 2021. As of December 31, 2020, cumulative offering costs of $9.1 million were deferred within Prepaid expenses and other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income.</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7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that gets fully attributed to non-controlling interests. Refer to Note 13 – Equity-Based Compensation for further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No changes to U.S. GAAP that went into effect during the six months ended June 30, 2021 had a material effect on the Company’s condensed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 changes to U.S. GAAP that are not yet effective are expected to have a material effect on the Company’s condensed consolidated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29, 2020, by and among the Company (previously FTIV), FinTech Investor Holdings IV, LLC a Delaware limited liability company, FinTech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Masala Advisors, LLC, a Delaware limited liability company, PWP OpCo, PWP GP LLC, PWP GP, Professional Partners, and Professionals GP.</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Business Combination Agreement, among other things, (i) FTIV acquired certain partnership interests in PWP OpCo, (ii) PWP OpCo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became jointly-owned by PWP, Professional Partners and certain existing partners of PWP OpCo, and (iii) PWP OpCo now serves as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partnership as part of an Up-C structure. The Business Combination was treated as a reverse recapitalization transaction between entities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common control, whereby PWP OpCo was considered the accounting acquirer and predecessor entity and therefore recognized the carrying value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net assets of FTIV as an equity contribution with no incremental goodwill or intangible assets.</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31" w:lineRule="exact"/>
        <w:rPr>
          <w:sz w:val="20"/>
          <w:szCs w:val="20"/>
          <w:color w:val="auto"/>
        </w:rPr>
      </w:pPr>
    </w:p>
    <w:p>
      <w:pPr>
        <w:ind w:left="1080" w:right="160" w:hanging="424"/>
        <w:spacing w:after="0" w:line="31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54"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92"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(“PWP OpCo Units”)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89" w:lineRule="exact"/>
        <w:rPr>
          <w:rFonts w:ascii="Arial" w:cs="Arial" w:eastAsia="Arial" w:hAnsi="Arial"/>
          <w:sz w:val="18"/>
          <w:szCs w:val="18"/>
          <w:color w:val="auto"/>
        </w:rPr>
      </w:pPr>
    </w:p>
    <w:p>
      <w:pPr>
        <w:ind w:left="1080" w:right="200" w:hanging="424"/>
        <w:spacing w:after="0" w:line="30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080" w:right="3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22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On the date of the Closing, the Company recorded $22.2 million in public warrant liabilities and $0.7 million in private warrant liabilities. See Note 12 –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the time of the Closing and as of June 30, 2021,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Revenue and Receivables from Contracts with Customers</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Over time</w:t>
            </w:r>
          </w:p>
        </w:tc>
        <w:tc>
          <w:tcPr>
            <w:tcW w:w="3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$236,382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$108,774</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$394,305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$200,814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Point in time</w:t>
            </w:r>
          </w:p>
        </w:tc>
        <w:tc>
          <w:tcPr>
            <w:tcW w:w="3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19,138</w:t>
            </w:r>
          </w:p>
        </w:tc>
        <w:tc>
          <w:tcPr>
            <w:tcW w:w="3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5,827</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31,017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255,520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114,601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425,322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206,997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80" w:type="dxa"/>
            <w:vAlign w:val="bottom"/>
            <w:vMerge w:val="restart"/>
          </w:tcPr>
          <w:p>
            <w:pPr>
              <w:jc w:val="right"/>
              <w:ind w:right="1050"/>
              <w:spacing w:after="0"/>
              <w:rPr>
                <w:sz w:val="20"/>
                <w:szCs w:val="20"/>
                <w:color w:val="auto"/>
              </w:rPr>
            </w:pPr>
            <w:r>
              <w:rPr>
                <w:rFonts w:ascii="Arial" w:cs="Arial" w:eastAsia="Arial" w:hAnsi="Arial"/>
                <w:sz w:val="18"/>
                <w:szCs w:val="18"/>
                <w:color w:val="auto"/>
              </w:rPr>
              <w:t>20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Condensed Consolidated Statements of Operations. Reimbursable expenses billed to clients was $1.2 million and $2.8 million for the three and six months ended June 30, 2021, respectively, and $1.4 million and $2.9 million for the three and six months ended June 30, 2020,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6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320" w:top="459" w:right="5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6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June 30, 2021, the aggregate amount of the transaction price allocated to performance obligations yet to be satisfied is $3.9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recognized revenue of $139.7 million and $255.5 million during the three and six months ended June 30, 2021, respectively, and $42.9 million and $108.1 million during the three and six months ended June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June 30, 2021 and December 31, 2020, the Company recorded $4.0 million and $10.6 million, respectively, for these contract liabilities which are presented as Deferred revenue on the Condensed Consolidated Statements of Financial Condition. For the six months ended June 30, 2021 and 2020, $9.6 million and $1.5 million, respectively, of the respective beginning deferred revenue balance was recognized as revenue and was primarily related to transaction-related advisory services performance obligations that are recognized over time.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allowance for credit losses activity for the three and six months ended June 30, 2021 and 2020 is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14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08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w:t>
            </w:r>
          </w:p>
        </w:tc>
        <w:tc>
          <w:tcPr>
            <w:tcW w:w="14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0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(88)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(626)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Recoveries</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710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Ending balance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1,104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1,087</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1,104</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1,087</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Beginning balance for the six months ended June 30, 2020 includes the cumulative adjustment of $0.2 million, which reflects the increase in the Company’s allowance for credit losses upon adoption of ASU 2016-13 and the CECL model on January 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8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16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December 31, 2020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Weighted-average discount rate—operating leases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5540" w:type="dxa"/>
            <w:vAlign w:val="bottom"/>
            <w:vMerge w:val="continue"/>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Weighted-average remaining lease term—operating leases</w:t>
            </w:r>
          </w:p>
        </w:tc>
        <w:tc>
          <w:tcPr>
            <w:tcW w:w="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3.72 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w w:val="92"/>
              </w:rPr>
              <w:t>3.99 years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7"/>
          </w:tcPr>
          <w:p>
            <w:pPr>
              <w:jc w:val="right"/>
              <w:ind w:right="168"/>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24"/>
                <w:szCs w:val="24"/>
                <w:color w:val="auto"/>
              </w:rPr>
            </w:pPr>
          </w:p>
        </w:tc>
        <w:tc>
          <w:tcPr>
            <w:tcW w:w="1880" w:type="dxa"/>
            <w:vAlign w:val="bottom"/>
            <w:gridSpan w:val="8"/>
            <w:vMerge w:val="restart"/>
          </w:tcPr>
          <w:p>
            <w:pPr>
              <w:jc w:val="right"/>
              <w:ind w:right="1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CCEEFF"/>
            </w:tcBorders>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$ 4,871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w w:val="93"/>
              </w:rPr>
              <w:t>1,391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2,383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Sublease income—operating leases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net lease cost</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$ 5,132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lease obligation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365"/>
        </w:trPr>
        <w:tc>
          <w:tcPr>
            <w:tcW w:w="6420" w:type="dxa"/>
            <w:vAlign w:val="bottom"/>
            <w:gridSpan w:val="2"/>
          </w:tcPr>
          <w:p>
            <w:pPr>
              <w:ind w:left="49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the maturities of undiscounted operating lease liabilities of the Company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w:t>
            </w:r>
          </w:p>
        </w:tc>
        <w:tc>
          <w:tcPr>
            <w:tcW w:w="2860" w:type="dxa"/>
            <w:vAlign w:val="bottom"/>
            <w:gridSpan w:val="3"/>
          </w:tcPr>
          <w:p>
            <w:pPr>
              <w:jc w:val="center"/>
              <w:ind w:left="1633"/>
              <w:spacing w:after="0"/>
              <w:rPr>
                <w:sz w:val="20"/>
                <w:szCs w:val="20"/>
                <w:color w:val="auto"/>
              </w:rPr>
            </w:pPr>
            <w:r>
              <w:rPr>
                <w:rFonts w:ascii="Arial" w:cs="Arial" w:eastAsia="Arial" w:hAnsi="Arial"/>
                <w:sz w:val="14"/>
                <w:szCs w:val="14"/>
                <w:b w:val="1"/>
                <w:bCs w:val="1"/>
                <w:color w:val="auto"/>
                <w:w w:val="93"/>
              </w:rPr>
              <w:t>Operating</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Sublease</w:t>
            </w:r>
          </w:p>
        </w:tc>
        <w:tc>
          <w:tcPr>
            <w:tcW w:w="1420" w:type="dxa"/>
            <w:vAlign w:val="bottom"/>
            <w:gridSpan w:val="4"/>
          </w:tcPr>
          <w:p>
            <w:pPr>
              <w:ind w:left="480"/>
              <w:spacing w:after="0"/>
              <w:rPr>
                <w:sz w:val="20"/>
                <w:szCs w:val="20"/>
                <w:color w:val="auto"/>
              </w:rPr>
            </w:pPr>
            <w:r>
              <w:rPr>
                <w:rFonts w:ascii="Arial" w:cs="Arial" w:eastAsia="Arial" w:hAnsi="Arial"/>
                <w:sz w:val="14"/>
                <w:szCs w:val="14"/>
                <w:b w:val="1"/>
                <w:bCs w:val="1"/>
                <w:color w:val="auto"/>
              </w:rPr>
              <w:t>Net Minimum</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3"/>
              </w:rPr>
              <w:t>Income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$ 10,026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$ 1,255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19,682</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2024</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4,953</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Thereafter</w:t>
            </w:r>
          </w:p>
        </w:tc>
        <w:tc>
          <w:tcPr>
            <w:tcW w:w="19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Less: Imputed Interest</w:t>
            </w:r>
          </w:p>
        </w:tc>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$ 54,426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4"/>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80" w:type="dxa"/>
            <w:vAlign w:val="bottom"/>
            <w:gridSpan w:val="4"/>
          </w:tcPr>
          <w:p>
            <w:pPr>
              <w:ind w:left="4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$47,400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(21,725)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(8,433)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65,800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44"/>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80" w:type="dxa"/>
            <w:vAlign w:val="bottom"/>
            <w:gridSpan w:val="4"/>
          </w:tcPr>
          <w:p>
            <w:pPr>
              <w:ind w:left="4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$47,400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(19,355)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65,800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$3.3 million for the three and six months ended June 30, 2021, respectively, and $1.6 million and $3.3 million for the three and six months ended June 30, 2020, respectively, which is included in Depreciation and amortization in the Condensed Consolidated Statements of Operations. Amortization of intangible assets held at June 30, 2021 is expected to be $6.6 million for each of the years ending December 31, 2021, 2022, 2023, 2024 and 2025. These intangible assets will be fully amortized by November 30, 2026.</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Regulatory Requirements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 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June 30, 2021, PWP LP and TPH Securities had combined net capital of $71.1 million, which was $70.7 million in excess of their combined individual minimum capital requirements.</w:t>
      </w:r>
    </w:p>
    <w:p>
      <w:pPr>
        <w:spacing w:after="0" w:line="166"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Perella Weinberg UK Ltd. is subject to FCA capital adequacy rules and Tudor, Pickering, Holt &amp; Co. Securities Canada, ULC is subject to IIROC capital adequacy rules. Both entities were in excess of the applicable capital requirements as of June 30, 2021 and December 31, 2020.</w:t>
      </w:r>
    </w:p>
    <w:p>
      <w:pPr>
        <w:spacing w:after="0" w:line="14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June 30, 2021.</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Fixed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June 30, 2021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2020</w:t>
            </w:r>
          </w:p>
        </w:tc>
        <w:tc>
          <w:tcPr>
            <w:tcW w:w="100" w:type="dxa"/>
            <w:vAlign w:val="bottom"/>
            <w:tcBorders>
              <w:bottom w:val="single" w:sz="8" w:color="CCEEFF"/>
            </w:tcBorders>
          </w:tcPr>
          <w:p>
            <w:pPr>
              <w:spacing w:after="0"/>
              <w:rPr>
                <w:sz w:val="14"/>
                <w:szCs w:val="14"/>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$ 49,880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8,494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8,606</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Software</w:t>
            </w:r>
          </w:p>
        </w:tc>
        <w:tc>
          <w:tcPr>
            <w:tcW w:w="660" w:type="dxa"/>
            <w:vAlign w:val="bottom"/>
          </w:tcPr>
          <w:p>
            <w:pPr>
              <w:jc w:val="right"/>
              <w:spacing w:after="0"/>
              <w:rPr>
                <w:sz w:val="20"/>
                <w:szCs w:val="20"/>
                <w:color w:val="auto"/>
              </w:rPr>
            </w:pPr>
            <w:r>
              <w:rPr>
                <w:rFonts w:ascii="Arial" w:cs="Arial" w:eastAsia="Arial" w:hAnsi="Arial"/>
                <w:sz w:val="18"/>
                <w:szCs w:val="18"/>
                <w:color w:val="auto"/>
              </w:rPr>
              <w:t>9,952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14,395</w:t>
            </w:r>
          </w:p>
        </w:tc>
      </w:tr>
      <w:tr>
        <w:trPr>
          <w:trHeight w:val="27"/>
        </w:trPr>
        <w:tc>
          <w:tcPr>
            <w:tcW w:w="6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108,012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(71,794)</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(90,823)</w:t>
            </w:r>
          </w:p>
        </w:tc>
      </w:tr>
      <w:tr>
        <w:trPr>
          <w:trHeight w:val="27"/>
        </w:trPr>
        <w:tc>
          <w:tcPr>
            <w:tcW w:w="6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$ 13,282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17,189</w:t>
            </w:r>
          </w:p>
        </w:tc>
      </w:tr>
      <w:tr>
        <w:trPr>
          <w:trHeight w:val="20"/>
        </w:trPr>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Depreciation expense related to fixed assets was $1.7 million and $3.6 million for the three and six months ended June 30, 2021, respectively, and $1.8 million and $3.7 million for the three and six months ended June 30, 2020, respectively. Amortization expense related to software development costs was $0.3 million and $0.7 million for the three and six months ended June 30, 2021, respectively, and $0.4 million and $0.8 million for the three and six months ended June 30, 2020, respectively.</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During the three and six months ended June 30, 2021, the Company disposed of certain obsolete assets, substantially all of which were fully depreciated.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Company’s effective tax rate was 5.47% and 7.47% for the three and six months ended June 30, 2021, respectively, and (3.92%) and (6.26%) for the three and six months ended June 30, 2020, respectively. 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Business Combination resulted in a $15.7 million increase to the Company’s deferred tax asset primarily related to a step-up in the tax basis of certain assets that will be recovered as those assets are amortized. The remaining $2.3 million of the deferred tax asset balance as of June 30, 2021 is related to local and foreign 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June 30, 2021 will be recovered in the future based on all available positive and negative evidence. In connection with the step-up in tax basis generated on the day of the Business Combination, the Company has recorded a payable of $13.7 million pursuant to the terms of the tax receivable agreement.</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June 30, 2021, the Company has not recorded any unrecognized tax benefits associated with uncertain tax positions. The Company does not expect there to be any material changes to uncertain tax positions within 12 months of the reporting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debt as of June 30, 2021 and December 31,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2020</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27,690</w:t>
            </w:r>
          </w:p>
        </w:tc>
      </w:tr>
      <w:tr>
        <w:trPr>
          <w:trHeight w:val="27"/>
        </w:trPr>
        <w:tc>
          <w:tcPr>
            <w:tcW w:w="5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facilities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177,690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Unamortized debt discount and issuance costs (1)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(30,725)</w:t>
            </w:r>
          </w:p>
        </w:tc>
      </w:tr>
      <w:tr>
        <w:trPr>
          <w:trHeight w:val="27"/>
        </w:trPr>
        <w:tc>
          <w:tcPr>
            <w:tcW w:w="5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net</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146,965</w:t>
            </w:r>
          </w:p>
        </w:tc>
      </w:tr>
      <w:tr>
        <w:trPr>
          <w:trHeight w:val="20"/>
        </w:trPr>
        <w:tc>
          <w:tcPr>
            <w:tcW w:w="5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740" w:hanging="424"/>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June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9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for each of the three and six months ended June 30, 2021 and 2020. The aggregate interest expense related to the Convertible Notes was $3.3 million and $6.9 million during the three and six months ended June 30, 2021, respectively, and $3.5 million and $7.0 million during the three and six months ended June 30, 2020,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Bank”). In December 2018, the Company amended the Credit Agreement to modify a term loan to a revolving credit facility with a line of credit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 million (the “Revolving Credit Facility”). During the six months ended June 30, 2020, the Company made principal payments on the Revolving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Credit Facility of $10.0 million as well as drawdowns of $22.0 million. Applicable only to the period after the Separation and before the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Combination, the Credit Agreement named PWP Capital Holdings LP as a guarantor of the Revolving Credit Facility and required that financial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covenants be determined on a combined basis with the results of both the Company and PWP Capital Holdings LP for the applicable periods ended.</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June 30, 2021, the Company had no outstanding balance related to the Revolving Credit Facility and no incremental revolving commitments were incurred.</w:t>
      </w:r>
    </w:p>
    <w:p>
      <w:pPr>
        <w:spacing w:after="0" w:line="16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For the applicable periods prior to the Closing Date, the weighted average interest rate for the Revolving Credit Facility was 2.60% and 2.62% for the three and six months ended June 30, 2021, respectively, and 3.06% and 3.26% for the three and six months ended June 30, 2020, respectively.</w:t>
      </w:r>
    </w:p>
    <w:p>
      <w:pPr>
        <w:spacing w:after="0" w:line="124"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i w:val="1"/>
          <w:iCs w:val="1"/>
          <w:color w:val="auto"/>
        </w:rPr>
        <w:t xml:space="preserve">Debt Issuance Costs </w:t>
      </w:r>
      <w:r>
        <w:rPr>
          <w:rFonts w:ascii="Arial" w:cs="Arial" w:eastAsia="Arial" w:hAnsi="Arial"/>
          <w:sz w:val="16"/>
          <w:szCs w:val="16"/>
          <w:color w:val="auto"/>
        </w:rPr>
        <w:t>– Prior to the Business Combination, the Company incurred $1.8 million in issuance costs related to the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were amortized to Interest expense using the effective interest method over the life of the Revolving Credit Facility. For the applicable periods prior to the Business Combination, the effective interest rate of the Revolving Credit Facility, taking into account these issuance costs, was 3.71% and 3.73% for the three and six months ended June 30, 2021, respectively, and 3.80% and 4.07% for the three and six months ended June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$0.3 million and $0.6 million during the three and six months ended June 30, 2021, respectively, and $0.5 million and $1.0 million during the three and six months ended June 30, 2020, respectively.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Stockholders’ Equity</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7"/>
          <w:szCs w:val="17"/>
          <w:b w:val="1"/>
          <w:bCs w:val="1"/>
          <w:color w:val="auto"/>
        </w:rPr>
        <w:t>S</w:t>
      </w:r>
      <w:r>
        <w:rPr>
          <w:rFonts w:ascii="Arial" w:cs="Arial" w:eastAsia="Arial" w:hAnsi="Arial"/>
          <w:sz w:val="17"/>
          <w:szCs w:val="17"/>
          <w:color w:val="auto"/>
        </w:rPr>
        <w:t>hares of Class A common stock and Class B common stock are not subject to any conversion right and holders of the Class A common stock and Class B common stock do not have preemptive or subscription rights. Additionally, the Company has 7,870,000 warrants outstanding as of June 30, 2021. See Note 12 – Warrants for additional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6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32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at the Closing and as of June 30, 2021, which represent a 53.87% non-controlling ownership interest in PWP OpCo. These PWP OpCo Units are exchangeable into PWP Class A common stock on a one-for-one basis. Class B-1 and Class B-2 common stock have de minimis economic rights.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170"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8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Rights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78"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w:t>
      </w:r>
    </w:p>
    <w:p>
      <w:pPr>
        <w:spacing w:after="0" w:line="4" w:lineRule="exact"/>
        <w:rPr>
          <w:sz w:val="20"/>
          <w:szCs w:val="20"/>
          <w:color w:val="auto"/>
        </w:rPr>
      </w:pPr>
    </w:p>
    <w:p>
      <w:pPr>
        <w:ind w:left="120" w:right="140" w:hanging="4"/>
        <w:spacing w:after="0" w:line="255" w:lineRule="auto"/>
        <w:tabs>
          <w:tab w:leader="none" w:pos="3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above will be subject to such restriction for a period of twelve months following the date on which such PWP OpCo Units were acquired. PWP GP may waive the foregoing restrictions for any holder with respect to all or a portion of such holder’s units, with no obligation to do so for any other holder.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Each public warrant entitles the registered holder to purchase one share of Class A common stock at an exercise price of $11.50 per share, subject to adjustment, and are exercisable commencing 30 days after the Business Combination.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Once the warrants become exercisable, 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8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5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June 30, 2021, the Company had 7,666,666.67 public warrants outstanding.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June 30, 2021, the Company had 203,333.33 private warrants outstanding.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none of the public or private warrants were exercisable.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Equity-Based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Concurrent with the Business Combination, the Company adopted the Perella Weinberg Partners 2021 Omnibus Incentive Plan (the “PWP</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Incentive Plan”), which establishes a plan for the granting of incentive compensation awards measured by reference to PWP Class A common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Under the PWP Incentive Plan, the Company can grant options, stock appreciation rights, restricted stock, restricted stock units, stock bonuses,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stock-based awards, cash awards or any combination of the foregoing. The maximum aggregate number of shares of Class A common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reserved for issuance under the PWP Incentive Plan for general purposes (“General Share Reserve”) is 13,980,000 shares and will be increased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first day of each fiscal year of the Company beginning in calendar year 2022 by the number of shares of Class A common stock equal to the excess, if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of (i) 15% of the number of outstanding shares of Class A common stock and the outstanding PWP OpCo Units that are exchangeable for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common stock, in each case, on last day of the immediately preceding fiscal year, over (ii) the number of shares of Class A common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reserved and available for issuance in respect to future grants of awards under the PWP Incentive Plan as of the last day of the immediately preceding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fiscal year. In addition to the General Share Reserve, 10,200,000 shares of Class A common stock (the “Transaction Pool Share Reserve”) are reserved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issuance under the plan through the one-year anniversary of the Business Combination. The Company intends to use newly issued shares of PWP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A common stock to satisfy vested awards under the plan. Awards granted from the General Share Reserve that are subsequently forfeited,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cancelled, exchanged, surrendered, terminated or expired are available for future grant. However, awards granted from the Transaction Pool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Reserve that are subsequently forfeited, cancelled, exchanged, surrendered, terminated or expired are not available for future grant. As of June 30,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grants were made under the PWP Incentive Plan, and as such, 24,180,000 total shares remained reserved for issuance.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9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with the cost reflected in equity-based compensation over the requisite service period. The Company will continue to amortize the unrecognized cost associated with the Legacy Awards over its original vesting schedule. The $314.8 million grant-date fair value of the 23,703,116 Professional Partners Awards is based on the closing price of PWP Class A common stock on the date of grant as units in Professional Partners are ultimately exchangeable into shares of PWP Class A common stock on a one-for-one basis.</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components of Equity-based compensation included on the Condensed Consolidated Statements of Operations: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15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5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50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Legacy Awards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$6,179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$12,165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$12,364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Professional Partners Awards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1,057</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equity-based compensation</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7,065</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6,179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13,222</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12,364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As of June 30, 2021, there was $34.2 million of unrecognized compensation cost associated with the Legacy Awards that is expected to be recognized over a weighted-average period of 1.93 years. As of June 30, 2021, there was $313.7 million of unrecognized compensation expense related to unvested Professional Partners Awards, which is expected to be recognized over a weighted-average period of 4.88 years.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6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$0.7 million for the three and six months ended June 30, 2021, respectively, and $1.7 million and $3.0 million for the three and six months ended June 30, 2020, respectively, and are presented within Compensation and benefits in the Condensed Consolidated Statements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Expenses related to the Company’s employee benefit plans was $1.3 million and $2.6 million for the three and six months ended June 30, 2021, respectively, and $1.2 million and $2.4 million for the three and six months ended June 30, 2020, respectively, and are included in Compensation and benefits in the Condensed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June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Net Income (Loss) Per Share Attributable to Class A Common Shareholders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three and six months ended June 30, 2021, as presented on the Condensed Consolidated Statements of Operations, represent only the period after the Business Combination to June 30, 2021.</w:t>
      </w:r>
    </w:p>
    <w:p>
      <w:pPr>
        <w:spacing w:after="0" w:line="17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calculations of basic and diluted net income (loss) per share attributable to Class A common shareholders for the period after the Business Combination through June 30, 2021 are presented below:</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(loss) attributable to Perella Weinberg Partners—basic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from assumed exercise of warrants, net of tax</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(656)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(16,501)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Perella Weinberg Partners—diluted</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(29,656)</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Class A common stock outstanding—basic</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7"/>
              </w:rPr>
              <w:t>42,956,667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Assumed exercise of warrants</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902,717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Assumed exchange of PWP OpCo Units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7"/>
              </w:rPr>
              <w:t>50,154,199</w:t>
            </w:r>
          </w:p>
        </w:tc>
        <w:tc>
          <w:tcPr>
            <w:tcW w:w="0" w:type="dxa"/>
            <w:vAlign w:val="bottom"/>
          </w:tcPr>
          <w:p>
            <w:pPr>
              <w:spacing w:after="0"/>
              <w:rPr>
                <w:sz w:val="1"/>
                <w:szCs w:val="1"/>
                <w:color w:val="auto"/>
              </w:rPr>
            </w:pPr>
          </w:p>
        </w:tc>
      </w:tr>
      <w:tr>
        <w:trPr>
          <w:trHeight w:val="237"/>
        </w:trPr>
        <w:tc>
          <w:tcPr>
            <w:tcW w:w="6360" w:type="dxa"/>
            <w:vAlign w:val="bottom"/>
            <w:gridSpan w:val="2"/>
          </w:tcPr>
          <w:p>
            <w:pPr>
              <w:spacing w:after="0"/>
              <w:rPr>
                <w:sz w:val="20"/>
                <w:szCs w:val="20"/>
                <w:color w:val="auto"/>
              </w:rPr>
            </w:pPr>
            <w:r>
              <w:rPr>
                <w:rFonts w:ascii="Arial" w:cs="Arial" w:eastAsia="Arial" w:hAnsi="Arial"/>
                <w:sz w:val="18"/>
                <w:szCs w:val="18"/>
                <w:color w:val="auto"/>
              </w:rPr>
              <w:t>Weighted average shares of Class A common stock outstanding—diluted</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94,013,583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Class A common shareholders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(0.32)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uses the treasury stock method to determine the potential dilutive effect of warrants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period after the Business Combination to June 30, 2021, there were no anti-dilutive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Financial instruments measured and reported at fair value are classified and disclosed in one of the following categories (from highest to lowest)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inputs:</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17"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62" w:lineRule="exact"/>
        <w:rPr>
          <w:sz w:val="20"/>
          <w:szCs w:val="20"/>
          <w:color w:val="auto"/>
        </w:rPr>
      </w:pPr>
    </w:p>
    <w:p>
      <w:pPr>
        <w:ind w:left="1100" w:right="120"/>
        <w:spacing w:after="0" w:line="342" w:lineRule="auto"/>
        <w:rPr>
          <w:sz w:val="20"/>
          <w:szCs w:val="20"/>
          <w:color w:val="auto"/>
        </w:rPr>
      </w:pPr>
      <w:r>
        <w:rPr>
          <w:rFonts w:ascii="Arial" w:cs="Arial" w:eastAsia="Arial" w:hAnsi="Arial"/>
          <w:sz w:val="16"/>
          <w:szCs w:val="16"/>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24"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June 30, 2021 and December 31, 2020:</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6"/>
              </w:rPr>
              <w:t>June 30, 2021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84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rPr>
              <w:t>Level 2</w:t>
            </w:r>
          </w:p>
        </w:tc>
        <w:tc>
          <w:tcPr>
            <w:tcW w:w="84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87"/>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Investments in mutual funds and other</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470</w:t>
            </w:r>
          </w:p>
        </w:tc>
        <w:tc>
          <w:tcPr>
            <w:tcW w:w="140" w:type="dxa"/>
            <w:vAlign w:val="bottom"/>
          </w:tcPr>
          <w:p>
            <w:pPr>
              <w:spacing w:after="0"/>
              <w:rPr>
                <w:sz w:val="19"/>
                <w:szCs w:val="19"/>
                <w:color w:val="auto"/>
              </w:rPr>
            </w:pPr>
          </w:p>
        </w:tc>
        <w:tc>
          <w:tcPr>
            <w:tcW w:w="840" w:type="dxa"/>
            <w:vAlign w:val="bottom"/>
            <w:gridSpan w:val="4"/>
          </w:tcPr>
          <w:p>
            <w:pPr>
              <w:ind w:left="240"/>
              <w:spacing w:after="0"/>
              <w:rPr>
                <w:sz w:val="20"/>
                <w:szCs w:val="20"/>
                <w:color w:val="auto"/>
              </w:rPr>
            </w:pPr>
            <w:r>
              <w:rPr>
                <w:rFonts w:ascii="Arial" w:cs="Arial" w:eastAsia="Arial" w:hAnsi="Arial"/>
                <w:sz w:val="20"/>
                <w:szCs w:val="20"/>
                <w:color w:val="auto"/>
              </w:rPr>
              <w:t>$ —</w:t>
            </w:r>
          </w:p>
        </w:tc>
        <w:tc>
          <w:tcPr>
            <w:tcW w:w="840" w:type="dxa"/>
            <w:vAlign w:val="bottom"/>
            <w:gridSpan w:val="4"/>
          </w:tcPr>
          <w:p>
            <w:pPr>
              <w:ind w:left="240"/>
              <w:spacing w:after="0"/>
              <w:rPr>
                <w:sz w:val="20"/>
                <w:szCs w:val="20"/>
                <w:color w:val="auto"/>
              </w:rPr>
            </w:pPr>
            <w:r>
              <w:rPr>
                <w:rFonts w:ascii="Arial" w:cs="Arial" w:eastAsia="Arial" w:hAnsi="Arial"/>
                <w:sz w:val="20"/>
                <w:szCs w:val="20"/>
                <w:color w:val="auto"/>
              </w:rPr>
              <w:t>$ —</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470</w:t>
            </w:r>
          </w:p>
        </w:tc>
        <w:tc>
          <w:tcPr>
            <w:tcW w:w="60" w:type="dxa"/>
            <w:vAlign w:val="bottom"/>
          </w:tcPr>
          <w:p>
            <w:pPr>
              <w:spacing w:after="0"/>
              <w:rPr>
                <w:sz w:val="19"/>
                <w:szCs w:val="19"/>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surrender value of company-owned life insurance</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20"/>
                <w:szCs w:val="20"/>
                <w:color w:val="auto"/>
                <w:w w:val="89"/>
              </w:rPr>
              <w:t>894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894</w:t>
            </w:r>
          </w:p>
        </w:tc>
        <w:tc>
          <w:tcPr>
            <w:tcW w:w="60" w:type="dxa"/>
            <w:vAlign w:val="bottom"/>
            <w:shd w:val="clear" w:color="auto" w:fill="CCEEFF"/>
          </w:tcPr>
          <w:p>
            <w:pPr>
              <w:spacing w:after="0"/>
              <w:rPr>
                <w:sz w:val="19"/>
                <w:szCs w:val="19"/>
                <w:color w:val="auto"/>
              </w:rPr>
            </w:pPr>
          </w:p>
        </w:tc>
      </w:tr>
      <w:tr>
        <w:trPr>
          <w:trHeight w:val="223"/>
        </w:trPr>
        <w:tc>
          <w:tcPr>
            <w:tcW w:w="508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7"/>
              </w:rPr>
              <w:t>$ 894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1,364</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Warrant liabilities - Public warrants</w:t>
            </w:r>
          </w:p>
        </w:tc>
        <w:tc>
          <w:tcPr>
            <w:tcW w:w="1400" w:type="dxa"/>
            <w:vAlign w:val="bottom"/>
            <w:gridSpan w:val="5"/>
          </w:tcPr>
          <w:p>
            <w:pPr>
              <w:jc w:val="right"/>
              <w:spacing w:after="0"/>
              <w:rPr>
                <w:sz w:val="20"/>
                <w:szCs w:val="20"/>
                <w:color w:val="auto"/>
              </w:rPr>
            </w:pPr>
            <w:r>
              <w:rPr>
                <w:rFonts w:ascii="Arial" w:cs="Arial" w:eastAsia="Arial" w:hAnsi="Arial"/>
                <w:sz w:val="20"/>
                <w:szCs w:val="20"/>
                <w:color w:val="auto"/>
              </w:rPr>
              <w:t>$21,313</w:t>
            </w:r>
          </w:p>
        </w:tc>
        <w:tc>
          <w:tcPr>
            <w:tcW w:w="140" w:type="dxa"/>
            <w:vAlign w:val="bottom"/>
          </w:tcPr>
          <w:p>
            <w:pPr>
              <w:spacing w:after="0"/>
              <w:rPr>
                <w:sz w:val="19"/>
                <w:szCs w:val="19"/>
                <w:color w:val="auto"/>
              </w:rPr>
            </w:pPr>
          </w:p>
        </w:tc>
        <w:tc>
          <w:tcPr>
            <w:tcW w:w="840" w:type="dxa"/>
            <w:vAlign w:val="bottom"/>
            <w:gridSpan w:val="4"/>
          </w:tcPr>
          <w:p>
            <w:pPr>
              <w:ind w:left="240"/>
              <w:spacing w:after="0"/>
              <w:rPr>
                <w:sz w:val="20"/>
                <w:szCs w:val="20"/>
                <w:color w:val="auto"/>
              </w:rPr>
            </w:pPr>
            <w:r>
              <w:rPr>
                <w:rFonts w:ascii="Arial" w:cs="Arial" w:eastAsia="Arial" w:hAnsi="Arial"/>
                <w:sz w:val="20"/>
                <w:szCs w:val="20"/>
                <w:color w:val="auto"/>
              </w:rPr>
              <w:t>$ —</w:t>
            </w:r>
          </w:p>
        </w:tc>
        <w:tc>
          <w:tcPr>
            <w:tcW w:w="840" w:type="dxa"/>
            <w:vAlign w:val="bottom"/>
            <w:gridSpan w:val="4"/>
          </w:tcPr>
          <w:p>
            <w:pPr>
              <w:ind w:left="240"/>
              <w:spacing w:after="0"/>
              <w:rPr>
                <w:sz w:val="20"/>
                <w:szCs w:val="20"/>
                <w:color w:val="auto"/>
              </w:rPr>
            </w:pPr>
            <w:r>
              <w:rPr>
                <w:rFonts w:ascii="Arial" w:cs="Arial" w:eastAsia="Arial" w:hAnsi="Arial"/>
                <w:sz w:val="20"/>
                <w:szCs w:val="20"/>
                <w:color w:val="auto"/>
              </w:rPr>
              <w:t>$ —</w:t>
            </w:r>
          </w:p>
        </w:tc>
        <w:tc>
          <w:tcPr>
            <w:tcW w:w="900" w:type="dxa"/>
            <w:vAlign w:val="bottom"/>
            <w:gridSpan w:val="5"/>
          </w:tcPr>
          <w:p>
            <w:pPr>
              <w:jc w:val="right"/>
              <w:spacing w:after="0"/>
              <w:rPr>
                <w:sz w:val="20"/>
                <w:szCs w:val="20"/>
                <w:color w:val="auto"/>
              </w:rPr>
            </w:pPr>
            <w:r>
              <w:rPr>
                <w:rFonts w:ascii="Arial" w:cs="Arial" w:eastAsia="Arial" w:hAnsi="Arial"/>
                <w:sz w:val="20"/>
                <w:szCs w:val="20"/>
                <w:color w:val="auto"/>
              </w:rPr>
              <w:t>$21,313</w:t>
            </w:r>
          </w:p>
        </w:tc>
        <w:tc>
          <w:tcPr>
            <w:tcW w:w="60" w:type="dxa"/>
            <w:vAlign w:val="bottom"/>
          </w:tcPr>
          <w:p>
            <w:pPr>
              <w:spacing w:after="0"/>
              <w:rPr>
                <w:sz w:val="19"/>
                <w:szCs w:val="19"/>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 - Private warrants</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680" w:type="dxa"/>
            <w:vAlign w:val="bottom"/>
            <w:gridSpan w:val="3"/>
            <w:shd w:val="clear" w:color="auto" w:fill="CCEEFF"/>
          </w:tcPr>
          <w:p>
            <w:pPr>
              <w:ind w:left="380"/>
              <w:spacing w:after="0"/>
              <w:rPr>
                <w:sz w:val="20"/>
                <w:szCs w:val="20"/>
                <w:color w:val="auto"/>
              </w:rPr>
            </w:pPr>
            <w:r>
              <w:rPr>
                <w:rFonts w:ascii="Arial" w:cs="Arial" w:eastAsia="Arial" w:hAnsi="Arial"/>
                <w:sz w:val="20"/>
                <w:szCs w:val="20"/>
                <w:color w:val="auto"/>
                <w:w w:val="83"/>
              </w:rPr>
              <w:t>647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647</w:t>
            </w:r>
          </w:p>
        </w:tc>
        <w:tc>
          <w:tcPr>
            <w:tcW w:w="60" w:type="dxa"/>
            <w:vAlign w:val="bottom"/>
            <w:shd w:val="clear" w:color="auto" w:fill="CCEEFF"/>
          </w:tcPr>
          <w:p>
            <w:pPr>
              <w:spacing w:after="0"/>
              <w:rPr>
                <w:sz w:val="19"/>
                <w:szCs w:val="19"/>
                <w:color w:val="auto"/>
              </w:rPr>
            </w:pPr>
          </w:p>
        </w:tc>
      </w:tr>
      <w:tr>
        <w:trPr>
          <w:trHeight w:val="223"/>
        </w:trPr>
        <w:tc>
          <w:tcPr>
            <w:tcW w:w="508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74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$ 21,313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$ 647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1"/>
              </w:rPr>
              <w:t>$ 21,960</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6"/>
              </w:rPr>
              <w:t>December 31, 2020</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6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2"/>
                <w:szCs w:val="12"/>
                <w:color w:val="auto"/>
              </w:rPr>
            </w:pPr>
          </w:p>
        </w:tc>
        <w:tc>
          <w:tcPr>
            <w:tcW w:w="6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Investments in mutual funds and other</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ind w:left="260"/>
              <w:spacing w:after="0"/>
              <w:rPr>
                <w:sz w:val="20"/>
                <w:szCs w:val="20"/>
                <w:color w:val="auto"/>
              </w:rPr>
            </w:pPr>
            <w:r>
              <w:rPr>
                <w:rFonts w:ascii="Arial" w:cs="Arial" w:eastAsia="Arial" w:hAnsi="Arial"/>
                <w:sz w:val="20"/>
                <w:szCs w:val="20"/>
                <w:color w:val="auto"/>
                <w:w w:val="87"/>
              </w:rPr>
              <w:t>$ 584</w:t>
            </w:r>
          </w:p>
        </w:tc>
        <w:tc>
          <w:tcPr>
            <w:tcW w:w="240" w:type="dxa"/>
            <w:vAlign w:val="bottom"/>
          </w:tcPr>
          <w:p>
            <w:pPr>
              <w:spacing w:after="0"/>
              <w:rPr>
                <w:sz w:val="19"/>
                <w:szCs w:val="19"/>
                <w:color w:val="auto"/>
              </w:rPr>
            </w:pPr>
          </w:p>
        </w:tc>
        <w:tc>
          <w:tcPr>
            <w:tcW w:w="600" w:type="dxa"/>
            <w:vAlign w:val="bottom"/>
            <w:gridSpan w:val="3"/>
          </w:tcPr>
          <w:p>
            <w:pPr>
              <w:ind w:left="140"/>
              <w:spacing w:after="0"/>
              <w:rPr>
                <w:sz w:val="20"/>
                <w:szCs w:val="20"/>
                <w:color w:val="auto"/>
              </w:rPr>
            </w:pPr>
            <w:r>
              <w:rPr>
                <w:rFonts w:ascii="Arial" w:cs="Arial" w:eastAsia="Arial" w:hAnsi="Arial"/>
                <w:sz w:val="20"/>
                <w:szCs w:val="20"/>
                <w:color w:val="auto"/>
              </w:rPr>
              <w:t>$ —</w:t>
            </w:r>
          </w:p>
        </w:tc>
        <w:tc>
          <w:tcPr>
            <w:tcW w:w="240" w:type="dxa"/>
            <w:vAlign w:val="bottom"/>
          </w:tcPr>
          <w:p>
            <w:pPr>
              <w:spacing w:after="0"/>
              <w:rPr>
                <w:sz w:val="19"/>
                <w:szCs w:val="19"/>
                <w:color w:val="auto"/>
              </w:rPr>
            </w:pPr>
          </w:p>
        </w:tc>
        <w:tc>
          <w:tcPr>
            <w:tcW w:w="600" w:type="dxa"/>
            <w:vAlign w:val="bottom"/>
            <w:gridSpan w:val="3"/>
          </w:tcPr>
          <w:p>
            <w:pPr>
              <w:ind w:left="140"/>
              <w:spacing w:after="0"/>
              <w:rPr>
                <w:sz w:val="20"/>
                <w:szCs w:val="20"/>
                <w:color w:val="auto"/>
              </w:rPr>
            </w:pPr>
            <w:r>
              <w:rPr>
                <w:rFonts w:ascii="Arial" w:cs="Arial" w:eastAsia="Arial" w:hAnsi="Arial"/>
                <w:sz w:val="20"/>
                <w:szCs w:val="20"/>
                <w:color w:val="auto"/>
              </w:rPr>
              <w:t>$ —</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20"/>
                <w:szCs w:val="20"/>
                <w:color w:val="auto"/>
                <w:w w:val="71"/>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584</w:t>
            </w:r>
          </w:p>
        </w:tc>
        <w:tc>
          <w:tcPr>
            <w:tcW w:w="60" w:type="dxa"/>
            <w:vAlign w:val="bottom"/>
          </w:tcPr>
          <w:p>
            <w:pPr>
              <w:spacing w:after="0"/>
              <w:rPr>
                <w:sz w:val="19"/>
                <w:szCs w:val="19"/>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surrender value of company-owned life insurance</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857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857</w:t>
            </w:r>
          </w:p>
        </w:tc>
        <w:tc>
          <w:tcPr>
            <w:tcW w:w="60" w:type="dxa"/>
            <w:vAlign w:val="bottom"/>
            <w:shd w:val="clear" w:color="auto" w:fill="CCEEFF"/>
          </w:tcPr>
          <w:p>
            <w:pPr>
              <w:spacing w:after="0"/>
              <w:rPr>
                <w:sz w:val="19"/>
                <w:szCs w:val="19"/>
                <w:color w:val="auto"/>
              </w:rPr>
            </w:pPr>
          </w:p>
        </w:tc>
      </w:tr>
      <w:tr>
        <w:trPr>
          <w:trHeight w:val="223"/>
        </w:trPr>
        <w:tc>
          <w:tcPr>
            <w:tcW w:w="508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$ 584</w:t>
            </w:r>
          </w:p>
        </w:tc>
        <w:tc>
          <w:tcPr>
            <w:tcW w:w="400" w:type="dxa"/>
            <w:vAlign w:val="bottom"/>
            <w:gridSpan w:val="2"/>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$ 857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6"/>
              </w:rPr>
              <w:t>$ —</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1,441</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no transfers between fair value levels during the three and six months ended June 30, 2021.</w:t>
      </w:r>
    </w:p>
    <w:p>
      <w:pPr>
        <w:spacing w:after="0" w:line="225"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As of June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4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June 30, 2021 and December 31, 2020, which approximates fair value.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public warrants are valued using quoted market prices on the Nasdaq Capital Market under the ticker PWPPW and are included in Warrant liabilities on the Condensed Consolidated Statements of Financial Condition. As of June 30, 2021, the price per public warrant was $2.78.</w:t>
      </w:r>
    </w:p>
    <w:p>
      <w:pPr>
        <w:spacing w:after="0" w:line="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80"/>
          </w:cols>
          <w:pgMar w:left="320" w:top="459"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June 30, 2021 because of the use of significant unobservable inputs in the Valuation Model. The inputs into the Valuation Model for the private warrants, including some significant unobservable inputs, were as follows: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term (years)</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Asset price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31" w:lineRule="exact"/>
        <w:rPr>
          <w:sz w:val="20"/>
          <w:szCs w:val="20"/>
          <w:color w:val="auto"/>
        </w:rPr>
      </w:pPr>
    </w:p>
    <w:p>
      <w:pPr>
        <w:ind w:left="10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dividend yield was based on management’s expectation that the Company will pay 2% dividends during the term.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resulting valuation for the private warrants were determined to be $3.18 per unit as of June 30, 2021. The Company had</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approximately 203,333.33 private warrants outstanding as of June 30, 2021, resulting in a fair value of $0.6 million recorded within Warrant liabilities in the Condensed Consolidated Statements of Financial Condition.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changes in Level 3 financial liabilities measured at fair value for the period from June 24, 2021 to June 30, 2021:</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Private Warrants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Business Combination</w:t>
            </w:r>
          </w:p>
        </w:tc>
        <w:tc>
          <w:tcPr>
            <w:tcW w:w="3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675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Change in fair value</w:t>
            </w:r>
          </w:p>
        </w:tc>
        <w:tc>
          <w:tcPr>
            <w:tcW w:w="3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40" w:type="dxa"/>
            <w:vAlign w:val="bottom"/>
            <w:vMerge w:val="restart"/>
          </w:tcPr>
          <w:p>
            <w:pPr>
              <w:jc w:val="right"/>
              <w:ind w:right="2350"/>
              <w:spacing w:after="0"/>
              <w:rPr>
                <w:sz w:val="20"/>
                <w:szCs w:val="20"/>
                <w:color w:val="auto"/>
              </w:rPr>
            </w:pPr>
            <w:r>
              <w:rPr>
                <w:rFonts w:ascii="Arial" w:cs="Arial" w:eastAsia="Arial" w:hAnsi="Arial"/>
                <w:sz w:val="18"/>
                <w:szCs w:val="18"/>
                <w:color w:val="auto"/>
              </w:rPr>
              <w:t>47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June 30, 2021, the Company applies the equity method of accounting to its investment in PFAC Holdings I LLC (“PFAC Holdings”), an indirect parent of PWP Forward Acquisition Corp. I (“PFAC”), a special purpose acquisition company. As of June 30, 2021, the Company’s investment in PFAC Holdings was $1.1 million. The Company’s share of earnings of PFAC Holdings is included in the Condensed Consolidated Statements of Operations for the three and six months ended June 30, 2021.</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320" w:top="459"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TSA Agreement </w:t>
      </w:r>
      <w:r>
        <w:rPr>
          <w:rFonts w:ascii="Arial" w:cs="Arial" w:eastAsia="Arial" w:hAnsi="Arial"/>
          <w:sz w:val="17"/>
          <w:szCs w:val="17"/>
          <w:color w:val="auto"/>
        </w:rPr>
        <w:t>– In connection with the Separation, the Company entered into a transition services agreement (the “TSA”) with PWP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8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and Houston locations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PWP Capital Holdings LP.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14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shows the components of TSA income, reported within Related party income, and expenses included in the Condensed Consolidated Statements of Operations for the periods presented: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69"/>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TSA income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TSA income – Compensation related</w:t>
            </w:r>
          </w:p>
        </w:tc>
        <w:tc>
          <w:tcPr>
            <w:tcW w:w="1840" w:type="dxa"/>
            <w:vAlign w:val="bottom"/>
            <w:gridSpan w:val="2"/>
          </w:tcPr>
          <w:p>
            <w:pPr>
              <w:ind w:left="1720"/>
              <w:spacing w:after="0"/>
              <w:rPr>
                <w:sz w:val="20"/>
                <w:szCs w:val="20"/>
                <w:color w:val="auto"/>
              </w:rPr>
            </w:pPr>
            <w:r>
              <w:rPr>
                <w:rFonts w:ascii="Arial" w:cs="Arial" w:eastAsia="Arial" w:hAnsi="Arial"/>
                <w:sz w:val="20"/>
                <w:szCs w:val="20"/>
                <w:color w:val="auto"/>
                <w:w w:val="89"/>
              </w:rPr>
              <w:t>$</w:t>
            </w:r>
          </w:p>
        </w:tc>
        <w:tc>
          <w:tcPr>
            <w:tcW w:w="760" w:type="dxa"/>
            <w:vAlign w:val="bottom"/>
            <w:gridSpan w:val="2"/>
          </w:tcPr>
          <w:p>
            <w:pPr>
              <w:jc w:val="right"/>
              <w:ind w:right="340"/>
              <w:spacing w:after="0"/>
              <w:rPr>
                <w:sz w:val="20"/>
                <w:szCs w:val="20"/>
                <w:color w:val="auto"/>
              </w:rPr>
            </w:pPr>
            <w:r>
              <w:rPr>
                <w:rFonts w:ascii="Arial" w:cs="Arial" w:eastAsia="Arial" w:hAnsi="Arial"/>
                <w:sz w:val="20"/>
                <w:szCs w:val="20"/>
                <w:color w:val="auto"/>
              </w:rPr>
              <w:t>562</w:t>
            </w:r>
          </w:p>
        </w:tc>
        <w:tc>
          <w:tcPr>
            <w:tcW w:w="14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20"/>
                <w:szCs w:val="20"/>
                <w:color w:val="auto"/>
                <w:w w:val="91"/>
              </w:rPr>
              <w:t>1,049</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780" w:type="dxa"/>
            <w:vAlign w:val="bottom"/>
            <w:gridSpan w:val="2"/>
          </w:tcPr>
          <w:p>
            <w:pPr>
              <w:jc w:val="right"/>
              <w:ind w:right="340"/>
              <w:spacing w:after="0"/>
              <w:rPr>
                <w:sz w:val="20"/>
                <w:szCs w:val="20"/>
                <w:color w:val="auto"/>
              </w:rPr>
            </w:pPr>
            <w:r>
              <w:rPr>
                <w:rFonts w:ascii="Arial" w:cs="Arial" w:eastAsia="Arial" w:hAnsi="Arial"/>
                <w:sz w:val="20"/>
                <w:szCs w:val="20"/>
                <w:color w:val="auto"/>
                <w:w w:val="83"/>
              </w:rPr>
              <w:t>1,149</w:t>
            </w:r>
          </w:p>
        </w:tc>
        <w:tc>
          <w:tcPr>
            <w:tcW w:w="100" w:type="dxa"/>
            <w:vAlign w:val="bottom"/>
          </w:tcPr>
          <w:p>
            <w:pPr>
              <w:spacing w:after="0"/>
              <w:rPr>
                <w:sz w:val="20"/>
                <w:szCs w:val="20"/>
                <w:color w:val="auto"/>
              </w:rPr>
            </w:pPr>
            <w:r>
              <w:rPr>
                <w:rFonts w:ascii="Arial" w:cs="Arial" w:eastAsia="Arial" w:hAnsi="Arial"/>
                <w:sz w:val="20"/>
                <w:szCs w:val="2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20"/>
                <w:szCs w:val="20"/>
                <w:color w:val="auto"/>
                <w:w w:val="87"/>
              </w:rPr>
              <w:t>2,136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TSA income – Non-compensation related</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157</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386</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337</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684</w:t>
            </w:r>
          </w:p>
        </w:tc>
        <w:tc>
          <w:tcPr>
            <w:tcW w:w="0" w:type="dxa"/>
            <w:vAlign w:val="bottom"/>
          </w:tcPr>
          <w:p>
            <w:pPr>
              <w:spacing w:after="0"/>
              <w:rPr>
                <w:sz w:val="1"/>
                <w:szCs w:val="1"/>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Sublease income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20"/>
                <w:szCs w:val="20"/>
                <w:color w:val="auto"/>
              </w:rPr>
              <w:t>806</w:t>
            </w:r>
          </w:p>
        </w:tc>
        <w:tc>
          <w:tcPr>
            <w:tcW w:w="14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20"/>
                <w:szCs w:val="20"/>
                <w:color w:val="auto"/>
              </w:rPr>
              <w:t>967</w:t>
            </w:r>
          </w:p>
        </w:tc>
        <w:tc>
          <w:tcPr>
            <w:tcW w:w="1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20"/>
                <w:szCs w:val="20"/>
                <w:color w:val="auto"/>
                <w:w w:val="83"/>
              </w:rPr>
              <w:t>1,613</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20"/>
                <w:szCs w:val="20"/>
                <w:color w:val="auto"/>
                <w:w w:val="87"/>
              </w:rPr>
              <w:t>1,951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TSA income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1,525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3,099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4,771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TSA expenses</w:t>
            </w: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TSA compensation expense (1)</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136</w:t>
            </w:r>
          </w:p>
        </w:tc>
        <w:tc>
          <w:tcPr>
            <w:tcW w:w="14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63</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138</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37"/>
        </w:trPr>
        <w:tc>
          <w:tcPr>
            <w:tcW w:w="5080" w:type="dxa"/>
            <w:vAlign w:val="bottom"/>
          </w:tcPr>
          <w:p>
            <w:pPr>
              <w:ind w:left="360"/>
              <w:spacing w:after="0"/>
              <w:rPr>
                <w:sz w:val="20"/>
                <w:szCs w:val="20"/>
                <w:color w:val="auto"/>
              </w:rPr>
            </w:pPr>
            <w:r>
              <w:rPr>
                <w:rFonts w:ascii="Arial" w:cs="Arial" w:eastAsia="Arial" w:hAnsi="Arial"/>
                <w:sz w:val="18"/>
                <w:szCs w:val="18"/>
                <w:color w:val="auto"/>
              </w:rPr>
              <w:t>TSA non-compensation expense (2)</w:t>
            </w: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TSA expenses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TSA compensation expense is included in Compensation and benefits in the Condensed Consolidated Statements of Operations.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TSA non-compensation expense is included in various financial statement line items in the Condensed Consolidated Statements of Operations.</w:t>
      </w:r>
    </w:p>
    <w:p>
      <w:pPr>
        <w:spacing w:after="0" w:line="16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40"/>
          </w:cols>
          <w:pgMar w:left="320" w:top="459" w:right="7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the Business Combination, the Company entered into a tax receivable agreement with Professional Partners and certain other persons under which the Company agreed to payment of 85% of the amount of savings, if any, that the Company realizes in U.S. federal, state, local and foreign income taxes as a result of (i) exchanges of interests in PWP OpCo for cash or stock of the Company and certain other transactions and</w:t>
      </w:r>
    </w:p>
    <w:p>
      <w:pPr>
        <w:spacing w:after="0" w:line="2" w:lineRule="exact"/>
        <w:rPr>
          <w:sz w:val="20"/>
          <w:szCs w:val="20"/>
          <w:color w:val="auto"/>
        </w:rPr>
      </w:pPr>
    </w:p>
    <w:p>
      <w:pPr>
        <w:ind w:left="120" w:right="60" w:hanging="4"/>
        <w:spacing w:after="0" w:line="253" w:lineRule="auto"/>
        <w:tabs>
          <w:tab w:leader="none" w:pos="3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made under the tax receivable agreement. As of June 30, 2021, the Company had an amount due of $13.7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Payments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Under Tax</w:t>
            </w:r>
          </w:p>
        </w:tc>
        <w:tc>
          <w:tcPr>
            <w:tcW w:w="0" w:type="dxa"/>
            <w:vAlign w:val="bottom"/>
          </w:tcPr>
          <w:p>
            <w:pPr>
              <w:spacing w:after="0"/>
              <w:rPr>
                <w:sz w:val="1"/>
                <w:szCs w:val="1"/>
                <w:color w:val="auto"/>
              </w:rPr>
            </w:pPr>
          </w:p>
        </w:tc>
      </w:tr>
      <w:tr>
        <w:trPr>
          <w:trHeight w:val="148"/>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Receivable</w:t>
            </w:r>
          </w:p>
        </w:tc>
        <w:tc>
          <w:tcPr>
            <w:tcW w:w="0" w:type="dxa"/>
            <w:vAlign w:val="bottom"/>
          </w:tcPr>
          <w:p>
            <w:pPr>
              <w:spacing w:after="0"/>
              <w:rPr>
                <w:sz w:val="1"/>
                <w:szCs w:val="1"/>
                <w:color w:val="auto"/>
              </w:rPr>
            </w:pPr>
          </w:p>
        </w:tc>
      </w:tr>
      <w:tr>
        <w:trPr>
          <w:trHeight w:val="171"/>
        </w:trPr>
        <w:tc>
          <w:tcPr>
            <w:tcW w:w="6740" w:type="dxa"/>
            <w:vAlign w:val="bottom"/>
            <w:gridSpan w:val="2"/>
            <w:vMerge w:val="continue"/>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8"/>
              </w:rPr>
              <w:t>Agreement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418</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20"/>
                <w:szCs w:val="20"/>
                <w:color w:val="auto"/>
              </w:rPr>
              <w:t>722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732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20"/>
                <w:szCs w:val="20"/>
                <w:color w:val="auto"/>
              </w:rPr>
              <w:t>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765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20"/>
                <w:szCs w:val="20"/>
                <w:color w:val="auto"/>
                <w:w w:val="88"/>
              </w:rPr>
              <w:t>10,263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88"/>
              </w:rPr>
              <w:t>13,650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Related Party Fees</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six months ended June 30, 2021. In addition, the Company receives a fee of $10,000 per month for certain administrative services provided to PFAC.</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During the six months ended June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$7.7 million and $8.0 million as of June 30, 2021 and December 31, 2020, respectively.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Guarantees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$4.0 million and $5.6 million as of June 30, 2021 and December 31, 2020, respectively. These guarantees are secured by either the partners’ interests in PWP OpCo or Professional Partners. As of June 30, 2021 and December 31, 2020, no loan was in default.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June 30, 2021 and December 31, 2020, the Company expects no claims or losses pursuant to these contracts; therefore, no liability has been recorded related to these indemnification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June 30, 2021 and December 31, 2020 and for the three and six months ended June 30, 2021 and 2020.</w:t>
      </w:r>
    </w:p>
    <w:p>
      <w:pPr>
        <w:spacing w:after="0" w:line="16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9"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9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incurred $0.5 million and $0.7 million during the three and six months ended June 30, 2021, respectively, and $0.4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$0.7 million during the three and six months ended June 30, 2020, respectively, in legal and professional fees, net of expected insurance reimbursement,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to this litigation. These litigation costs are included in Professional fees in the Condensed Consolidated Statements of Operations.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ordinary course of business and in connection with hiring certain senior employees, the Company has entered into employment agreements whereby the Company commits to grant future equity awards to such newly hired employees that is contingent upon certain events (including but not limited to the Company becoming a public company). Once all contingencies have been met and all key terms and conditions surrounding these awards are known, equity-based compensation cost will be recognized over the requisite service period. As of June 30, 2021, the Company had approximately $24.8 million of potential future equity awards pursuant to these agreements. The Company expects to settle these commitments in the third quarter of 2021 with a grant of awards approved by the compensation committee under our PWP Incentive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 Business Information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 the three months ended June 30, 2021, revenues of $30.0 million related to one individual client accounted for more than 10% of aggregate revenue. For the six months ended June 30, 2021, no individual client accounted for more than 10% of aggregate revenue. For the three and six months ended June 30, 2020, revenues of $46.3 million and $26.2 million related to three individual clients and one individual client, respectively,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2021</w:t>
            </w:r>
          </w:p>
        </w:tc>
        <w:tc>
          <w:tcPr>
            <w:tcW w:w="12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2021</w:t>
            </w:r>
          </w:p>
        </w:tc>
        <w:tc>
          <w:tcPr>
            <w:tcW w:w="12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6100" w:type="dxa"/>
            <w:vAlign w:val="bottom"/>
            <w:vMerge w:val="continue"/>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-135890</wp:posOffset>
            </wp:positionV>
            <wp:extent cx="64293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w w:val="88"/>
              </w:rPr>
              <w:t>$218,037</w:t>
            </w:r>
          </w:p>
        </w:tc>
        <w:tc>
          <w:tcPr>
            <w:tcW w:w="3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w w:val="84"/>
              </w:rPr>
              <w:t>$ 85,638</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w w:val="88"/>
              </w:rPr>
              <w:t>$344,863</w:t>
            </w:r>
          </w:p>
        </w:tc>
        <w:tc>
          <w:tcPr>
            <w:tcW w:w="980" w:type="dxa"/>
            <w:vAlign w:val="bottom"/>
            <w:gridSpan w:val="3"/>
          </w:tcPr>
          <w:p>
            <w:pPr>
              <w:jc w:val="right"/>
              <w:ind w:right="40"/>
              <w:spacing w:after="0"/>
              <w:rPr>
                <w:sz w:val="20"/>
                <w:szCs w:val="20"/>
                <w:color w:val="auto"/>
              </w:rPr>
            </w:pPr>
            <w:r>
              <w:rPr>
                <w:rFonts w:ascii="Arial" w:cs="Arial" w:eastAsia="Arial" w:hAnsi="Arial"/>
                <w:sz w:val="20"/>
                <w:szCs w:val="20"/>
                <w:color w:val="auto"/>
              </w:rPr>
              <w:t>$141,350</w:t>
            </w: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rPr>
              <w:t>37,483</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28,963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80,459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65,647</w:t>
            </w:r>
          </w:p>
        </w:tc>
      </w:tr>
      <w:tr>
        <w:trPr>
          <w:trHeight w:val="223"/>
        </w:trPr>
        <w:tc>
          <w:tcPr>
            <w:tcW w:w="610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$ 255,520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114,601</w:t>
            </w: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$ 425,322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$ 206,997</w:t>
            </w:r>
          </w:p>
        </w:tc>
        <w:tc>
          <w:tcPr>
            <w:tcW w:w="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Pr>
          <w:p>
            <w:pPr>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-135890</wp:posOffset>
            </wp:positionV>
            <wp:extent cx="53149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340" w:type="dxa"/>
            <w:vAlign w:val="bottom"/>
            <w:gridSpan w:val="3"/>
          </w:tcPr>
          <w:p>
            <w:pPr>
              <w:jc w:val="right"/>
              <w:ind w:right="660"/>
              <w:spacing w:after="0"/>
              <w:rPr>
                <w:sz w:val="20"/>
                <w:szCs w:val="20"/>
                <w:color w:val="auto"/>
              </w:rPr>
            </w:pPr>
            <w:r>
              <w:rPr>
                <w:rFonts w:ascii="Arial" w:cs="Arial" w:eastAsia="Arial" w:hAnsi="Arial"/>
                <w:sz w:val="20"/>
                <w:szCs w:val="20"/>
                <w:color w:val="auto"/>
                <w:w w:val="91"/>
              </w:rPr>
              <w:t>461,723</w:t>
            </w: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auto"/>
              </w:rPr>
              <w:t>406,884</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20"/>
                <w:szCs w:val="20"/>
                <w:color w:val="auto"/>
                <w:w w:val="91"/>
              </w:rPr>
              <w:t>148,729</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136,069</w:t>
            </w:r>
          </w:p>
        </w:tc>
      </w:tr>
      <w:tr>
        <w:trPr>
          <w:trHeight w:val="223"/>
        </w:trPr>
        <w:tc>
          <w:tcPr>
            <w:tcW w:w="566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610,452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July 26, 2021, the Company executed a lease amendment to vacate a portion of its Houston office space, which resulted in an adjustment to the right-of-use lease asset and corresponding lease liability. The Houston sublease agreement with the Asset Management business was terminated in conjunction with this lease amendment.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adjustment to the right-of-use lease asset and corresponding lease liability.</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On August 3, 2021, the Company’s Board of Directors declared a cash dividend of $0.07 per outstanding share of Class A common stock. This dividend will be payable on September 21, 2021 to each of the holders of Class A common stock of record as of the close of business on September 3,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14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August 3, 2021, the compensation committee of the Board of Directors approved certain Business Combination-related incentive compensation awards in the form of restricted stock units (“RSUs”) for grant pursuant to the PWP Incentive Plan. 10,200,000 RSUs from the Transaction Pool Share Reserve will be granted to certain working partners, employees and certain other eligible recipients. In addition, 9,500,000 RSUs from the General Share Reserve will be granted to the Company’s top three executive officers and a small number of other partners.</w:t>
      </w:r>
    </w:p>
    <w:p>
      <w:pPr>
        <w:spacing w:after="0" w:line="17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4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78"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capital markets advisory, shareholder and defense advisory, capital raising, capital structure and restructuring, specialized underwriting and research services for the energy industry.</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June 30, 2021, we serve our clients with 57 advisory partners based in 10 offices, located in five countries around the world.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direct ownership interests in shares of Class A common stock of Perella Weinberg Partners. The non-controlling interest owners of PWP OpCo receive economics through ownership of PWP OpCo Class A partnership units (“PWP OpCo Units”). See Note 3 – Business Combination and Note 11 – Stockholders’ Equity in the notes to condensed consolidated financial statements included elsewhere in this Form 10-Q for additional discussion related to the transaction.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Worldwide announced M&amp;A volumes during the first quarter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six months ended June 30, 2021.</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Although restructuring activity in the first half of 2021 was higher than in the first half of 2020, this level of activity moderated in the first half of 2021 compared to the elevated levels seen throughout most of 2020. Restructuring activity continues to be less active as compared to 2020 and while we expect that this more moderate pace of activity will continue through the year, we believe that the restructuring and liability management opportunity remains significant.</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84"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Form 10-Q for a discussion of some of the factors that can affect our performance.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7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gridSpan w:val="2"/>
            <w:vMerge w:val="restart"/>
          </w:tcPr>
          <w:p>
            <w:pPr>
              <w:jc w:val="right"/>
              <w:ind w:right="12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14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0"/>
                <w:szCs w:val="10"/>
                <w:color w:val="auto"/>
              </w:rPr>
            </w:pPr>
          </w:p>
        </w:tc>
        <w:tc>
          <w:tcPr>
            <w:tcW w:w="5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2021 vs.</w:t>
            </w:r>
          </w:p>
        </w:tc>
        <w:tc>
          <w:tcPr>
            <w:tcW w:w="1000" w:type="dxa"/>
            <w:vAlign w:val="bottom"/>
            <w:gridSpan w:val="2"/>
            <w:vMerge w:val="restart"/>
          </w:tcPr>
          <w:p>
            <w:pPr>
              <w:jc w:val="right"/>
              <w:ind w:right="14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0"/>
                <w:szCs w:val="10"/>
                <w:color w:val="auto"/>
              </w:rPr>
            </w:pPr>
          </w:p>
        </w:tc>
        <w:tc>
          <w:tcPr>
            <w:tcW w:w="74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0"/>
                <w:szCs w:val="10"/>
                <w:color w:val="auto"/>
              </w:rPr>
            </w:pPr>
          </w:p>
        </w:tc>
        <w:tc>
          <w:tcPr>
            <w:tcW w:w="60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2021 vs.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6"/>
              </w:rPr>
              <w:t>$255,520</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3"/>
              </w:rPr>
              <w:t>$ 114,601</w:t>
            </w:r>
          </w:p>
        </w:tc>
        <w:tc>
          <w:tcPr>
            <w:tcW w:w="3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123%</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8"/>
              </w:rPr>
              <w:t>$425,322</w:t>
            </w:r>
          </w:p>
        </w:tc>
        <w:tc>
          <w:tcPr>
            <w:tcW w:w="3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6"/>
              </w:rPr>
              <w:t>$206,997</w:t>
            </w:r>
          </w:p>
        </w:tc>
        <w:tc>
          <w:tcPr>
            <w:tcW w:w="3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164,404</w:t>
            </w: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20"/>
                <w:szCs w:val="20"/>
                <w:color w:val="auto"/>
              </w:rPr>
              <w:t>86,254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w:t>
            </w:r>
          </w:p>
        </w:tc>
        <w:tc>
          <w:tcPr>
            <w:tcW w:w="1300" w:type="dxa"/>
            <w:vAlign w:val="bottom"/>
            <w:gridSpan w:val="3"/>
            <w:shd w:val="clear" w:color="auto" w:fill="CCEEFF"/>
          </w:tcPr>
          <w:p>
            <w:pPr>
              <w:jc w:val="right"/>
              <w:ind w:right="218"/>
              <w:spacing w:after="0"/>
              <w:rPr>
                <w:sz w:val="20"/>
                <w:szCs w:val="20"/>
                <w:color w:val="auto"/>
              </w:rPr>
            </w:pPr>
            <w:r>
              <w:rPr>
                <w:rFonts w:ascii="Arial" w:cs="Arial" w:eastAsia="Arial" w:hAnsi="Arial"/>
                <w:sz w:val="20"/>
                <w:szCs w:val="20"/>
                <w:color w:val="auto"/>
              </w:rPr>
              <w:t>273,874</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w w:val="99"/>
              </w:rPr>
              <w:t>144,765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7,065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6,179</w:t>
            </w:r>
          </w:p>
        </w:tc>
        <w:tc>
          <w:tcPr>
            <w:tcW w:w="3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13,222</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12,364</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compensation and benefits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287,096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157,129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34,565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42,869</w:t>
            </w:r>
          </w:p>
        </w:tc>
        <w:tc>
          <w:tcPr>
            <w:tcW w:w="3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60,696</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74,164</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231,293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49,486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9"/>
              </w:rPr>
              <w:t>(20,701)</w:t>
            </w:r>
          </w:p>
        </w:tc>
        <w:tc>
          <w:tcPr>
            <w:tcW w:w="300" w:type="dxa"/>
            <w:vAlign w:val="bottom"/>
          </w:tcPr>
          <w:p>
            <w:pPr>
              <w:spacing w:after="0"/>
              <w:rPr>
                <w:sz w:val="20"/>
                <w:szCs w:val="20"/>
                <w:color w:val="auto"/>
              </w:rPr>
            </w:pPr>
          </w:p>
        </w:tc>
        <w:tc>
          <w:tcPr>
            <w:tcW w:w="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77,530</w:t>
            </w:r>
          </w:p>
        </w:tc>
        <w:tc>
          <w:tcPr>
            <w:tcW w:w="3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6"/>
              </w:rPr>
              <w:t>(24,296)</w:t>
            </w:r>
          </w:p>
        </w:tc>
        <w:tc>
          <w:tcPr>
            <w:tcW w:w="300" w:type="dxa"/>
            <w:vAlign w:val="bottom"/>
          </w:tcPr>
          <w:p>
            <w:pPr>
              <w:spacing w:after="0"/>
              <w:rPr>
                <w:sz w:val="20"/>
                <w:szCs w:val="20"/>
                <w:color w:val="auto"/>
              </w:rPr>
            </w:pPr>
          </w:p>
        </w:tc>
        <w:tc>
          <w:tcPr>
            <w:tcW w:w="6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Related party income</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1,565</w:t>
            </w:r>
          </w:p>
        </w:tc>
        <w:tc>
          <w:tcPr>
            <w:tcW w:w="160" w:type="dxa"/>
            <w:vAlign w:val="bottom"/>
          </w:tcPr>
          <w:p>
            <w:pPr>
              <w:spacing w:after="0"/>
              <w:rPr>
                <w:sz w:val="19"/>
                <w:szCs w:val="19"/>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20"/>
                <w:szCs w:val="20"/>
                <w:color w:val="auto"/>
              </w:rPr>
              <w:t>2,402</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1300" w:type="dxa"/>
            <w:vAlign w:val="bottom"/>
            <w:gridSpan w:val="3"/>
          </w:tcPr>
          <w:p>
            <w:pPr>
              <w:jc w:val="right"/>
              <w:ind w:right="218"/>
              <w:spacing w:after="0"/>
              <w:rPr>
                <w:sz w:val="20"/>
                <w:szCs w:val="20"/>
                <w:color w:val="auto"/>
              </w:rPr>
            </w:pPr>
            <w:r>
              <w:rPr>
                <w:rFonts w:ascii="Arial" w:cs="Arial" w:eastAsia="Arial" w:hAnsi="Arial"/>
                <w:sz w:val="20"/>
                <w:szCs w:val="20"/>
                <w:color w:val="auto"/>
              </w:rPr>
              <w:t>3,774</w:t>
            </w: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4,771</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526</w:t>
            </w: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20"/>
                <w:szCs w:val="20"/>
                <w:color w:val="auto"/>
              </w:rPr>
              <w:t>1,002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w:t>
            </w:r>
          </w:p>
        </w:tc>
        <w:tc>
          <w:tcPr>
            <w:tcW w:w="1300" w:type="dxa"/>
            <w:vAlign w:val="bottom"/>
            <w:gridSpan w:val="3"/>
            <w:shd w:val="clear" w:color="auto" w:fill="CCEEFF"/>
          </w:tcPr>
          <w:p>
            <w:pPr>
              <w:jc w:val="right"/>
              <w:ind w:right="158"/>
              <w:spacing w:after="0"/>
              <w:rPr>
                <w:sz w:val="20"/>
                <w:szCs w:val="20"/>
                <w:color w:val="auto"/>
              </w:rPr>
            </w:pPr>
            <w:r>
              <w:rPr>
                <w:rFonts w:ascii="Arial" w:cs="Arial" w:eastAsia="Arial" w:hAnsi="Arial"/>
                <w:sz w:val="20"/>
                <w:szCs w:val="20"/>
                <w:color w:val="auto"/>
              </w:rPr>
              <w:t>(1,328)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2,850</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948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300" w:type="dxa"/>
            <w:vAlign w:val="bottom"/>
            <w:gridSpan w:val="3"/>
          </w:tcPr>
          <w:p>
            <w:pPr>
              <w:jc w:val="right"/>
              <w:ind w:right="218"/>
              <w:spacing w:after="0"/>
              <w:rPr>
                <w:sz w:val="20"/>
                <w:szCs w:val="20"/>
                <w:color w:val="auto"/>
              </w:rPr>
            </w:pPr>
            <w:r>
              <w:rPr>
                <w:rFonts w:ascii="Arial" w:cs="Arial" w:eastAsia="Arial" w:hAnsi="Arial"/>
                <w:sz w:val="20"/>
                <w:szCs w:val="20"/>
                <w:color w:val="auto"/>
              </w:rPr>
              <w:t>948</w:t>
            </w:r>
          </w:p>
        </w:tc>
        <w:tc>
          <w:tcPr>
            <w:tcW w:w="104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20"/>
                <w:szCs w:val="20"/>
                <w:color w:val="auto"/>
              </w:rPr>
              <w:t>(39,408)</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w:t>
            </w:r>
          </w:p>
        </w:tc>
        <w:tc>
          <w:tcPr>
            <w:tcW w:w="1300" w:type="dxa"/>
            <w:vAlign w:val="bottom"/>
            <w:gridSpan w:val="3"/>
            <w:shd w:val="clear" w:color="auto" w:fill="CCEEFF"/>
          </w:tcPr>
          <w:p>
            <w:pPr>
              <w:jc w:val="right"/>
              <w:ind w:right="158"/>
              <w:spacing w:after="0"/>
              <w:rPr>
                <w:sz w:val="20"/>
                <w:szCs w:val="20"/>
                <w:color w:val="auto"/>
              </w:rPr>
            </w:pPr>
            <w:r>
              <w:rPr>
                <w:rFonts w:ascii="Arial" w:cs="Arial" w:eastAsia="Arial" w:hAnsi="Arial"/>
                <w:sz w:val="20"/>
                <w:szCs w:val="20"/>
                <w:color w:val="auto"/>
              </w:rPr>
              <w:t>(39,408)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(3,596)</w:t>
            </w:r>
          </w:p>
        </w:tc>
        <w:tc>
          <w:tcPr>
            <w:tcW w:w="160" w:type="dxa"/>
            <w:vAlign w:val="bottom"/>
          </w:tcPr>
          <w:p>
            <w:pPr>
              <w:spacing w:after="0"/>
              <w:rPr>
                <w:sz w:val="19"/>
                <w:szCs w:val="19"/>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20"/>
                <w:szCs w:val="20"/>
                <w:color w:val="auto"/>
              </w:rPr>
              <w:t>(3,996)</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300" w:type="dxa"/>
            <w:vAlign w:val="bottom"/>
            <w:gridSpan w:val="3"/>
          </w:tcPr>
          <w:p>
            <w:pPr>
              <w:jc w:val="right"/>
              <w:ind w:right="218"/>
              <w:spacing w:after="0"/>
              <w:rPr>
                <w:sz w:val="20"/>
                <w:szCs w:val="20"/>
                <w:color w:val="auto"/>
              </w:rPr>
            </w:pPr>
            <w:r>
              <w:rPr>
                <w:rFonts w:ascii="Arial" w:cs="Arial" w:eastAsia="Arial" w:hAnsi="Arial"/>
                <w:sz w:val="20"/>
                <w:szCs w:val="20"/>
                <w:color w:val="auto"/>
              </w:rPr>
              <w:t>(7,464)</w:t>
            </w: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(7,970)</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non-operating income (expenses)</w:t>
            </w: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6"/>
              </w:rPr>
              <w:t>(39,965)</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(592)</w:t>
            </w:r>
          </w:p>
        </w:tc>
        <w:tc>
          <w:tcPr>
            <w:tcW w:w="3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9"/>
              </w:rPr>
              <w:t>(43,478)</w:t>
            </w:r>
          </w:p>
        </w:tc>
        <w:tc>
          <w:tcPr>
            <w:tcW w:w="3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(349)</w:t>
            </w:r>
          </w:p>
        </w:tc>
        <w:tc>
          <w:tcPr>
            <w:tcW w:w="3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780" w:type="dxa"/>
            <w:vAlign w:val="bottom"/>
            <w:gridSpan w:val="3"/>
          </w:tcPr>
          <w:p>
            <w:pPr>
              <w:jc w:val="right"/>
              <w:spacing w:after="0"/>
              <w:rPr>
                <w:sz w:val="20"/>
                <w:szCs w:val="20"/>
                <w:color w:val="auto"/>
              </w:rPr>
            </w:pPr>
            <w:r>
              <w:rPr>
                <w:rFonts w:ascii="Arial" w:cs="Arial" w:eastAsia="Arial" w:hAnsi="Arial"/>
                <w:sz w:val="20"/>
                <w:szCs w:val="20"/>
                <w:color w:val="auto"/>
              </w:rPr>
              <w:t>9,521</w:t>
            </w:r>
          </w:p>
        </w:tc>
        <w:tc>
          <w:tcPr>
            <w:tcW w:w="16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20"/>
                <w:szCs w:val="20"/>
                <w:color w:val="auto"/>
              </w:rPr>
              <w:t>(21,293)</w:t>
            </w:r>
          </w:p>
        </w:tc>
        <w:tc>
          <w:tcPr>
            <w:tcW w:w="580" w:type="dxa"/>
            <w:vAlign w:val="bottom"/>
          </w:tcPr>
          <w:p>
            <w:pPr>
              <w:ind w:left="180"/>
              <w:spacing w:after="0"/>
              <w:rPr>
                <w:sz w:val="20"/>
                <w:szCs w:val="20"/>
                <w:color w:val="auto"/>
              </w:rPr>
            </w:pPr>
            <w:r>
              <w:rPr>
                <w:rFonts w:ascii="Arial" w:cs="Arial" w:eastAsia="Arial" w:hAnsi="Arial"/>
                <w:sz w:val="18"/>
                <w:szCs w:val="18"/>
                <w:color w:val="auto"/>
              </w:rPr>
              <w:t>NM</w:t>
            </w:r>
          </w:p>
        </w:tc>
        <w:tc>
          <w:tcPr>
            <w:tcW w:w="1300" w:type="dxa"/>
            <w:vAlign w:val="bottom"/>
            <w:gridSpan w:val="3"/>
          </w:tcPr>
          <w:p>
            <w:pPr>
              <w:jc w:val="right"/>
              <w:ind w:right="218"/>
              <w:spacing w:after="0"/>
              <w:rPr>
                <w:sz w:val="20"/>
                <w:szCs w:val="20"/>
                <w:color w:val="auto"/>
              </w:rPr>
            </w:pPr>
            <w:r>
              <w:rPr>
                <w:rFonts w:ascii="Arial" w:cs="Arial" w:eastAsia="Arial" w:hAnsi="Arial"/>
                <w:sz w:val="20"/>
                <w:szCs w:val="20"/>
                <w:color w:val="auto"/>
              </w:rPr>
              <w:t>34,052</w:t>
            </w: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(24,645)</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(521)</w:t>
            </w: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20"/>
                <w:szCs w:val="20"/>
                <w:color w:val="auto"/>
              </w:rPr>
              <w:t>(834)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c>
          <w:tcPr>
            <w:tcW w:w="1300" w:type="dxa"/>
            <w:vAlign w:val="bottom"/>
            <w:gridSpan w:val="3"/>
            <w:shd w:val="clear" w:color="auto" w:fill="CCEEFF"/>
          </w:tcPr>
          <w:p>
            <w:pPr>
              <w:jc w:val="right"/>
              <w:ind w:right="218"/>
              <w:spacing w:after="0"/>
              <w:rPr>
                <w:sz w:val="20"/>
                <w:szCs w:val="20"/>
                <w:color w:val="auto"/>
              </w:rPr>
            </w:pPr>
            <w:r>
              <w:rPr>
                <w:rFonts w:ascii="Arial" w:cs="Arial" w:eastAsia="Arial" w:hAnsi="Arial"/>
                <w:sz w:val="20"/>
                <w:szCs w:val="20"/>
                <w:color w:val="auto"/>
              </w:rPr>
              <w:t>(2,545)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(1,544)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9,000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w w:val="81"/>
              </w:rPr>
              <w:t>$ (22,127)</w:t>
            </w:r>
          </w:p>
        </w:tc>
        <w:tc>
          <w:tcPr>
            <w:tcW w:w="30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31,507</w:t>
            </w:r>
          </w:p>
        </w:tc>
        <w:tc>
          <w:tcPr>
            <w:tcW w:w="300" w:type="dxa"/>
            <w:vAlign w:val="bottom"/>
          </w:tcPr>
          <w:p>
            <w:pPr>
              <w:spacing w:after="0"/>
              <w:rPr>
                <w:sz w:val="19"/>
                <w:szCs w:val="19"/>
                <w:color w:val="auto"/>
              </w:rPr>
            </w:pPr>
          </w:p>
        </w:tc>
        <w:tc>
          <w:tcPr>
            <w:tcW w:w="7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w w:val="78"/>
              </w:rPr>
              <w:t>$ (26,189)</w:t>
            </w:r>
          </w:p>
        </w:tc>
        <w:tc>
          <w:tcPr>
            <w:tcW w:w="30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non-controlling interests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21,499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18"/>
              <w:spacing w:after="0"/>
              <w:rPr>
                <w:sz w:val="20"/>
                <w:szCs w:val="20"/>
                <w:color w:val="auto"/>
              </w:rPr>
            </w:pPr>
            <w:r>
              <w:rPr>
                <w:rFonts w:ascii="Arial" w:cs="Arial" w:eastAsia="Arial" w:hAnsi="Arial"/>
                <w:sz w:val="20"/>
                <w:szCs w:val="20"/>
                <w:color w:val="auto"/>
              </w:rPr>
              <w:t>44,006</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2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 (12,499</w:t>
            </w:r>
          </w:p>
        </w:tc>
        <w:tc>
          <w:tcPr>
            <w:tcW w:w="180" w:type="dxa"/>
            <w:vAlign w:val="bottom"/>
            <w:gridSpan w:val="2"/>
          </w:tcPr>
          <w:p>
            <w:pPr>
              <w:jc w:val="right"/>
              <w:ind w:right="10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7"/>
              </w:rPr>
              <w:t>$ (12,499</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7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w:t>
      </w:r>
    </w:p>
    <w:p>
      <w:pPr>
        <w:ind w:left="120" w:right="40" w:hanging="4"/>
        <w:spacing w:after="0" w:line="253" w:lineRule="auto"/>
        <w:tabs>
          <w:tab w:leader="none" w:pos="3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17"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Revenues were $255.5 million for the three months ended June 30, 2021 as compared with $114.6 million for the same period in 2020, representing an increase of 123%. The quarter-on-quarter increase in revenue reflects a significant acceleration of activity across substantially all industry groups, geographies, and product areas, particularly in M&amp;A advice.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the three months ended June 30, 2021 and 2020, we earned revenues from 106 and 76 advisory clients, respectively. The number of advisory clients who paid fees equal to or greater than $1.0 million increased to 46 for the three months ended June 30, 2021 compared to 23 advisory clients for the three months ended June 30, 2020. The average fee size increased to $2.4 million for the three months ended June 30, 2021 from $1.4 million for the three months ended June 30,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Revenues were $425.3 million for the six months ended June 30, 2021 as compared with $207.0 million for the same period in 2020, representing an increase of 105%. The period-over-period growth reflects a significant acceleration of activity across substantially all industry groups, geographies, and product areas, particularly in M&amp;A activity when compared to the decreased M&amp;A activity in the prior year period primarily due to the COVID-19 pandemic. Restructuring activity has begun to moderate from levels experienced in the back half of 2020.</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For the six months ended June 30, 2021 and 2020, we earned revenues from 149 and 102 advisory clients, respectively. The number of advisory clients who paid fees equal to or greater than $1.0 million increased to 70 advisory clients for the six months ended June 30, 2021 compared to 44 advisory clients for the six months ended June 30, 2020. The average fee size increased to $2.8 million for the six months ended June 30, 2021 from $1.9 million for the six months ended June 30,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2021 vs.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2021 vs.</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vMerge w:val="continue"/>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20"/>
                <w:szCs w:val="20"/>
                <w:color w:val="auto"/>
                <w:w w:val="85"/>
              </w:rPr>
              <w:t>164,404</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20"/>
                <w:szCs w:val="20"/>
                <w:color w:val="auto"/>
              </w:rPr>
              <w:t>86,254</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91%</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20"/>
                <w:szCs w:val="20"/>
                <w:color w:val="auto"/>
                <w:w w:val="85"/>
              </w:rPr>
              <w:t>273,874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20"/>
                <w:szCs w:val="20"/>
                <w:color w:val="auto"/>
                <w:w w:val="88"/>
              </w:rPr>
              <w:t>144,765</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89%</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i w:val="1"/>
                <w:iCs w:val="1"/>
                <w:color w:val="auto"/>
              </w:rPr>
              <w:t>64%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75%</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i w:val="1"/>
                <w:iCs w:val="1"/>
                <w:color w:val="auto"/>
              </w:rPr>
              <w:t>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70%</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Equity-based compensation</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20"/>
                <w:szCs w:val="20"/>
                <w:color w:val="auto"/>
              </w:rPr>
              <w:t>7,065</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20"/>
                <w:szCs w:val="20"/>
                <w:color w:val="auto"/>
              </w:rPr>
              <w:t>6,179</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20"/>
                <w:szCs w:val="20"/>
                <w:color w:val="auto"/>
              </w:rPr>
              <w:t>13,222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20"/>
                <w:szCs w:val="20"/>
                <w:color w:val="auto"/>
              </w:rPr>
              <w:t>12,364</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i w:val="1"/>
                <w:iCs w:val="1"/>
                <w:color w:val="auto"/>
              </w:rPr>
              <w:t>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5%</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i w:val="1"/>
                <w:iCs w:val="1"/>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6%</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Total compensation and benefits</w:t>
            </w:r>
          </w:p>
        </w:tc>
        <w:tc>
          <w:tcPr>
            <w:tcW w:w="13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171,469</w:t>
            </w:r>
          </w:p>
        </w:tc>
        <w:tc>
          <w:tcPr>
            <w:tcW w:w="4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92,433</w:t>
            </w:r>
          </w:p>
        </w:tc>
        <w:tc>
          <w:tcPr>
            <w:tcW w:w="460" w:type="dxa"/>
            <w:vAlign w:val="bottom"/>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86%</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287,096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157,129</w:t>
            </w:r>
          </w:p>
        </w:tc>
        <w:tc>
          <w:tcPr>
            <w:tcW w:w="460" w:type="dxa"/>
            <w:vAlign w:val="bottom"/>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i w:val="1"/>
                <w:iCs w:val="1"/>
                <w:color w:val="auto"/>
              </w:rPr>
              <w:t>67%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81%</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i w:val="1"/>
                <w:iCs w:val="1"/>
                <w:color w:val="auto"/>
              </w:rPr>
              <w:t>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76%</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Non-compensation expenses</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20"/>
                <w:szCs w:val="20"/>
                <w:color w:val="auto"/>
              </w:rPr>
              <w:t>34,565</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20"/>
                <w:szCs w:val="20"/>
                <w:color w:val="auto"/>
              </w:rPr>
              <w:t>42,869</w:t>
            </w: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(19%)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20"/>
                <w:szCs w:val="20"/>
                <w:color w:val="auto"/>
              </w:rPr>
              <w:t>60,696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20"/>
                <w:szCs w:val="20"/>
                <w:color w:val="auto"/>
              </w:rPr>
              <w:t>74,164</w:t>
            </w: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revenues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i w:val="1"/>
                <w:iCs w:val="1"/>
                <w:color w:val="auto"/>
              </w:rPr>
              <w:t>14%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37%</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i w:val="1"/>
                <w:iCs w:val="1"/>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36%</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206,034</w:t>
            </w:r>
          </w:p>
        </w:tc>
        <w:tc>
          <w:tcPr>
            <w:tcW w:w="4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135,302</w:t>
            </w:r>
          </w:p>
        </w:tc>
        <w:tc>
          <w:tcPr>
            <w:tcW w:w="460" w:type="dxa"/>
            <w:vAlign w:val="bottom"/>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52%</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347,792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231,293</w:t>
            </w:r>
          </w:p>
        </w:tc>
        <w:tc>
          <w:tcPr>
            <w:tcW w:w="460" w:type="dxa"/>
            <w:vAlign w:val="bottom"/>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of revenues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i w:val="1"/>
                <w:iCs w:val="1"/>
                <w:color w:val="auto"/>
              </w:rPr>
              <w:t>81%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118%</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i w:val="1"/>
                <w:iCs w:val="1"/>
                <w:color w:val="auto"/>
              </w:rPr>
              <w:t>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i w:val="1"/>
                <w:iCs w:val="1"/>
                <w:color w:val="auto"/>
              </w:rPr>
              <w:t>112%</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9,521</w:t>
            </w:r>
          </w:p>
        </w:tc>
        <w:tc>
          <w:tcPr>
            <w:tcW w:w="4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(21,293)</w:t>
            </w:r>
          </w:p>
        </w:tc>
        <w:tc>
          <w:tcPr>
            <w:tcW w:w="460" w:type="dxa"/>
            <w:vAlign w:val="bottom"/>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34,052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(24,645)</w:t>
            </w:r>
          </w:p>
        </w:tc>
        <w:tc>
          <w:tcPr>
            <w:tcW w:w="460" w:type="dxa"/>
            <w:vAlign w:val="bottom"/>
          </w:tcPr>
          <w:p>
            <w:pPr>
              <w:spacing w:after="0"/>
              <w:rPr>
                <w:sz w:val="20"/>
                <w:szCs w:val="20"/>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of revenues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i w:val="1"/>
                <w:iCs w:val="1"/>
                <w:color w:val="auto"/>
              </w:rPr>
              <w:t>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i w:val="1"/>
                <w:iCs w:val="1"/>
                <w:color w:val="auto"/>
              </w:rPr>
              <w:t>(19%)</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i w:val="1"/>
                <w:iCs w:val="1"/>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i w:val="1"/>
                <w:iCs w:val="1"/>
                <w:color w:val="auto"/>
              </w:rPr>
              <w:t>(12%)</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Operating expenses were $206.0 million for the three months ended June 30, 2021 and represented 81% of revenues, compared with</w:t>
      </w:r>
    </w:p>
    <w:p>
      <w:pPr>
        <w:spacing w:after="0" w:line="3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$135.3 million for the three months ended June 30, 2020, which represented 118% of revenues. The increase in operating expenses was primarily driven by an increase in compensation and benefits expenses, which were $164.4 million, for the three months ended June 30, 2021 compared to $86.3 million, for the three months ended June 30, 2020, partially offset by lower non-compensation expenses which were $34.6 million for the three months ended June 30, 2021 compared to $42.9 million for the three months ended June 30, 2020. The increase in compensation and benefits expenses was primarily due to a larger bonus accrual associated with the increase in revenue despite a lower compensation margin. The decrease in non-compensation expense was primarily driven by a decrease in professional fees compared to the prior year period which included the write-off of certain previously deferred offering costs due to the termination of a public company transaction process in May 2020, partially offset by an increase in technology and infrastructure expenses and travel and related expenses.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Operating expenses were $347.8 million for the six months ended June 30, 2021 and represented 82% of revenues, compared with $231.3 million for the six months ended June 30, 2020, which represented 112% of revenues. The increase in operating expenses was primarily driven by an increase in compensation and benefits expenses, which were $273.9 million for the six months ended June 30, 2021 compared to $144.8 million for the six months ended June 30, 2020, partially offset by lower non-compensation expenses which were $60.7 million for the six months ended June 30, 2021 compared to $74.2 million for the six months ended June 30, 2020. The increase in compensation and benefits expense was primarily due to a larger bonus accrual associated with the increase in revenue despite a lower compensation margin.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decreased travel and entertainment as well as conference and seminars from the COVID-19 pandemic.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Beginning in the third quarter of 2021, the Company plans to grant incentive compensation awards in accordance with the Perella Weinberg Partners 2021 Omnibus Incentive Plan (the “PWP Incentive Plan”). The Company intends to use newly issued shares of PWP Class A common stock to satisfy vested awards under the plan. The vesting of these awards will be recorded as equity-based compensation expense at PWP OpCo for U.S. GAAP accounting purposes. Due to the accounting for this equity-based compensation expense, we may experience operating losses in future periods.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compensate our personnel competitively in order to continue building our business and growing our firm.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three months ended June 30, 2021, compensation-related expenses of $171.5 million represented 67% of revenues, compared with $92.4 million of compensation-related expenses, which represented 81% of revenues for the three months ended June 30, 2020. Included in total compensation-related expense was $7.1 million amortization of equity awards, for the three months ended June 30, 2021. The increase in total compensation and benefit expenses was due to a larger bonus accrual associated with the increase in revenue despite a lower compensation margin when compared to the same period in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the six months ended June 30, 2021, compensation-related expenses of $287.1 million represented 68% of revenues, compared with $157.1 million of compensation-related expenses, which represented 76% of revenues for the six months ended June 30, 2020. Included in total compensation-related expense was $13.2 million and $12.4 million amortization of equity awards for the six months ended June 30, 2021 and 2020, respectively. The increase in total compensation and benefit expenses was due to a larger bonus accrual associated with the increase in revenue despite a lower compensation margin when compared to the same period in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non-compensation support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three months ended June 30, 2021, non-compensation expenses of $34.6 million represented 14% of revenues, compared with</w:t>
      </w:r>
    </w:p>
    <w:p>
      <w:pPr>
        <w:spacing w:after="0" w:line="3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$42.9 million, which represented 37% of revenues, for the three months ended June 30, 2020. The decrease in non-compensation expense was primarily driven by a $10.1 million decrease in professional fees, partially offset by an increase in technology and infrastructure costs and travel and related expenses. This reduction is largely due to elevated professional fees during the three months ended June 30, 2020 related to previously deferred offering costs of $14.8 million that were expensed due to the termination of a public company transaction process in May 2020. Excluding this write-off, professional fees during the three months ended June 30, 2021, increased $4.7 million, including $2.9 million of transaction-related expenses as well as increased consulting expenses and recruiting placement fees for strategic hires.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For the six months ended June 30, 2021, non-compensation expenses of $60.7 million represented 14% of revenues, compared with $74.2 million, which represented 36% of revenues, for the six months ended June 30, 2020. The decrease in non-compensation expense was primarily driven by a $10.4 million decrease in professional fees. This reduction is largely due to elevated professional fees during the six months ended June 30, 2021 as previously deferred offering costs of $14.8 million were expensed due to the termination of a public company transaction process in May 2020. Excluding this write-off, professional fees during the six months ended June 30, 2021, increased $4.4 million, including $2.9 million of transaction-related expenses as well as increased consulting expenses and recruiting expenses. The decrease in non-compensation expense was also due to a</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$2.7 million decrease in travel and related expenses as a result of the COVID-19 pandemic.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17" w:lineRule="exact"/>
        <w:rPr>
          <w:sz w:val="20"/>
          <w:szCs w:val="20"/>
          <w:color w:val="auto"/>
        </w:rPr>
      </w:pPr>
    </w:p>
    <w:p>
      <w:pPr>
        <w:jc w:val="both"/>
        <w:ind w:left="120" w:right="240" w:firstLine="440"/>
        <w:spacing w:after="0" w:line="296" w:lineRule="auto"/>
        <w:rPr>
          <w:sz w:val="20"/>
          <w:szCs w:val="20"/>
          <w:color w:val="auto"/>
        </w:rPr>
      </w:pPr>
      <w:r>
        <w:rPr>
          <w:rFonts w:ascii="Arial" w:cs="Arial" w:eastAsia="Arial" w:hAnsi="Arial"/>
          <w:sz w:val="16"/>
          <w:szCs w:val="16"/>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 For the three and six months ended June 30, 2021, the most significant component and change from the prior year periods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Company’s income tax expense and effective tax rate were $0.5 million and 5.47%, respectively, for the three months ended June 30, 2021, compared to income tax expense and effective tax rate of $0.8 million and (3.92%), respectively, for the three months ended June 30, 2020.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Company’s income tax expense and effective tax rate were $2.5 million and 7.47%, respectively, for the six months ended June 30, 2021, compared to income tax expense and effective tax rate of $1.5 million and (6.26%), respectively, for the six months ended June 30, 2020.</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146"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Holdings LP.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made partner tax distributions of $47.4 million and $9.4 million during the six months ended June 30, 2021 and 2020, respectively. Additionally, as a public company, we intend to pay dividends throughout the year and may consider share repurchases as well.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June 30, 2021 and December 31, 2020. As of June 30, 2021 and December 31, 2020, the Company had cash balances of $349.7 million and $329.1 million, respectively, maintained in U.S. and non-U.S. bank accounts, of which most bank account balances exceeded the U.S. Federal Deposit Insurance Corporation (“FDIC”) and U.K. Financial Services Compensation Scheme (“FSCS”) coverage limits.</w:t>
      </w:r>
    </w:p>
    <w:p>
      <w:pPr>
        <w:spacing w:after="0" w:line="16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liquidity is highly dependent upon cash receipts from clients, which generally require the successful completion of transactions. Accounts receivable generally have net terms of 30 days. Accounts receivable was $85.1 million, with $1.1 million of allowance for credit losses balance as of June 30, 2021. Accounts receivable was $40.8 million, with $1.0 million of allowance for credit losses balance as of December 31, 2020.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December 2018, the Company amended the Credit Agreement to modify a term loan to a revolving credit facility with a line of credit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 million (the “Revolving Credit Facility”). During the six months ended June 30, 2020, the Company made principal payments on the Revolving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Facility of $10.0 million as well as drawdowns of $22.0 million.</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20"/>
          </w:cols>
          <w:pgMar w:left="320" w:top="459"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June 30, 2021, the Company had no outstanding balance related to the Revolving Credit Facility and no incremental revolving commitments were incurred. For further information on the Revolving Credit Facility, refer to Note 10 – Debt in the notes to condensed consolidated financial statements included elsewhere in this Form 10-Q.</w:t>
      </w:r>
    </w:p>
    <w:p>
      <w:pPr>
        <w:spacing w:after="0" w:line="19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 – 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Rights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Depending on our liquidity and capital resources, market conditions, the timing and concentration of exchanges and other considerations, we may choose to fund exchanges of PWP OpCo Units with available cash, borrowings or issuances of Class A common stock.</w:t>
      </w:r>
    </w:p>
    <w:p>
      <w:pPr>
        <w:spacing w:after="0" w:line="15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w:t>
      </w:r>
    </w:p>
    <w:p>
      <w:pPr>
        <w:spacing w:after="0" w:line="4" w:lineRule="exact"/>
        <w:rPr>
          <w:sz w:val="20"/>
          <w:szCs w:val="20"/>
          <w:color w:val="auto"/>
        </w:rPr>
      </w:pPr>
    </w:p>
    <w:p>
      <w:pPr>
        <w:ind w:left="120" w:right="120" w:hanging="4"/>
        <w:spacing w:after="0" w:line="255" w:lineRule="auto"/>
        <w:tabs>
          <w:tab w:leader="none" w:pos="3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above will be subject to such restriction for a period of twelve months following the date on which such PWP OpCo Units were acquired. PWP GP may waive the foregoing restrictions for any holder with respect to all or a portion of such holder’s units, with no obligation to do so for any other holder.</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9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partners, and in the six months ended June 30, 2021, the proceeds and distributions related to the Business Combination.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(26,189)</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Non-cash charges and other operating activity adjustments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69,765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(73,443)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(112,510)</w:t>
            </w: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Total operating activities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27,829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9"/>
              </w:rPr>
              <w:t>(108,399)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20"/>
                <w:szCs w:val="20"/>
                <w:color w:val="auto"/>
              </w:rPr>
              <w:t>(1,429)</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(4,104)</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20"/>
                <w:szCs w:val="20"/>
                <w:color w:val="auto"/>
              </w:rPr>
              <w:t>(6,459)</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2,570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exchange rate changes on cash, cash equivalents and restricted cash</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668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(3,130)</w:t>
            </w: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20,609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9"/>
              </w:rPr>
              <w:t>(113,063)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88"/>
              </w:rPr>
              <w:t>330,908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94"/>
              </w:rPr>
              <w:t>266,582</w:t>
            </w: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351,517</w:t>
            </w:r>
          </w:p>
        </w:tc>
        <w:tc>
          <w:tcPr>
            <w:tcW w:w="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4"/>
              </w:rPr>
              <w:t>153,519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2021</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Cash and restricted cash were $351.5 million as of June 30, 2021, an increase of $20.6 million from $330.9 million as of December 31, 2020. Operating activities resulted in a net inflow of $27.8 million largely attributable to net income generated during the six months ended June 30, 2021, partially offset by changes in working capital. Net income included $30.4 million of non-cash charges as well as a $39.4 million loss on debt extinguishment related to the redemption of the Convertible Notes concurrent with the Business Combination. Investing activities resulted in a net outflow of $1.4 million attributable to the Company’s deconsolidation in PFAC Holdings and the purchases of fixed assets. Financing activities resulted in a net outflow of $6.5 million primarily related to the transactions associated with the Business Combination, the payoff of all outstanding debt and tax distributions to partners.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Six Months Ended June 30, 2020</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Cash and restricted cash were $153.5 million as of June 30, 2020. Operating activities resulted in a net outflow of $108.4 million attributable to changes in working capital and net loss incurred during the six months ended June 30, 2020, both partially offset by non-cash operating charges. Investing activities resulted in a net outflow of $4.1 million primarily attributable to purchases of fixed assets. Financing activities resulted in a net inflow of $2.6 million primarily related to draw downs and principal payments on the Revolving Credit Facility and distributions to partners.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 range from non-cancelable and month-to-month terms, generally provide for fixed monthly rentals and can also include renewal options. See Note 5 – Leases in the notes to condensed consolidated financial statements included elsewhere in this Form 10-Q for further information.</w:t>
      </w:r>
    </w:p>
    <w:p>
      <w:pPr>
        <w:spacing w:after="0" w:line="14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 – Other Compensation and Benefits in the notes to condensed consolidated financial statements included elsewhere in this Form 10-Q for further information.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left="120" w:right="320" w:firstLine="440"/>
        <w:spacing w:after="0" w:line="279" w:lineRule="auto"/>
        <w:rPr>
          <w:sz w:val="20"/>
          <w:szCs w:val="20"/>
          <w:color w:val="auto"/>
        </w:rPr>
      </w:pPr>
      <w:r>
        <w:rPr>
          <w:rFonts w:ascii="Arial" w:cs="Arial" w:eastAsia="Arial" w:hAnsi="Arial"/>
          <w:sz w:val="17"/>
          <w:szCs w:val="17"/>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 – Related Party Transactions and Note 18 – Commitments and Contingencies in the notes to condensed consolidated financial statements included elsewhere in this Form 10-Q for further information.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(the “TRA”) under which the Company agreed to payments of 85% of the amount of savings, if any, that the Company realizes in U.S. federal, state, local and foreign income taxes as a result of (i) exchanges of interests in PWP OpCo for cash or stock of the Company and certain other transactions and (ii) payments made under the tax receivable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 except for those described under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Risk and Credit Risk</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foreign currency exchange rate risk and commodity price risk) or significant credit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 Summary of Significant Accounting Policies in the notes to condensed consolidated financial statements included elsewhere in this Form 10-Q for further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six months ended June 30, 2021 and 2020, the net impact of non-functional currency-related transaction gains and losses recorded in other income (expense) on our Condensed Consolidated Statements of Operations was a $1.8 million loss and a $2.7 million gain, respectively. In addition, the reported amounts in our condensed consolidated financial statements may be affected by movements in the rate of exchange between the pound sterling, Euro, Canadian dollar and our reporting currency, the U.S. dollar, resulting in translation gains and losses.</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the six months ended June 30, 2021 and 2020, the net impact of the fluctuation of foreign currencies recorded in Foreign currency translation gain (loss) within our Condensed Consolidated Statements of Comprehensive Income (Loss) was a $0.5 million gain and $2.5 million loss, respectively. We have not entered into any transactions to hedge our exposure to these foreign currency fluctuations using derivative instruments or other methods but may do so if we deem appropriate in the future.</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of June 30, 2021, we held balances of $48.0 million of non-U.S. dollar denominated currencies, composed of pound sterling, the Euro, and Canadian dollars.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This Quarterly Report on Form 10-Q should be read together with the discussion within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w:t>
      </w:r>
      <w:r>
        <w:rPr>
          <w:rFonts w:ascii="Arial" w:cs="Arial" w:eastAsia="Arial" w:hAnsi="Arial"/>
          <w:sz w:val="17"/>
          <w:szCs w:val="17"/>
          <w:color w:val="auto"/>
        </w:rPr>
        <w:t>contained in the Current Report on Form 8-K filed on June 24, 2021 regarding these critical accounting policies.</w:t>
      </w:r>
      <w:r>
        <w:rPr>
          <w:rFonts w:ascii="Arial" w:cs="Arial" w:eastAsia="Arial" w:hAnsi="Arial"/>
          <w:sz w:val="17"/>
          <w:szCs w:val="17"/>
          <w:i w:val="1"/>
          <w:iCs w:val="1"/>
          <w:color w:val="auto"/>
        </w:rPr>
        <w:t xml:space="preserve"> </w:t>
      </w:r>
      <w:r>
        <w:rPr>
          <w:rFonts w:ascii="Arial" w:cs="Arial" w:eastAsia="Arial" w:hAnsi="Arial"/>
          <w:sz w:val="17"/>
          <w:szCs w:val="17"/>
          <w:color w:val="auto"/>
        </w:rPr>
        <w:t>For changes to our critical accounting policies during the six months ended June 30, 2021, refer to Note 2 – Summary of Significant Accounting Policies in the notes to condensed consolidated financial statements included elsewhere in this Form 10-Q.</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We are exposed to market risks associated with changes in foreign currency exchange rates due to our international operations. The currencies for which we have our largest exchange rate exposures are related to changes in the British Pound, the Canadian dollar and the Euro. Our revenue contracts are primarily denominated in these currencies or the U.S. dollar. The contracts denominated in currencies other than the U.S. dollar, primarily from the transaction-related advisory services that we provide, are exposed to foreign currency fluctuations.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Additionally, the net assets and liabilities of these international operations are exposed to changes in foreign currency exchange rates. These operations may also have net assets and liabilities not denominated in their functional currency, which exposes us to changes in foreign currency exchange rates that impact income. Our foreign currency gains (losses) are primarily due to exchange rate fluctuations related to monetary asset balances denominated in currencies other than the functional currency, including foreign currency exchange rate changes recorded on intercompany obligations. Changes in exchange rates may create gains or losses in future periods to the extent we maintain net assets and liabilities not denominated in the functional currency.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Previously Reported Material Weakness in Internal Control</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As previously reported, FTIV identified a material weakness in the operation of FTIV’s internal control over financial reporting related to accounting for FTIV’s warrants following the issuance, on April 12, 2021, by the staff of the SEC of a public statement entitled “Staff Statement on Accounting and Reporting Considerations for Warrants issued by Special Purpose Acquisition Companies.”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Based on FTIV management’s evaluation, the Audit Committee of FTIV’s Board of Directors (the “FTIV Audit Committee”), in consultation with management and after discussion with FTIV’s independent registered public accounting firm, concluded that FTIV’s warrants were not indexed to FTIV’s common stock in the manner contemplated by ASC Subtopic 815-40,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because the holder of the instrument is not an input into the pricing of a fixed-for-fixed option on equity shares. In addition, based on FTIV management’s evaluation, FTIV’s Audit Committee, in consultation with management and after discussion with FTIV’s independent registered public accounting firm, concluded the tender offer provision included in the warrant agreement fails the “classified in stockholders’ equity” criteria as contemplated by ASC Section 815-40-25.</w:t>
      </w:r>
    </w:p>
    <w:p>
      <w:pPr>
        <w:spacing w:after="0" w:line="16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As described elsewhere in this Quarterly Report on Form 10-Q, the Business Combination closed on June 24, 2021 and was treated as a reverse recapitalization transaction between entities under common control, whereby PWP OpCo was considered the accounting acquirer and predecessor entity. As a result of the Business Combination, the internal controls of FTIV no longer exist as of June 30, 2021 and have been replaced by the internal controls of PWP OpCo as of such date. Furthermore, although the warrants remain outstanding following the Business Combination, the warrants have been accounted for appropriately by PWP OpCo for each period in which PWP OpCo has been required to include the warrants in its financial statements.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June 30, 2021.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three months ended June 30, 2021 that materially affected, or are reasonably likely to materially affect, our internal control over financial reporting.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14 claims. The Court held oral argument on the motions for summary judgment on May 27, 2021. The Court has yet to issue a decision on the motions for summary judgment.</w:t>
      </w:r>
    </w:p>
    <w:p>
      <w:pPr>
        <w:spacing w:after="0" w:line="185"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further details on the current legal proceedings, refer to Note 18 – Commitments and Contingencies in the notes to condensed consolidated financial statements included elsewhere in this Form 10-Q.</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Additional risks and uncertainties not presently known to us or that we currently deem immaterial may also impair our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31" w:lineRule="exact"/>
        <w:rPr>
          <w:sz w:val="20"/>
          <w:szCs w:val="20"/>
          <w:color w:val="auto"/>
        </w:rPr>
      </w:pPr>
    </w:p>
    <w:p>
      <w:pPr>
        <w:jc w:val="both"/>
        <w:ind w:left="1080" w:right="440" w:hanging="424"/>
        <w:spacing w:after="0" w:line="31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working limited partners whose tenure was not terminated prior to November 1, 2020 (“Working Partners”) and key employees is critical to the success of our business.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successfully identify, consummate and integrate strategic transactions such as joint ventures, strategic investments and acquisitions may result in additional risks and uncertainties in our business.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5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historical consolidated and unaudited pro forma financial information in our filings is not representative of the results we would have achieved as a stand-alone public company and may not permit you to predict our future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8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7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8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7"/>
          <w:szCs w:val="17"/>
          <w:i w:val="1"/>
          <w:iCs w:val="1"/>
          <w:color w:val="auto"/>
        </w:rPr>
        <w:t>Legal Proceedings</w:t>
      </w:r>
      <w:r>
        <w:rPr>
          <w:rFonts w:ascii="Arial" w:cs="Arial" w:eastAsia="Arial" w:hAnsi="Arial"/>
          <w:sz w:val="17"/>
          <w:szCs w:val="17"/>
          <w:color w:val="auto"/>
        </w:rPr>
        <w:t>” included elsewhere in this Form 10-Q.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28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8"/>
          <w:szCs w:val="18"/>
          <w:i w:val="1"/>
          <w:iCs w:val="1"/>
          <w:color w:val="auto"/>
        </w:rPr>
        <w:t>Risks Related to our Business—Our growth strategy may involve opening or acquiring new offices and/or</w:t>
      </w:r>
      <w:r>
        <w:rPr>
          <w:rFonts w:ascii="Arial" w:cs="Arial" w:eastAsia="Arial" w:hAnsi="Arial"/>
          <w:sz w:val="18"/>
          <w:szCs w:val="18"/>
          <w:color w:val="auto"/>
        </w:rPr>
        <w:t xml:space="preserve"> </w:t>
      </w:r>
      <w:r>
        <w:rPr>
          <w:rFonts w:ascii="Arial" w:cs="Arial" w:eastAsia="Arial" w:hAnsi="Arial"/>
          <w:sz w:val="18"/>
          <w:szCs w:val="18"/>
          <w:i w:val="1"/>
          <w:iCs w:val="1"/>
          <w:color w:val="auto"/>
        </w:rPr>
        <w:t>expanding, 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8"/>
          <w:szCs w:val="18"/>
          <w:color w:val="auto"/>
        </w:rPr>
        <w:t>.” There can be no assurance that we will be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expanding operations effectively, and any failure to do so could materially adversely affect our ability to grow revenue and control our expenses.</w:t>
      </w:r>
    </w:p>
    <w:p>
      <w:pPr>
        <w:spacing w:after="0" w:line="19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6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6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6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296"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revenue in any given period is dependent on the number of fee-paying clients in such period. For the six months ended June 30, 2021, we earned revenues from 149 advisory clients, 70 of which generated fees equal to or greater than $1.0 million. For the year ended December 31, 2020 we earned revenues from 175 advisory clients, 99 of which generated fees equal to or greater than $1.0 million. For the year ended December 31, 2019 we earned revenues from 179 advisory clients, 100 of which generated fees equal to or greater than $1.0 million. For the year ended December 31, 2018 we earned revenues from 197 advisory clients, 105 of which generated fees equal to or greater than $1.0 million. For the year ended December 31, 2017 we earned revenues from 187 advisory clients, 94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9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vesting of equity awards granted in connection with the transaction will be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92" w:lineRule="exact"/>
        <w:rPr>
          <w:sz w:val="20"/>
          <w:szCs w:val="20"/>
          <w:color w:val="auto"/>
        </w:rPr>
      </w:pPr>
    </w:p>
    <w:p>
      <w:pPr>
        <w:ind w:left="120" w:right="40"/>
        <w:spacing w:after="0" w:line="375"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6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7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in a highly-competitive environment where our clients generally retain us on</w:t>
      </w:r>
    </w:p>
    <w:p>
      <w:pPr>
        <w:spacing w:after="0" w:line="2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a non-exclusive, short-term, engagement-by-engagement basis in connection with specific transactions or projects, rather than under long-term contracts covering potential additional future services. As these transactions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27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30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9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6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U.S. Department of Justice and the SEC continue to devote significant resources to the enforcement of the Foreign Corrupt Practices Act (the “FCPA”). In addition, the United Kingdom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Class A common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30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8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124"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Goodwill and other intangible assets represent a significant portion of our assets, and totaled $70.0 million, $73.3 million and $79.9 million as of June 30,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17"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9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b w:val="1"/>
          <w:bCs w:val="1"/>
          <w:i w:val="1"/>
          <w:iCs w:val="1"/>
          <w:color w:val="auto"/>
        </w:rPr>
        <w:t>Restrictions in the Credit Agreement (as defined herein) governing our Revolving Credit Facility (as defined herein) or the credit agreement governing any replacement credit facility may impair our ability to finance our future operations or capital needs or engage in other business activities that may be in our interests.</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December 11, 2018, PWP Group, a wholly-owned subsidiary of PWP OpCo, entered into the Revolving Credit Facility in order to pay in full the outstanding credit agreement with Cadence Bank, N.A., dated November 30, 2016 (the “Credit Agreement”), through which the Company borrowed an aggregate $50.0 million, plus outstanding interest, fees and expenses related thereto and provide for the future working capital needs and other general corporate purposes of PWP Group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spacing w:after="0" w:line="83"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67"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declare the commitments of all of the lenders under the Revolving Credit Facility (or any replacement credit facility) to be terminated;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with certain former working limited partners whose tenure was terminated prior to November 1, 2020 (“Legacy Partners”) and a former employee regarding claims of breach of contract. For further information, see “</w:t>
      </w:r>
      <w:r>
        <w:rPr>
          <w:rFonts w:ascii="Arial" w:cs="Arial" w:eastAsia="Arial" w:hAnsi="Arial"/>
          <w:sz w:val="18"/>
          <w:szCs w:val="18"/>
          <w:i w:val="1"/>
          <w:iCs w:val="1"/>
          <w:color w:val="auto"/>
        </w:rPr>
        <w:t>Legal Proceedings</w:t>
      </w:r>
      <w:r>
        <w:rPr>
          <w:rFonts w:ascii="Arial" w:cs="Arial" w:eastAsia="Arial" w:hAnsi="Arial"/>
          <w:sz w:val="18"/>
          <w:szCs w:val="18"/>
          <w:color w:val="auto"/>
        </w:rPr>
        <w:t>” included elsewhere in this Form 10-Q.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40"/>
          </w:cols>
          <w:pgMar w:left="320" w:top="459" w:right="7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on February 28, 2019, we consummated the separation of our advisory business from the rest of the business of PWP OpCo (the “PWP Separation”).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71"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For the six months ended June 30, 2021 and year ended December 31, 2020, we earned approximately 18.9%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92"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language barriers and cultural differences, including the need to adopt different business practices in different geographic areas;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2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8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Business—Our failure to deal appropriately with actual, potential or perceived conflicts of interest could damage our reputation and materially adversely affect our business</w:t>
      </w:r>
      <w:r>
        <w:rPr>
          <w:rFonts w:ascii="Arial" w:cs="Arial" w:eastAsia="Arial" w:hAnsi="Arial"/>
          <w:sz w:val="17"/>
          <w:szCs w:val="17"/>
          <w:color w:val="auto"/>
        </w:rPr>
        <w:t>” above.</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PWP Forward Acquisition Corp. I (“PFAC”) is a special purpose acquisition company that is related to us, and is sponsored by us, our partners, employees and other investors who have a relationship with us. If PFAC, or any other special purpose acquisition company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our financial statements are denominated in U.S. dollars and we receive a portion of our net revenue in other currencies (including the Euro, pound sterling and Canadian dollars), we are exposed to fluctuations in foreign currencies. During the six months ended June 30, 2021 and the year ended December 31, 2020, 14.3%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“TCA”), which was applied on a provisional basis from January 1, 2021 and entered into full force on May 1, 2021, following formal approval by the U.K. and the E.U.</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27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17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ability to successfully operate our business will depend largely upon the efforts of certain key personnel, including the key personnel of PWP.</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loss of such key personnel could adversely affect the operations and profitability of our business.</w:t>
      </w:r>
    </w:p>
    <w:p>
      <w:pPr>
        <w:spacing w:after="0" w:line="10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our filings is not representative of the results we would have achieved as a stand-alone public company and may not permit you to predict our future results.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historical consolidated and unaudited pro forma financial information in our filings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Regulation</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6" w:lineRule="exact"/>
        <w:rPr>
          <w:sz w:val="20"/>
          <w:szCs w:val="20"/>
          <w:color w:val="auto"/>
        </w:rPr>
      </w:pPr>
    </w:p>
    <w:p>
      <w:pPr>
        <w:ind w:left="120" w:right="300" w:firstLine="440"/>
        <w:spacing w:after="0" w:line="272" w:lineRule="auto"/>
        <w:rPr>
          <w:sz w:val="20"/>
          <w:szCs w:val="20"/>
          <w:color w:val="auto"/>
        </w:rPr>
      </w:pPr>
      <w:r>
        <w:rPr>
          <w:rFonts w:ascii="Arial" w:cs="Arial" w:eastAsia="Arial" w:hAnsi="Arial"/>
          <w:sz w:val="17"/>
          <w:szCs w:val="17"/>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We are subject to regulatory restrictions and requirements imposed by applicable statutes, regulations and policies in the jurisdictions in which we operate. U.S. and non-U.S. government agencies and self-regulatory organizations, including the Financial Industry Regulatory Authority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w:t>
      </w:r>
    </w:p>
    <w:p>
      <w:pPr>
        <w:spacing w:after="0" w:line="17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“E.U.”),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81"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Investment Industry Regulatory Organization of Canada (“IIROC”), the Autorité de contrôle prudentiel et de resolution (“ACPR”) or other U.S. or foreign governmental regulatory authorities or self-regulatory organizations that regulate financial services firms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87"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28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6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LLC (“PWP GP”</w:t>
      </w:r>
      <w:r>
        <w:rPr>
          <w:rFonts w:ascii="Arial" w:cs="Arial" w:eastAsia="Arial" w:hAnsi="Arial"/>
          <w:sz w:val="18"/>
          <w:szCs w:val="18"/>
          <w:color w:val="auto"/>
        </w:rPr>
        <w:t>)</w:t>
      </w:r>
      <w:r>
        <w:rPr>
          <w:rFonts w:ascii="Arial" w:cs="Arial" w:eastAsia="Arial" w:hAnsi="Arial"/>
          <w:sz w:val="18"/>
          <w:szCs w:val="18"/>
          <w:b w:val="1"/>
          <w:bCs w:val="1"/>
          <w:i w:val="1"/>
          <w:iCs w:val="1"/>
          <w:color w:val="auto"/>
        </w:rPr>
        <w:t>, and we are accordingly dependent upon distributions from PWP OpCo to pay dividends, taxes, make payments under the TRA and pay other expenses.</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Professional Partners’ indemnification claims with respect to the advisory business and dividends, if any, declared by us.</w:t>
      </w:r>
    </w:p>
    <w:p>
      <w:pPr>
        <w:spacing w:after="0" w:line="17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We will be required to pay our ILPs and/or Limited Partners for certain tax benefits we may claim as a result of the tax basis step-up we received in connection with the Business Combination and related transactions and that we may receive in connection with subsequent exchanges of PWP OpCo Units for cash or our Class A common stock. In certain circumstances, payments under the TRA may be accelerated and/or significantly exceed the actual tax benefits we realize.</w:t>
      </w:r>
    </w:p>
    <w:p>
      <w:pPr>
        <w:spacing w:after="0" w:line="7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acquisition of PWP OpCo Units in connection with the Business Combination or pursuant to future exchanges of PWP OpCo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6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At the Closing, we entered into a TRA with PWP OpCo, Professional Partners and certain other persons party thereto. The TRA generally provides for payment by us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interests in PWP OpCo, during the expected term of the TRA, the payments that we may make under the TRA could be substantial.</w:t>
      </w:r>
    </w:p>
    <w:p>
      <w:pPr>
        <w:spacing w:after="0" w:line="18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TRA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TRA in excess of our cash tax savings. Our ability to achieve benefits from any tax basis increase or other benefits, and the payments to be made under the TRS, will depend upon a number of factors, as discussed above, including the timing and amount of our future income.</w:t>
      </w:r>
    </w:p>
    <w:p>
      <w:pPr>
        <w:spacing w:after="0" w:line="16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the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Units would benefit from any value attributable to such cash as a result of their ownership of our Class A common stock upon a redemption or exchange of their PWP OpCo Units.</w:t>
      </w:r>
    </w:p>
    <w:p>
      <w:pPr>
        <w:spacing w:after="0" w:line="63"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Under the amended and restated agreement of limited partnership of PWP OpCo,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agreement of limited partnership of PWP OpCo, we intend to use best efforts to cause PWP OpCo to make sufficient cash distributions to the holders of partnership units of PWP OpCo to fund their tax obligations in respect of the income of PWP OpCo that is allocated to them.</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amended and restated agreement of limited partnership of PWP OpCo will require us to distribute such excess cash. Our board of directors may, in its sole discretion, choose to use such excess cash for any purpose, including (i) to make additional distributions to the holders of our Class A common stock, (ii) to acquire additional newly-issued PWP OpCo Units, and/or (iii) to repurchase outstanding shares of our Class A common stock. Unless and until our board of directors chooses, in its sole discretion, to make such a distribution, we will have no obligation to distribute such cash (or other available cash other than any declared dividend) to our stockholders. No adjustments to the redemption or exchange ratio of PWP OpCo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and instead, for example, hold such cash balances or lend them to PWP OpCo, this may result in shares of our Class A common stock increasing in value relative to the PWP OpCo Units. The holders of PWP OpCo Units may benefit from any value attributable to such cash balances if they acquire shares of our Class A common stock in exchange for their Class A partnership units or if we acquire additional PWP OpCo Units (whether from PWP OpCo or from holders of PWP OpCo Units) at a price based on the market price of shares of our Class A common stock at the time.</w:t>
      </w:r>
    </w:p>
    <w:p>
      <w:pPr>
        <w:spacing w:after="0" w:line="292"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PWP OpCo and PWP Capital Holdings LP have entered into various arrangements, including a master separation agreement, which contain cross-indemnification obligations of us and PWP Capital Holdings LP.</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master separation agreement that we entered into with PWP Capital Holdings LP, which holds the former asset management business of PWP OpCo prior to the PWP Separation, provides, among other things, that PWP Capital Holdings LP generally will indemnify us for losses that we incur relating to, arising out of or resulting from the business of PWP Capital Holdings LP and any payments with respect to joint liabilities to the extent they exceed 81.304% of such joint liabilities. In addition, we generally will indemnify PWP Capital Holdings LP for losses that PWP Capital Holdings LP incurs relating to our business and any payments with respect to joint liabilities to the extent they exceed 18.696% of such joint liabilities. We may not be able to recover any or all of the amount of any indemnified losses from PWP Capital Holdings LP should it be financially unable to perform under its indemnification obligations. In addition, we may be required to make substantial payments under our indemnity obligations to PWP Capital Holdings LP, which could materially adversely affect our results of operations and the price of our Class A common stock.</w:t>
      </w:r>
    </w:p>
    <w:p>
      <w:pPr>
        <w:spacing w:after="0" w:line="273"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could prevent us from benefiting from corporate opportunities that might have otherwise been available to us.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Second Amended and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w:t>
      </w:r>
    </w:p>
    <w:p>
      <w:pPr>
        <w:spacing w:after="0" w:line="18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Second Amended and Restated Certificate of Incorporation.</w:t>
      </w:r>
    </w:p>
    <w:p>
      <w:pPr>
        <w:spacing w:after="0" w:line="28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6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pacing w:after="0" w:line="29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Holdings LP and its subsidiaries may expose us to reputational harm that could adversely affect our business should they take actions that damage the brand name.</w:t>
      </w:r>
    </w:p>
    <w:p>
      <w:pPr>
        <w:spacing w:after="0" w:line="62"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We have licensed to PWP Capital Holdings LP and its subsidiaries the use of certain trademarks owned by us and our subsidiaries for use in connection with its asset management business that were in use by the PWP Capital Holdings LP business prior to the PWP Separation. As a result, there is a risk of reputational harm to us if PWP Capital Holdings LP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voting control is concentrated among the holders of our Class B-1 common stock. As a result, the market price of our Class A common stock may be materially adversely affected by such disparate voting rights.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Professional Partners beneficially owns all of the outstanding shares of our Class B-1 common stock, representing approximately 90.6% of our total voting power, ILPs beneficially own all of the outstanding shares of our Class B-2 common stock, representing approximately 0.9% of our total voting power, and holders of Class A common stock own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62"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90.6% of the voting interest in us. The shares</w:t>
      </w:r>
    </w:p>
    <w:p>
      <w:pPr>
        <w:spacing w:after="0" w:line="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of Class B-1 common stock will entitle Professional Partners to (i) for so long as the condition that Professional Partners or its Limited Partners or its or their respective successors or assigns maintain, directly or indirectly, ownership of PWP OpCo Units that represent at least ten percent (10%) of our issued and outstanding Class A common stock (calculated, without duplication, on the basis that all issued and outstanding PWP OpCo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Units that represent at least five percent (5%) of our issued and outstanding Class A common stock (calculated, without duplication, on the basis that all issued and outstanding PWP OpCo Units not held by us or our subsidiaries had been exchanged for our Class A common stock)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Second Amended and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w:t>
      </w:r>
    </w:p>
    <w:p>
      <w:pPr>
        <w:spacing w:after="0" w:line="17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33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common stock or other equity securities without your approval, which would dilute your ownership interest in us and may depress the market price of our Class A common stock.</w:t>
      </w:r>
    </w:p>
    <w:p>
      <w:pPr>
        <w:spacing w:after="0" w:line="62" w:lineRule="exact"/>
        <w:rPr>
          <w:sz w:val="20"/>
          <w:szCs w:val="20"/>
          <w:color w:val="auto"/>
        </w:rPr>
      </w:pPr>
    </w:p>
    <w:p>
      <w:pPr>
        <w:ind w:left="120" w:right="840" w:firstLine="440"/>
        <w:spacing w:after="0" w:line="263" w:lineRule="auto"/>
        <w:rPr>
          <w:sz w:val="20"/>
          <w:szCs w:val="20"/>
          <w:color w:val="auto"/>
        </w:rPr>
      </w:pPr>
      <w:r>
        <w:rPr>
          <w:rFonts w:ascii="Arial" w:cs="Arial" w:eastAsia="Arial" w:hAnsi="Arial"/>
          <w:sz w:val="18"/>
          <w:szCs w:val="18"/>
          <w:color w:val="auto"/>
        </w:rPr>
        <w:t>We may issue additional shares of common stock or other equity securities in the future in connection with, among other things, future acquisitions, repayment of outstanding indebtedness or grants under the PWP Incentive Plan without stockholder approval in a number of circumstances.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issuance of additional common stock or other equity securities could have one or more of the following effects:</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will decrease;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14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April 12, 2021, the staff of the Securities and Exchange Commission (the “SEC Staff”) issued a public statement entitled “Staff Statement on Accounting and Reporting Considerations for Warrants issued by SPACs” (the “SEC Staff Statement”).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initial public offering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the Company’s Condensed Consolidated Statements of Financial Condition as of June 30, 2021 included elsewhere in this Form 10-Q are derivative liabilities related to embedded features contained within the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our performance following the Business Combination does not meet market expectations, the price of our securities may decline.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our performance following the Business Combination does not meet market expectations, the price of our Class A common stock may decline.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Prior to the Business Combination, there had not been a public market for PWP’s stock, and trading in our Class A common stock was not active. Accordingly, the valuation ascribed to PWP and our Class A common stock in the Business Combination may not be indicative of the price that will prevail in the trading market following the Business Combination. If an active market for our Class A common stock develops and continues,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31" w:lineRule="exact"/>
        <w:rPr>
          <w:sz w:val="20"/>
          <w:szCs w:val="20"/>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public warrants may never be in the money when exercisable, and they may expire worthless.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terms of our warrants may be amended in a manner that may be adverse to the holders. The warrant agreement entered into with Continental Stock Transfer &amp; Trust Company and assumed by American Stock Transfer &amp; Trust Company,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320" w:top="459"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w:t>
      </w:r>
    </w:p>
    <w:p>
      <w:pPr>
        <w:spacing w:after="0" w:line="1" w:lineRule="exact"/>
        <w:rPr>
          <w:sz w:val="20"/>
          <w:szCs w:val="20"/>
          <w:color w:val="auto"/>
        </w:rPr>
      </w:pPr>
    </w:p>
    <w:p>
      <w:pPr>
        <w:ind w:left="120" w:right="100"/>
        <w:spacing w:after="0" w:line="268" w:lineRule="auto"/>
        <w:rPr>
          <w:sz w:val="20"/>
          <w:szCs w:val="20"/>
          <w:color w:val="auto"/>
        </w:rPr>
      </w:pPr>
      <w:r>
        <w:rPr>
          <w:rFonts w:ascii="Arial" w:cs="Arial" w:eastAsia="Arial" w:hAnsi="Arial"/>
          <w:sz w:val="17"/>
          <w:szCs w:val="17"/>
          <w:color w:val="auto"/>
        </w:rPr>
        <w:t>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29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Warrants to purchase our Class A common stock became exercisable on the 30</w:t>
      </w:r>
      <w:r>
        <w:rPr>
          <w:rFonts w:ascii="Arial" w:cs="Arial" w:eastAsia="Arial" w:hAnsi="Arial"/>
          <w:sz w:val="14"/>
          <w:szCs w:val="14"/>
          <w:b w:val="1"/>
          <w:bCs w:val="1"/>
          <w:i w:val="1"/>
          <w:iCs w:val="1"/>
          <w:color w:val="auto"/>
        </w:rPr>
        <w:t>th</w:t>
      </w:r>
      <w:r>
        <w:rPr>
          <w:rFonts w:ascii="Arial" w:cs="Arial" w:eastAsia="Arial" w:hAnsi="Arial"/>
          <w:sz w:val="17"/>
          <w:szCs w:val="17"/>
          <w:b w:val="1"/>
          <w:bCs w:val="1"/>
          <w:i w:val="1"/>
          <w:iCs w:val="1"/>
          <w:color w:val="auto"/>
        </w:rPr>
        <w:t xml:space="preserve"> day following the Business Combination, which could increase the number of shares eligible for future resale in the public market and result in dilution to our stockholders.</w:t>
      </w:r>
    </w:p>
    <w:p>
      <w:pPr>
        <w:spacing w:after="0" w:line="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Outstanding warrants to purchase an aggregate of 7,870,000 shares of our Class A common stock became exercisable on the 30th day following the Closing in accordance with the terms of the warrant agreement governing those securities. These warrants consist of 7,666,666.67 warrants originally included in the units issued in the IPO and 203,333.33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27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June 30, 2021, we had 1,500,000,000 shares of Class A common stock authorized, of which 42,956,667 have been issued. Our Second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Debt securities convertible into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1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8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Future sales of our Class A common stock issued to our stockholders or by FTIV’s initial stockholders may reduce the market price of our Class A common stock that you might otherwise obtain.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Under the Business Combination Agreement, we issued (A) to Professional Partners, new shares of Class B-1 common stock, which will have 10 votes per share (for so long as Professional Partners or its Limited Partners as of the Closing maintain direct or indirect ownership of at least 10% of the issued and outstanding PWP OpCo Units, at which point such Class B-1 common stock shall have one vote per share) and (B) to ILPs, new shares of Class B-2 common stock, which will have one vote per share.</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and Professional Partners entered into the Stockholders Agreement providing for certain restrictions on transfer applicable to the shares issued to Professional Partners in connection with the Business Combination.</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Sponsor is a party to a letter agreement, dated September 24, 2020 (the “Sponsor Lock-Up Agreement”), pursuant to which the Sponsor is prohibited from, except in limited circumstances, (i) selling, offering to sell, contracting or agreeing to sell, hypothecating, pledging, granting any option to purchase or otherwise disposing of or agreeing to dispose of, directly or indirectly, or establishing or increasing a put equivalent position or liquidating or decreasing a call equivalent position within the meaning of Section 16 of the Exchange Act with respect to the placement units, placement shares, placement warrants, or shares of common stock underlying the placement warrants, (ii) entering into any swap or other arrangement that transfers to another, in whole or in part, any of the economic consequences of ownership of any of the placement units, placement shares, placement warrants, or shares of common stock underlying the placement warrants, whether any such transaction is to be settled by delivery of the common stock or such other securities, in cash or otherwise, or (iii) publicly announcing any intention to effect any transaction specified in clause (c)(i) or (c)(ii), for a period of 30 days following the Business Combination.</w:t>
      </w:r>
    </w:p>
    <w:p>
      <w:pPr>
        <w:spacing w:after="0" w:line="18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amended and restated the existing registration rights agreement with the Sponsor by entering into an amended and restated registration rights agreement (the “Amended and Restated Registration Rights Agreement”) with the Sponsor, Professional Partners, the ILPs and others party to the Amended and Restated Registration Rights Agreement (the “RRA Parties”) with respect to the shares of our Class A common stock and certain other equity securities held by the RRA Parties. The Amended and Restated Registration Rights Agreement requires us to, among other things, file with the SEC a resale shelf registration statement pursuant to Rule 415 under the Securities Act on behalf of the RRA Parties within 30 business days after the Closing (the “Shelf Registration Statement”). If the Shelf Registration Statement becomes unavailable once it is declared effective, the RRA Parties will have certain demand registration rights.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expiration of the lockup periods set forth in the Sponsor Share Surrender and Share Restriction Agreement, as amended, and the</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Sponsor Lock-Up Agreement applicable to shares of our Class A common stock held by our stockholders or FTIV’s initial stockholders and, in the case of FTIV’s initial stockholders, the effectiveness of the Shelf Registration Statement, these parties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Jumpstart Our Business Startups Act of 2012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6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September 29,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7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 approval of any golden parachute payments not previously approved. We will cease to be an emerging growth company upon the earliest of:</w:t>
      </w:r>
    </w:p>
    <w:p>
      <w:pPr>
        <w:spacing w:after="0" w:line="46" w:lineRule="exact"/>
        <w:rPr>
          <w:sz w:val="20"/>
          <w:szCs w:val="20"/>
          <w:color w:val="auto"/>
        </w:rPr>
      </w:pPr>
    </w:p>
    <w:p>
      <w:pPr>
        <w:ind w:left="120" w:right="20" w:hanging="4"/>
        <w:spacing w:after="0" w:line="271"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62"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27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resulted in a material misstatement of its warrant liabilities and related financial disclosures for the affected periods. As the accounting acquirer in the Business Combination, we inherited this material weakness and the warrants.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year period. Accordingly, until we cease being an “emerging growth company” stockholders will not have the benefit of an independent assessment of the effectiveness of our internal control environment.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21"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classification of our board of directors may have anti-takeover effects, including discouraging, delaying or preventing our change of control.</w:t>
      </w:r>
    </w:p>
    <w:p>
      <w:pPr>
        <w:spacing w:after="0" w:line="15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4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Second Amended and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8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Similarly, our U.K. subsidiary, Perella Weinberg UK Limited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7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Our Second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w:t>
      </w:r>
    </w:p>
    <w:p>
      <w:pPr>
        <w:spacing w:after="0" w:line="5" w:lineRule="exact"/>
        <w:rPr>
          <w:sz w:val="20"/>
          <w:szCs w:val="20"/>
          <w:color w:val="auto"/>
        </w:rPr>
      </w:pPr>
    </w:p>
    <w:p>
      <w:pPr>
        <w:ind w:left="120" w:hanging="4"/>
        <w:spacing w:after="0" w:line="267" w:lineRule="auto"/>
        <w:tabs>
          <w:tab w:leader="none" w:pos="4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18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of Common Stock</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connection with the Business Combination, the Company delivered 12,500,000 shares of Class A common stock (as described in the “</w:t>
      </w:r>
      <w:r>
        <w:rPr>
          <w:rFonts w:ascii="Arial" w:cs="Arial" w:eastAsia="Arial" w:hAnsi="Arial"/>
          <w:sz w:val="18"/>
          <w:szCs w:val="18"/>
          <w:i w:val="1"/>
          <w:iCs w:val="1"/>
          <w:color w:val="auto"/>
        </w:rPr>
        <w:t>Private</w:t>
      </w:r>
      <w:r>
        <w:rPr>
          <w:rFonts w:ascii="Arial" w:cs="Arial" w:eastAsia="Arial" w:hAnsi="Arial"/>
          <w:sz w:val="18"/>
          <w:szCs w:val="18"/>
          <w:color w:val="auto"/>
        </w:rPr>
        <w:t xml:space="preserve"> </w:t>
      </w:r>
      <w:r>
        <w:rPr>
          <w:rFonts w:ascii="Arial" w:cs="Arial" w:eastAsia="Arial" w:hAnsi="Arial"/>
          <w:sz w:val="18"/>
          <w:szCs w:val="18"/>
          <w:i w:val="1"/>
          <w:iCs w:val="1"/>
          <w:color w:val="auto"/>
        </w:rPr>
        <w:t>Placement</w:t>
      </w:r>
      <w:r>
        <w:rPr>
          <w:rFonts w:ascii="Arial" w:cs="Arial" w:eastAsia="Arial" w:hAnsi="Arial"/>
          <w:sz w:val="18"/>
          <w:szCs w:val="18"/>
          <w:color w:val="auto"/>
        </w:rPr>
        <w:t>” section below), 48,470,675 shares of Class B-1 common stock (of which 45,608,840 shares of Class B-1 common stock remained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after giving effect to Redemptions (as defined below)) and 12,589,325 shares of Class B-2 common stock (of which 4,545,359 shares of Class B-2 common stock remained outstanding after giving effect to Redemptions).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connection with entering into the Business Combination Agreement, the Company entered into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were issued in reliance on the exemption from registration requirements thereof provided by Section 4(a)(2)of the Securities Act as a transaction by an issuer not involving a public offering without any form of general solicitation or general advertising.</w:t>
      </w:r>
    </w:p>
    <w:p>
      <w:pPr>
        <w:spacing w:after="0" w:line="17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subscription agreements for the PIPE Investors (other than the Sponsor-related PIPE Investors, whose registration rights are governed by a registration rights agreement (the “Non-Sponsor PIPE Investors”)) provide for certain registration rights. In particular, the Company is required to, as soon as practicable but no later than 30 calendar days following the date of the Closing file with the SEC (at the Company’s sole cost and expense) a registration statement registering the resale of such shares, and will use its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the Company is notified in writing by the SEC that such registration statement will not be “reviewed” or will not be subject to further review. Such registration statement is required to be kept effective for at least three years after effectiveness or, if earlier, until either</w:t>
      </w:r>
    </w:p>
    <w:p>
      <w:pPr>
        <w:spacing w:after="0" w:line="1" w:lineRule="exact"/>
        <w:rPr>
          <w:sz w:val="20"/>
          <w:szCs w:val="20"/>
          <w:color w:val="auto"/>
        </w:rPr>
      </w:pPr>
    </w:p>
    <w:p>
      <w:pPr>
        <w:ind w:left="120" w:right="160" w:hanging="4"/>
        <w:spacing w:after="0" w:line="277"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shares thereunder have been sold by the Non-Sponsor PIPE Investors or (ii) the shares may be sold without restriction under Rule 144 promulgated under the Securities Act (as defined below). The Company filed a registration statement registering resale of such shares (as well as other shares) on July 15, 2021, and such registration statement was declared effective by the SEC on July 26, 2021.</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PWP OpCo Units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exchange procedures and restrictions set forth in the PWP OpCo LPA, and any other procedures or restrictions imposed by the Company, holders of the 61,060,000 PWP OpCo Units (other than the Company) outstanding as of immediately after the Closing (before giving effect to the redemptions of certain legacy partners of Professional Partners and ILPs)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August 11, 2021, the Company entered into employment agreements with each of Peter Weinberg, Andrew Bednar and Dietrich Becker on the terms previously disclosed in the Company’s Registration Statement on Form S-1 (File No. 333-257924) filed on July 15, 2021.</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998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9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6"/>
              </w:rPr>
              <w:t>Business Combination Agreement, dated as of December 29, 2020, by and among FinTech Acquisition Corp. IV, FinTech Investor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8"/>
              </w:rPr>
              <w:t>Holdings IV, LLC, FinTech Masala Advisors, LLC, PWP Holdings LP, PWP GP LLC, PWP Professional Partners LP and Perella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3"/>
              </w:rPr>
              <w:t>Weinberg Partners LLC (incorporated by reference to Exhibit 2.1 to FinTech Acquisition Corp. IV’s Current Report on Form 8-K/A,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with the SEC on December 31, 2020).</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2"/>
              </w:rPr>
              <w:t>Second Amended and Restated Certificate of Incorporation of Perella Weinberg Partners (incorporated by reference to Exhibit 3.1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Company’s Current Report on Form 8-K, filed with the 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2"/>
              </w:rPr>
              <w:t>Amended and Restated Bylaws of Perella Weinberg Partners (incorporated by reference to Exhibit 3.2 to the Company’s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on Form 8-K, filed with the 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3"/>
              </w:rPr>
              <w:t>Specimen Class A Common Stock Certificate (incorporated by reference to Exhibit 4.1 to the Company’s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filed with the 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3"/>
              </w:rPr>
              <w:t>Warrant Agreement, dated September 24, 2020, by and between FinTech Acquisition Corp. IV and Continental Stock Transfer &amp; Trust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2"/>
              </w:rPr>
              <w:t>Company (incorporated by reference to Exhibit 4.1 to FinTech Acquisition Corp. IV’s Current Report on Form 8-K, filed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September 30, 2020).</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4"/>
              </w:rPr>
              <w:t>Form of Subscription Agreement (incorporated by reference to Exhibit 10.1 to FinTech Acquisition Corp. IV’s Current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8-K/A, filed with the SEC on December 31, 2020).</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0"/>
              </w:rPr>
              <w:t>Amended and Restated Registration Rights Agreement, dated June 24, 2021, by and among the Company, FinTech Investor Holdings IV,</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4"/>
              </w:rPr>
              <w:t>LLC, FinTech Masala Advisors, LLC and the other Holders party thereto (incorporated by reference to Exhibit 10.1 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Current Report on Form 8-K, filed with the 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5"/>
              </w:rPr>
              <w:t>Stockholders Agreement, dated June 24, 2021, by and between the Company and PWP Professional Partners LP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reference to Exhibit 10.3 to the Company’s Current Report on Form 8-K, filed with the 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1"/>
              </w:rPr>
              <w:t>Tax Receivable Agreement, dated June 24, 2021, by and between the Company, PWP Holdings LP, PWP Professional Partners LP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4"/>
              </w:rPr>
              <w:t>certain partners party thereto (incorporated by reference to Exhibit 10.2 to the Company’s Current Report on Form 8-K, filed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1"/>
              </w:rPr>
              <w:t>Sponsor Share Surrender and Share Restriction Agreement, dated as of December 29, 2020, by and among PWP Holdings LP, FinTech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3"/>
              </w:rPr>
              <w:t>Acquisition Corp. IV, FinTech Investor Holdings IV, LLC, FinTech Masala Advisors, LLC and the other parties thereto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4"/>
              </w:rPr>
              <w:t>reference to Exhibit 10.5 to FinTech Acquisition Corp. IV’s Current Report on Form 8-K/A, filed with the SEC on December 31, 2020).</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2"/>
              </w:rPr>
              <w:t>Amendment to Sponsor Share Surrender and Share Restriction Agreement, dated as of May 4, 2021, by and among PWP Holdings LP,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9"/>
              </w:rPr>
              <w:t>FinTech Acquisition Corp. IV, FinTech Investor Holdings IV, LLC, FinTech Masala Advisors, LLC and the other parties thereto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(incorporated by reference to FinTech Acquisition Corp. IV’s definitive proxy statement, filed with the SEC on May 27,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1"/>
              </w:rPr>
              <w:t>Amended and Restated Agreement of Limited Partnership of PWP Holdings LP, dated as of June 24, 2021, by and among PWP GP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0"/>
              </w:rPr>
              <w:t>the Company, PWP Professional Partners LP, and the other limited partners party thereto (incorporated by reference to Exhibit 10.4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Company’s Current Report on Form 8-K, filed with the SEC on June 30, 2021).</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5"/>
              </w:rPr>
              <w:t>Amended and Restated Limited Liability Company Agreement of PWP GP LLC, dated June 24, 2021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Exhibit 10.5 to the Company’s Current Report on Form 8-K, filed with the SEC on June 30, 2021).</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520" w:type="dxa"/>
            <w:vAlign w:val="bottom"/>
            <w:gridSpan w:val="2"/>
          </w:tcPr>
          <w:p>
            <w:pPr>
              <w:ind w:left="48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140" w:type="dxa"/>
            <w:vAlign w:val="bottom"/>
          </w:tcPr>
          <w:p>
            <w:pPr>
              <w:ind w:left="220"/>
              <w:spacing w:after="0"/>
              <w:rPr>
                <w:sz w:val="20"/>
                <w:szCs w:val="20"/>
                <w:color w:val="auto"/>
              </w:rPr>
            </w:pPr>
            <w:r>
              <w:rPr>
                <w:rFonts w:ascii="Arial" w:cs="Arial" w:eastAsia="Arial" w:hAnsi="Arial"/>
                <w:sz w:val="18"/>
                <w:szCs w:val="18"/>
                <w:color w:val="auto"/>
                <w:w w:val="91"/>
              </w:rPr>
              <w:t>Perella Weinberg Partners 2021 Omnibus Incentive Plan (incorporated by reference to Exhibit 10.6 to the Company’s Current Report on</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Form 8-K, filed with the SEC on June 30, 2021).</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140" w:type="dxa"/>
            <w:vAlign w:val="bottom"/>
          </w:tcPr>
          <w:p>
            <w:pPr>
              <w:ind w:left="220"/>
              <w:spacing w:after="0"/>
              <w:rPr>
                <w:sz w:val="20"/>
                <w:szCs w:val="20"/>
                <w:color w:val="auto"/>
              </w:rPr>
            </w:pPr>
            <w:r>
              <w:rPr>
                <w:rFonts w:ascii="Arial" w:cs="Arial" w:eastAsia="Arial" w:hAnsi="Arial"/>
                <w:sz w:val="18"/>
                <w:szCs w:val="18"/>
                <w:color w:val="auto"/>
                <w:w w:val="91"/>
              </w:rPr>
              <w:t>French Sub-Plan Under the Perella Weinberg Partners 2021 Omnibus Equity Incentive Plan (incorporated by reference to Exhibit 10.7 to</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the Company’s Current Report on Form 8-K, filed with the SEC on June 30, 2021).</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140" w:type="dxa"/>
            <w:vAlign w:val="bottom"/>
          </w:tcPr>
          <w:p>
            <w:pPr>
              <w:ind w:left="220"/>
              <w:spacing w:after="0"/>
              <w:rPr>
                <w:sz w:val="20"/>
                <w:szCs w:val="20"/>
                <w:color w:val="auto"/>
              </w:rPr>
            </w:pPr>
            <w:r>
              <w:rPr>
                <w:rFonts w:ascii="Arial" w:cs="Arial" w:eastAsia="Arial" w:hAnsi="Arial"/>
                <w:sz w:val="18"/>
                <w:szCs w:val="18"/>
                <w:color w:val="auto"/>
                <w:w w:val="92"/>
              </w:rPr>
              <w:t>Form of Indemnification Agreement (incorporated by reference to Exhibit 10.8 to the Company’s Current Report on Form 8-K, filed with</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the SEC on June 30, 2021).</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140" w:type="dxa"/>
            <w:vAlign w:val="bottom"/>
          </w:tcPr>
          <w:p>
            <w:pPr>
              <w:ind w:left="220"/>
              <w:spacing w:after="0"/>
              <w:rPr>
                <w:sz w:val="20"/>
                <w:szCs w:val="20"/>
                <w:color w:val="auto"/>
              </w:rPr>
            </w:pPr>
            <w:r>
              <w:rPr>
                <w:rFonts w:ascii="Arial" w:cs="Arial" w:eastAsia="Arial" w:hAnsi="Arial"/>
                <w:sz w:val="18"/>
                <w:szCs w:val="18"/>
                <w:color w:val="auto"/>
                <w:w w:val="90"/>
              </w:rPr>
              <w:t>Amendment Agreement, dated as of June 15, 2021, by and among Perella Weinberg Partners Group LP, as Borrower, PWP Holdings LP,</w:t>
            </w:r>
          </w:p>
        </w:tc>
      </w:tr>
      <w:tr>
        <w:trPr>
          <w:trHeight w:val="216"/>
        </w:trPr>
        <w:tc>
          <w:tcPr>
            <w:tcW w:w="88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4"/>
              </w:rPr>
              <w:t>the subsidiary guarantors party thereto, each Lender under the Credit Agreement and Cadence Bank, N.A., as administrative agent</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7"/>
              </w:rPr>
              <w:t>(incorporated by reference to Exhibit 10.9 to the Company’s Current Report on Form 8-K, filed with the SEC on June 30, 2021).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140" w:type="dxa"/>
            <w:vAlign w:val="bottom"/>
          </w:tcPr>
          <w:p>
            <w:pPr>
              <w:ind w:left="220"/>
              <w:spacing w:after="0"/>
              <w:rPr>
                <w:sz w:val="20"/>
                <w:szCs w:val="20"/>
                <w:color w:val="auto"/>
              </w:rPr>
            </w:pPr>
            <w:r>
              <w:rPr>
                <w:rFonts w:ascii="Arial" w:cs="Arial" w:eastAsia="Arial" w:hAnsi="Arial"/>
                <w:sz w:val="18"/>
                <w:szCs w:val="18"/>
                <w:color w:val="auto"/>
              </w:rPr>
              <w:t>Form of Management Performance Restricted Stock Unit Award Agreement</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Certification of Principal Executive Officer Pursuant to Rules 13a-14(a) and 15d-14(a) under the Securities Exchange Act of 1934, as</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140" w:type="dxa"/>
            <w:vAlign w:val="bottom"/>
          </w:tcPr>
          <w:p>
            <w:pPr>
              <w:ind w:left="220"/>
              <w:spacing w:after="0"/>
              <w:rPr>
                <w:sz w:val="20"/>
                <w:szCs w:val="20"/>
                <w:color w:val="auto"/>
              </w:rPr>
            </w:pPr>
            <w:r>
              <w:rPr>
                <w:rFonts w:ascii="Arial" w:cs="Arial" w:eastAsia="Arial" w:hAnsi="Arial"/>
                <w:sz w:val="18"/>
                <w:szCs w:val="18"/>
                <w:color w:val="auto"/>
                <w:w w:val="94"/>
              </w:rPr>
              <w:t>Certification of Principal Financial Officer Pursuant to Rules 13a-14(a) and 15d-14(a) under the Securities Exchange Act of 1934, as</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140" w:type="dxa"/>
            <w:vAlign w:val="bottom"/>
          </w:tcPr>
          <w:p>
            <w:pPr>
              <w:ind w:left="220"/>
              <w:spacing w:after="0"/>
              <w:rPr>
                <w:sz w:val="20"/>
                <w:szCs w:val="20"/>
                <w:color w:val="auto"/>
              </w:rPr>
            </w:pPr>
            <w:r>
              <w:rPr>
                <w:rFonts w:ascii="Arial" w:cs="Arial" w:eastAsia="Arial" w:hAnsi="Arial"/>
                <w:sz w:val="18"/>
                <w:szCs w:val="18"/>
                <w:color w:val="auto"/>
                <w:w w:val="94"/>
              </w:rPr>
              <w:t>Certification of Principal Financial Officer Pursuant to 18 U.S.C. Section 1350, as Adopted Pursuant to Section 906 of the Sarbanes-</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2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8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140" w:type="dxa"/>
            <w:vAlign w:val="bottom"/>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9" w:lineRule="exact"/>
        <w:rPr>
          <w:sz w:val="20"/>
          <w:szCs w:val="20"/>
          <w:color w:val="auto"/>
        </w:rPr>
      </w:pPr>
    </w:p>
    <w:p>
      <w:pPr>
        <w:ind w:left="540" w:right="120" w:hanging="424"/>
        <w:spacing w:after="0" w:line="26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Item 601(b)(2) of Regulation S-K. The Company hereby agrees to furnish supplementally a copy of all omitted schedules to the SEC upon request.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9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20" w:type="dxa"/>
            <w:vAlign w:val="bottom"/>
            <w:gridSpan w:val="2"/>
          </w:tcPr>
          <w:p>
            <w:pPr>
              <w:ind w:left="2120"/>
              <w:spacing w:after="0"/>
              <w:rPr>
                <w:sz w:val="20"/>
                <w:szCs w:val="20"/>
                <w:color w:val="auto"/>
              </w:rPr>
            </w:pPr>
            <w:r>
              <w:rPr>
                <w:rFonts w:ascii="Arial" w:cs="Arial" w:eastAsia="Arial" w:hAnsi="Arial"/>
                <w:sz w:val="18"/>
                <w:szCs w:val="18"/>
                <w:color w:val="auto"/>
              </w:rPr>
              <w:t>PERELLA WEINBERG PARTNERS</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12, 2021</w:t>
            </w:r>
          </w:p>
        </w:tc>
        <w:tc>
          <w:tcPr>
            <w:tcW w:w="2560" w:type="dxa"/>
            <w:vAlign w:val="bottom"/>
          </w:tcPr>
          <w:p>
            <w:pPr>
              <w:ind w:left="21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WEINBERG</w:t>
            </w:r>
          </w:p>
        </w:tc>
      </w:tr>
      <w:tr>
        <w:trPr>
          <w:trHeight w:val="205"/>
        </w:trPr>
        <w:tc>
          <w:tcPr>
            <w:tcW w:w="3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Arial" w:cs="Arial" w:eastAsia="Arial" w:hAnsi="Arial"/>
                <w:sz w:val="18"/>
                <w:szCs w:val="18"/>
                <w:b w:val="1"/>
                <w:bCs w:val="1"/>
                <w:color w:val="auto"/>
              </w:rPr>
              <w:t>Peter A. Weinberg</w:t>
            </w:r>
          </w:p>
        </w:tc>
      </w:tr>
      <w:tr>
        <w:trPr>
          <w:trHeight w:val="220"/>
        </w:trPr>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12, 2021</w:t>
            </w:r>
          </w:p>
        </w:tc>
        <w:tc>
          <w:tcPr>
            <w:tcW w:w="2560" w:type="dxa"/>
            <w:vAlign w:val="bottom"/>
          </w:tcPr>
          <w:p>
            <w:pPr>
              <w:ind w:left="21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 BARANCIK</w:t>
            </w:r>
          </w:p>
        </w:tc>
      </w:tr>
      <w:tr>
        <w:trPr>
          <w:trHeight w:val="205"/>
        </w:trPr>
        <w:tc>
          <w:tcPr>
            <w:tcW w:w="3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Arial" w:cs="Arial" w:eastAsia="Arial" w:hAnsi="Arial"/>
                <w:sz w:val="18"/>
                <w:szCs w:val="18"/>
                <w:b w:val="1"/>
                <w:bCs w:val="1"/>
                <w:color w:val="auto"/>
              </w:rPr>
              <w:t>Gary S. Barancik</w:t>
            </w:r>
          </w:p>
        </w:tc>
      </w:tr>
      <w:tr>
        <w:trPr>
          <w:trHeight w:val="220"/>
        </w:trPr>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364"/>
        </w:trPr>
        <w:tc>
          <w:tcPr>
            <w:tcW w:w="3500" w:type="dxa"/>
            <w:vAlign w:val="bottom"/>
          </w:tcPr>
          <w:p>
            <w:pPr>
              <w:spacing w:after="0"/>
              <w:rPr>
                <w:sz w:val="24"/>
                <w:szCs w:val="24"/>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124</w:t>
            </w:r>
          </w:p>
        </w:tc>
        <w:tc>
          <w:tcPr>
            <w:tcW w:w="4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Roman"/>
      <w:start w:val="2"/>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lowerRoman"/>
      <w:start w:val="2"/>
    </w:lvl>
  </w:abstractNum>
  <w:abstractNum w:abstractNumId="14">
    <w:nsid w:val="6763845E"/>
    <w:multiLevelType w:val="hybridMultilevel"/>
    <w:lvl w:ilvl="0">
      <w:lvlJc w:val="left"/>
      <w:lvlText w:val="(%1)"/>
      <w:numFmt w:val="lowerRoman"/>
      <w:start w:val="2"/>
    </w:lvl>
  </w:abstractNum>
  <w:abstractNum w:abstractNumId="15">
    <w:nsid w:val="75A2A8D4"/>
    <w:multiLevelType w:val="hybridMultilevel"/>
    <w:lvl w:ilvl="0">
      <w:lvlJc w:val="left"/>
      <w:lvlText w:val="(%1)"/>
      <w:numFmt w:val="lowerRoman"/>
      <w:start w:val="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upperLetter"/>
      <w:start w:val="4"/>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1" Type="http://schemas.openxmlformats.org/officeDocument/2006/relationships/hyperlink" Target="http://www.sec.gov/Archives/edgar/data/1777835/000119312521224486/d185200d424b3.htm#toc185200_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2021-08-13T07:55:35Z</dcterms:created>
  <dcterms:modified xsi:type="dcterms:W3CDTF">2021-08-13T07:55:35Z</dcterms:modified>
</cp:coreProperties>
</file>