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8148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8148320"/>
                    </a:xfrm>
                    <a:prstGeom prst="rect">
                      <a:avLst/>
                    </a:prstGeom>
                    <a:noFill/>
                  </pic:spPr>
                </pic:pic>
              </a:graphicData>
            </a:graphic>
          </wp:anchor>
        </w:drawing>
      </w:r>
    </w:p>
    <w:p>
      <w:pPr>
        <w:spacing w:after="0" w:line="101" w:lineRule="exact"/>
        <w:rPr>
          <w:sz w:val="24"/>
          <w:szCs w:val="24"/>
          <w:color w:val="auto"/>
        </w:rPr>
      </w:pPr>
    </w:p>
    <w:p>
      <w:pPr>
        <w:sectPr>
          <w:pgSz w:w="11900" w:h="16886"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COHEN DANIEL 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23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Perella Weinberg Partners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PWP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08/31/2021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86" w:orient="portrait"/>
          <w:cols w:equalWidth="0" w:num="3">
            <w:col w:w="3200" w:space="720"/>
            <w:col w:w="3095" w:space="720"/>
            <w:col w:w="3265"/>
          </w:cols>
          <w:pgMar w:left="460" w:top="225" w:right="439" w:bottom="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86" w:orient="portrait"/>
          <w:cols w:equalWidth="0" w:num="2">
            <w:col w:w="3760" w:space="160"/>
            <w:col w:w="7080"/>
          </w:cols>
          <w:pgMar w:left="460" w:top="225"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08/31/2021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9"/>
              </w:rPr>
              <w:t>3,580</w:t>
            </w:r>
            <w:r>
              <w:rPr>
                <w:rFonts w:ascii="Arial" w:cs="Arial" w:eastAsia="Arial" w:hAnsi="Arial"/>
                <w:sz w:val="22"/>
                <w:szCs w:val="22"/>
                <w:color w:val="008000"/>
                <w:w w:val="99"/>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3,580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08/31/2021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9"/>
              </w:rPr>
              <w:t>5,490</w:t>
            </w:r>
            <w:r>
              <w:rPr>
                <w:rFonts w:ascii="Arial" w:cs="Arial" w:eastAsia="Arial" w:hAnsi="Arial"/>
                <w:sz w:val="22"/>
                <w:szCs w:val="22"/>
                <w:color w:val="008000"/>
                <w:w w:val="99"/>
                <w:vertAlign w:val="superscript"/>
              </w:rPr>
              <w:t>(2)</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9,070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69,874</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6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rPr>
              <w:t>Advisors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IV,</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69,874</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6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rPr>
              <w:t>Advisors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IV,</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781,133</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Holdings,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781,132</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Holdings,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(6)</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3,580 unvested shares subject to awards of director restricted stock units ("RSUs"), which vest in three equal installments on the 12, 24 and 36 month anniversaries of the grant date, subject to continued board service through each vesting date. Each RSU represents a contingent right to receive one share of Class A common stock.</w:t>
      </w:r>
    </w:p>
    <w:p>
      <w:pPr>
        <w:spacing w:after="0" w:line="15"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5,490 unvested shares subject to awards of RSUs, which vest on the date of Perella Weinberg Partners' next general annual stockholder meeting following the grant date, subject to continued board service through such date.</w:t>
      </w:r>
    </w:p>
    <w:p>
      <w:pPr>
        <w:spacing w:after="0" w:line="15" w:lineRule="exact"/>
        <w:rPr>
          <w:rFonts w:ascii="Arial" w:cs="Arial" w:eastAsia="Arial" w:hAnsi="Arial"/>
          <w:sz w:val="13"/>
          <w:szCs w:val="13"/>
          <w:color w:val="008000"/>
        </w:rPr>
      </w:pPr>
    </w:p>
    <w:p>
      <w:pPr>
        <w:ind w:left="40" w:right="1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directly by FinTech Masala Advisors IV, LLC ("Masala"). The reporting person is a member of Masala. The amount reported consists of the reporting person's pecuniary interest therein. The reporting person disclaims beneficial ownership of any other securities held directly by Masala, except to the extent of his pecuniary interest therein, and this report shall not be deemed an admission that the reporting person is the beneficial owner of such securities for any other purpose.</w:t>
      </w:r>
    </w:p>
    <w:p>
      <w:pPr>
        <w:spacing w:after="0" w:line="25" w:lineRule="exact"/>
        <w:rPr>
          <w:rFonts w:ascii="Arial" w:cs="Arial" w:eastAsia="Arial" w:hAnsi="Arial"/>
          <w:sz w:val="13"/>
          <w:szCs w:val="13"/>
          <w:color w:val="008000"/>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held directly by Masala. DGC Family FinTech Trust (the "Trust") is a member of Masala. The children of the reporting person are beneficiaries of the Trust. The amount reported consists of the Trust's pecuniary interest therein. Each of the reporting person and the Trust disclaims beneficial ownership of any other securities held directly by Masala, except to the extent of his or its respective pecuniary interest therein, and this report shall not be deemed an admission that the reporting person or the Trust is the beneficial owner of such securities for any other purpose.</w:t>
      </w:r>
    </w:p>
    <w:p>
      <w:pPr>
        <w:sectPr>
          <w:pgSz w:w="11900" w:h="16886" w:orient="portrait"/>
          <w:cols w:equalWidth="0" w:num="1">
            <w:col w:w="11000"/>
          </w:cols>
          <w:pgMar w:left="460" w:top="225" w:right="439" w:bottom="0" w:gutter="0" w:footer="0" w:header="0"/>
          <w:type w:val="continuous"/>
        </w:sectPr>
      </w:pPr>
    </w:p>
    <w:bookmarkStart w:id="1" w:name="page2"/>
    <w:bookmarkEnd w:id="1"/>
    <w:p>
      <w:pPr>
        <w:ind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shares held directly by FinTech Investor Holdings IV, LLC ("Holdings") and Masala, each of which is managed by Cohen Sponsor Interests IV, LLC ("Manager"), which, in turn, is indirectly owned by FinTech Masala Holdings, LLC ("Manager HoldCo"). The reporting person owns one-third of Manager HoldCo. The amount reported consists of the reporting person's pecuniary interest therein. The reporting person disclaims beneficial ownership of any other securities held directly by Holdings and Masala, except to the extent of his pecuniary interest therein, and this report shall not be deemed an admission that the reporting person is the beneficial owner of such securities for any other purpose.</w:t>
      </w:r>
    </w:p>
    <w:p>
      <w:pPr>
        <w:spacing w:after="0" w:line="29" w:lineRule="exact"/>
        <w:rPr>
          <w:rFonts w:ascii="Arial" w:cs="Arial" w:eastAsia="Arial" w:hAnsi="Arial"/>
          <w:sz w:val="13"/>
          <w:szCs w:val="13"/>
          <w:color w:val="008000"/>
        </w:rPr>
      </w:pPr>
    </w:p>
    <w:p>
      <w:pPr>
        <w:ind w:right="2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shares held directly by Holdings and Masala, each of which is managed by Manager, which, in turn, is indirectly owned by Manager HoldCo.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09/01/2021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7745"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2021-09-01T15:34:46Z</dcterms:created>
  <dcterms:modified xsi:type="dcterms:W3CDTF">2021-09-01T15:34:46Z</dcterms:modified>
</cp:coreProperties>
</file>